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pPr>
      <w:r>
        <w:rPr>
          <w:color w:val="000000"/>
        </w:rPr>
        <w:t> </w:t>
      </w: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August 6, 2026</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FIVE9,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p>
    <w:tbl>
      <w:tblPr>
        <w:tblW w:w="5263" w:type="dxa"/>
        <w:jc w:val="center"/>
        <w:tblInd w:w="0" w:type="dxa"/>
        <w:tblLayout w:type="fixed"/>
        <w:tblCellMar>
          <w:top w:w="28" w:type="dxa"/>
          <w:left w:w="28" w:type="dxa"/>
          <w:bottom w:w="28" w:type="dxa"/>
          <w:right w:w="28" w:type="dxa"/>
        </w:tblCellMar>
      </w:tblPr>
      <w:tblGrid>
        <w:gridCol w:w="748"/>
        <w:gridCol w:w="656"/>
        <w:gridCol w:w="665"/>
        <w:gridCol w:w="568"/>
        <w:gridCol w:w="568"/>
        <w:gridCol w:w="574"/>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001-36383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94-3394123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3001 Bishop Drive, Suite 350 </w:t>
      </w:r>
    </w:p>
    <w:p>
      <w:pPr>
        <w:pStyle w:val="TextBody"/>
        <w:bidi w:val="0"/>
        <w:spacing w:lineRule="auto" w:line="288" w:before="0" w:after="0"/>
        <w:jc w:val="center"/>
        <w:rPr/>
      </w:pPr>
      <w:r>
        <w:rPr>
          <w:rFonts w:ascii="Times New Roman;serif" w:hAnsi="Times New Roman;serif"/>
          <w:b/>
          <w:color w:val="000000"/>
          <w:sz w:val="20"/>
        </w:rPr>
        <w:t>San Ramon, CA 94583</w:t>
      </w:r>
      <w:r>
        <w:rPr>
          <w:color w:val="000000"/>
        </w:rPr>
        <w:t xml:space="preserve"> </w:t>
      </w:r>
    </w:p>
    <w:p>
      <w:pPr>
        <w:pStyle w:val="TextBody"/>
        <w:bidi w:val="0"/>
        <w:spacing w:lineRule="auto" w:line="312"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(925) 201-2000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312"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tbl>
      <w:tblPr>
        <w:tblW w:w="10205" w:type="dxa"/>
        <w:jc w:val="center"/>
        <w:tblInd w:w="0" w:type="dxa"/>
        <w:tblLayout w:type="fixed"/>
        <w:tblCellMar>
          <w:top w:w="28" w:type="dxa"/>
          <w:left w:w="28" w:type="dxa"/>
          <w:bottom w:w="28" w:type="dxa"/>
          <w:right w:w="28" w:type="dxa"/>
        </w:tblCellMar>
      </w:tblPr>
      <w:tblGrid>
        <w:gridCol w:w="3563"/>
        <w:gridCol w:w="3129"/>
        <w:gridCol w:w="3139"/>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Indicated by check mark whether the registrant is an emerging growth company as defined in Rule 405 of the Securities Act of 1933 (§230.405 of this chapter) or Rule 12b-2 of the Securities Exchange Act of 1934 (§240.12b-2 of this chapter).</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August 6, 2026, Five9, Inc. (the “Company”) announced its financial results for the fiscal quarter ended June 30, 2026. The full text of the press release issued in connection with the announcement is furnished as Exhibit 99.1 to this Current Report on Form 8-K. The Company is also providing additional financial information that will be posted on the Investor Relations section of its website at https://investors.five9.com/, which is attached as Exhibit 99.2 hereto.</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information in Item 2.02 of this Current Report on Form 8-K (including Exhibits 99.1 and 99.2 furnished herewith)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 </w:t>
      </w:r>
    </w:p>
    <w:p>
      <w:pPr>
        <w:pStyle w:val="TextBody"/>
        <w:bidi w:val="0"/>
        <w:spacing w:before="280" w:after="283"/>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8022"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971"/>
        <w:gridCol w:w="1971"/>
        <w:gridCol w:w="280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063026ex991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991earningsrelease.htm">
              <w:r>
                <w:rPr>
                  <w:rStyle w:val="InternetLink"/>
                  <w:rFonts w:ascii="Times New Roman;serif" w:hAnsi="Times New Roman;serif"/>
                  <w:b w:val="false"/>
                  <w:color w:val="000080"/>
                  <w:sz w:val="20"/>
                  <w:u w:val="single"/>
                </w:rPr>
                <w:t xml:space="preserve">Press Release issued by the Company on </w:t>
              </w:r>
            </w:hyperlink>
            <w:hyperlink w:anchor="a063026ex991earningsrelease.htm">
              <w:r>
                <w:rPr>
                  <w:rStyle w:val="InternetLink"/>
                  <w:rFonts w:ascii="Times New Roman;serif" w:hAnsi="Times New Roman;serif"/>
                  <w:b w:val="false"/>
                  <w:color w:val="000080"/>
                  <w:sz w:val="20"/>
                  <w:u w:val="single"/>
                </w:rPr>
                <w:t>August 6</w:t>
              </w:r>
            </w:hyperlink>
            <w:hyperlink w:anchor="a063026ex991earningsrelease.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ivn-supplementalmetricd.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vn-supplementalmetricd.htm">
              <w:r>
                <w:rPr>
                  <w:rStyle w:val="InternetLink"/>
                  <w:rFonts w:ascii="Times New Roman;serif" w:hAnsi="Times New Roman;serif"/>
                  <w:b w:val="false"/>
                  <w:color w:val="000080"/>
                  <w:sz w:val="20"/>
                  <w:u w:val="single"/>
                </w:rPr>
                <w:t>Supplemental Metric Disclosure</w:t>
              </w:r>
            </w:hyperlink>
            <w:hyperlink w:anchor="fivn-supplementalmetricd.htm">
              <w:r>
                <w:rPr>
                  <w:rStyle w:val="InternetLink"/>
                  <w:rFonts w:ascii="Times New Roman;serif" w:hAnsi="Times New Roman;serif"/>
                  <w:b w:val="false"/>
                  <w:color w:val="000080"/>
                  <w:sz w:val="20"/>
                  <w:u w:val="single"/>
                </w:rPr>
                <w:t>.</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this Current Report on Form 8-K, formatted in Inline XBRL.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25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35"/>
        <w:gridCol w:w="135"/>
        <w:gridCol w:w="135"/>
        <w:gridCol w:w="121"/>
        <w:gridCol w:w="121"/>
        <w:gridCol w:w="121"/>
        <w:gridCol w:w="588"/>
        <w:gridCol w:w="588"/>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FIVE9,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Bryan Lee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Bryan Lee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before="0" w:after="0"/>
              <w:jc w:val="center"/>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240"/>
        <w:jc w:val="center"/>
        <w:rPr/>
      </w:pPr>
      <w:r>
        <w:rPr/>
      </w:r>
    </w:p>
    <w:p>
      <w:pPr>
        <w:pStyle w:val="TextBody"/>
        <w:bidi w:val="0"/>
        <w:spacing w:before="120" w:after="240"/>
        <w:jc w:val="center"/>
        <w:rPr/>
      </w:pPr>
      <w:r>
        <w:rPr/>
      </w:r>
    </w:p>
    <w:p>
      <w:pPr>
        <w:pStyle w:val="TextBody"/>
        <w:bidi w:val="0"/>
        <w:spacing w:before="120" w:after="240"/>
        <w:jc w:val="center"/>
        <w:rPr/>
      </w:pPr>
      <w:r>
        <w:rPr/>
        <w:drawing>
          <wp:inline distT="0" distB="0" distL="0" distR="0">
            <wp:extent cx="137160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457200"/>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 xml:space="preserve">Five9 Announces Second Quarter 2026 Financial Results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Q2 Revenue Grew 10% year-over-year</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Q2 Subscription Revenue Grew 14% year-over-year</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Announces Approximately $100 Million Total Contract Value New Customer Win</w:t>
      </w:r>
    </w:p>
    <w:p>
      <w:pPr>
        <w:pStyle w:val="TextBody"/>
        <w:bidi w:val="0"/>
        <w:spacing w:before="0" w:after="0"/>
        <w:jc w:val="center"/>
        <w:rPr/>
      </w:pPr>
      <w:r>
        <w:rPr/>
      </w:r>
    </w:p>
    <w:p>
      <w:pPr>
        <w:pStyle w:val="TextBody"/>
        <w:bidi w:val="0"/>
        <w:spacing w:lineRule="auto" w:line="288" w:before="40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SAN RAMON, Calif. - August 6, 2026 - Five9, Inc. (NASDAQ:FIVN), the Intelligent CX Platform provider, today reported results for the second quarter ended June 30, 2026. </w:t>
      </w:r>
    </w:p>
    <w:p>
      <w:pPr>
        <w:pStyle w:val="TextBody"/>
        <w:bidi w:val="0"/>
        <w:spacing w:lineRule="auto" w:line="417" w:before="300" w:after="120"/>
        <w:jc w:val="left"/>
        <w:rPr>
          <w:rFonts w:ascii="Times New Roman;serif" w:hAnsi="Times New Roman;serif"/>
          <w:b/>
          <w:color w:val="000000"/>
          <w:sz w:val="24"/>
        </w:rPr>
      </w:pPr>
      <w:r>
        <w:rPr>
          <w:rFonts w:ascii="Times New Roman;serif" w:hAnsi="Times New Roman;serif"/>
          <w:b/>
          <w:color w:val="000000"/>
          <w:sz w:val="24"/>
        </w:rPr>
        <w:t xml:space="preserve">Second Quarter 2026 Financial Results </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Revenue for the second quarter of 2026 increased 10% to $312.4 million, compared to $283.3 million for the second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GAAP gross margin was 53.4% for the second quarter of 2026, compared to 54.9% for the second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Adjusted gross margin was 61.4% for the second quarter of 2026, compared to 63.0% for the second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GAAP net income for the second quarter of 2026 was $3.4 million, or $0.04 per diluted share, and 1.1% of revenue, compared to GAAP net income of $1.2 million, or $0.01 per diluted share, and 0.4% of revenue, for the second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Non-GAAP net income for the second quarter of 2026 was $53.5 million, or $0.70 per diluted share, and 17.1% of revenue, compared to non-GAAP net income of $58.3 million, or $0.76 per diluted share, and 20.6% of revenue, for the second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Adjusted EBITDA for the second quarter of 2026 was $70.1 million, or 22.4% of revenue, compared to $67.9 million, or 24.0% of revenue, for the second quarter of 2025.</w:t>
      </w:r>
    </w:p>
    <w:p>
      <w:pPr>
        <w:pStyle w:val="TextBody"/>
        <w:bidi w:val="0"/>
        <w:spacing w:lineRule="auto" w:line="288" w:before="180" w:after="283"/>
        <w:ind w:left="0" w:right="0" w:hanging="225"/>
        <w:jc w:val="both"/>
        <w:rPr/>
      </w:pPr>
      <w:r>
        <w:rPr>
          <w:color w:val="000000"/>
        </w:rPr>
        <w:t>•</w:t>
      </w:r>
      <w:r>
        <w:rPr>
          <w:rFonts w:ascii="Times New Roman;serif" w:hAnsi="Times New Roman;serif"/>
          <w:b w:val="false"/>
          <w:color w:val="000000"/>
          <w:sz w:val="24"/>
        </w:rPr>
        <w:t>GAAP operating cash flow for the second quarter of 2026 was $42.1 million, compared to GAAP operating cash flow of $35.1 million for the second quarter of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Q2 marks our third consecutive quarter of accelerating subscription revenue growth, with AI revenue accelerating even faster, and further evidence that our focused execution is producing results. Closing a 9-figure TCV agreement through the Google Marketplace and launching Five9 Voice AI Agents in the same quarter underscore the breadth of our platform and the strength of our market position. With the executive appointments in June, I am confident we have the right team and strategy to extend this momentum and compete to win in AI-empowered customer experiences.”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 Amit Mathradas, Chief Executive Officer</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Second Quarter &amp; Recent Business Highlights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LTM subscription dollar-based retention rate was 107% as of June 30,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LTM subscription and telecom dollar-based retention rate was 106% as of June 30,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Appointed Niranjan Vijayaragavan as Chief Technology Officer, Rob Hornish as Chief Sales Officer, and Sven Linsmaier as Executive Vice President, Transformation and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Launched Five9 Voice AI Agents: human-like conversations, real-time responsiveness, enterprise-grade governance, and seamless AI + Human collaboration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 xml:space="preserve">Joined S&amp;P SmallCap 600 on August 3, 2026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Supplemental metric disclosure is available on the Investor Relations section of Five9's website at https://investors.five9.com/</w:t>
      </w:r>
    </w:p>
    <w:p>
      <w:pPr>
        <w:pStyle w:val="TextBody"/>
        <w:bidi w:val="0"/>
        <w:spacing w:lineRule="auto" w:line="417" w:before="240" w:after="283"/>
        <w:jc w:val="left"/>
        <w:rPr>
          <w:rFonts w:ascii="Times New Roman;serif" w:hAnsi="Times New Roman;serif"/>
          <w:b/>
          <w:color w:val="000000"/>
          <w:sz w:val="24"/>
        </w:rPr>
      </w:pPr>
      <w:r>
        <w:rPr>
          <w:rFonts w:ascii="Times New Roman;serif" w:hAnsi="Times New Roman;serif"/>
          <w:b/>
          <w:color w:val="000000"/>
          <w:sz w:val="24"/>
        </w:rPr>
        <w:t>Business Outlook</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Five9 provides guidance based on current market conditions and expectations. Five9 emphasizes that the guidance is subject to various important cautionary factors referenced in the section entitled "Forward-Looking Statements" below, including risks and uncertainties associated with the ongoing impact of macroeconomic challenges. </w:t>
      </w:r>
    </w:p>
    <w:p>
      <w:pPr>
        <w:pStyle w:val="TextBody"/>
        <w:bidi w:val="0"/>
        <w:spacing w:lineRule="auto" w:line="288" w:before="240" w:after="283"/>
        <w:ind w:left="0" w:right="0" w:hanging="225"/>
        <w:jc w:val="left"/>
        <w:rPr/>
      </w:pPr>
      <w:r>
        <w:rPr>
          <w:color w:val="000000"/>
        </w:rPr>
        <w:t>•</w:t>
      </w:r>
      <w:r>
        <w:rPr>
          <w:rFonts w:ascii="Times New Roman;serif" w:hAnsi="Times New Roman;serif"/>
          <w:b/>
          <w:color w:val="000000"/>
          <w:sz w:val="24"/>
        </w:rPr>
        <w:t>For the full year 2026, Five9 expects to report:</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Revenue in the range of $1.260 to $1.272 billion.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GAAP net income per share in the range of $0.71 to $0.82, assuming diluted shares outstanding of approximately 85.8 million.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Non-GAAP net income per share in the range of $3.22 to $3.30, assuming diluted shares outstanding of approximately 76.3 million.</w:t>
      </w:r>
    </w:p>
    <w:p>
      <w:pPr>
        <w:pStyle w:val="TextBody"/>
        <w:bidi w:val="0"/>
        <w:spacing w:lineRule="auto" w:line="288" w:before="240" w:after="283"/>
        <w:ind w:left="0" w:right="0" w:hanging="225"/>
        <w:jc w:val="left"/>
        <w:rPr/>
      </w:pPr>
      <w:r>
        <w:rPr>
          <w:color w:val="000000"/>
        </w:rPr>
        <w:t>•</w:t>
      </w:r>
      <w:r>
        <w:rPr>
          <w:rFonts w:ascii="Times New Roman;serif" w:hAnsi="Times New Roman;serif"/>
          <w:b/>
          <w:color w:val="000000"/>
          <w:sz w:val="24"/>
        </w:rPr>
        <w:t>For the third quarter of 2026, Five9 expects to report:</w:t>
      </w:r>
    </w:p>
    <w:p>
      <w:pPr>
        <w:pStyle w:val="TextBody"/>
        <w:bidi w:val="0"/>
        <w:spacing w:lineRule="auto" w:line="288" w:before="120" w:after="283"/>
        <w:ind w:left="0" w:right="0" w:hanging="225"/>
        <w:jc w:val="left"/>
        <w:rPr/>
      </w:pPr>
      <w:r>
        <w:rPr>
          <w:color w:val="000000"/>
        </w:rPr>
        <w:t>•</w:t>
      </w:r>
      <w:r>
        <w:rPr>
          <w:rFonts w:ascii="Times New Roman;serif" w:hAnsi="Times New Roman;serif"/>
          <w:b w:val="false"/>
          <w:color w:val="000000"/>
          <w:sz w:val="24"/>
        </w:rPr>
        <w:t>Revenue in the range of $316.0 to $322.0 million.</w:t>
      </w:r>
    </w:p>
    <w:p>
      <w:pPr>
        <w:pStyle w:val="TextBody"/>
        <w:bidi w:val="0"/>
        <w:spacing w:lineRule="auto" w:line="288" w:before="120" w:after="283"/>
        <w:ind w:left="0" w:right="0" w:hanging="225"/>
        <w:jc w:val="left"/>
        <w:rPr/>
      </w:pPr>
      <w:r>
        <w:rPr>
          <w:color w:val="000000"/>
        </w:rPr>
        <w:t>•</w:t>
      </w:r>
      <w:r>
        <w:rPr>
          <w:rFonts w:ascii="Times New Roman;serif" w:hAnsi="Times New Roman;serif"/>
          <w:b w:val="false"/>
          <w:color w:val="000000"/>
          <w:sz w:val="24"/>
        </w:rPr>
        <w:t xml:space="preserve">GAAP net income per share in the range of $0.09 to $0.16, assuming diluted shares outstanding of approximately 85.4 million. </w:t>
      </w:r>
    </w:p>
    <w:p>
      <w:pPr>
        <w:pStyle w:val="TextBody"/>
        <w:bidi w:val="0"/>
        <w:spacing w:lineRule="auto" w:line="288" w:before="120" w:after="283"/>
        <w:ind w:left="0" w:right="0" w:hanging="225"/>
        <w:jc w:val="left"/>
        <w:rPr/>
      </w:pPr>
      <w:r>
        <w:rPr>
          <w:color w:val="000000"/>
        </w:rPr>
        <w:t>•</w:t>
      </w:r>
      <w:r>
        <w:rPr>
          <w:rFonts w:ascii="Times New Roman;serif" w:hAnsi="Times New Roman;serif"/>
          <w:b w:val="false"/>
          <w:color w:val="000000"/>
          <w:sz w:val="24"/>
        </w:rPr>
        <w:t xml:space="preserve">Non-GAAP net income per share in the range of $0.77 to $0.81, assuming diluted shares outstanding of approximately 76.0 million.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With respect to Five9’s guidance as provided above, please refer to the “Reconciliation of GAAP Net Income to Non-GAAP Net Income - Guidance” table for more details, including important assumptions upon which such guidance is based.</w:t>
      </w:r>
    </w:p>
    <w:p>
      <w:pPr>
        <w:pStyle w:val="TextBody"/>
        <w:bidi w:val="0"/>
        <w:spacing w:before="0" w:after="0"/>
        <w:jc w:val="left"/>
        <w:rPr/>
      </w:pPr>
      <w:r>
        <w:rPr/>
      </w:r>
    </w:p>
    <w:p>
      <w:pPr>
        <w:pStyle w:val="TextBody"/>
        <w:bidi w:val="0"/>
        <w:spacing w:lineRule="auto" w:line="276" w:before="120" w:after="120"/>
        <w:jc w:val="left"/>
        <w:rPr>
          <w:rFonts w:ascii="Times New Roman;serif" w:hAnsi="Times New Roman;serif"/>
          <w:b/>
          <w:color w:val="000000"/>
          <w:sz w:val="24"/>
        </w:rPr>
      </w:pPr>
      <w:r>
        <w:rPr>
          <w:rFonts w:ascii="Times New Roman;serif" w:hAnsi="Times New Roman;serif"/>
          <w:b/>
          <w:color w:val="000000"/>
          <w:sz w:val="24"/>
        </w:rPr>
        <w:t>Conference Call Details</w: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Five9 will discuss its second quarter 2026 results today, August 6, 2026, via an audio-only Zoom webinar at 4:30 p.m. Eastern Time. To access the webinar, please register by clicking here. A copy of this press release will be furnished to the Securities and Exchange Commission on a Current Report on Form 8-K and will be posted to our website, prior to the conference call.</w: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A live webcast and a replay will be available on the Investor Relations section of the Company’s web-site at https://investors.five9.com/.</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 xml:space="preserve">Non-GAAP Financial Measures </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disclosing financial measures prepared in accordance with U.S. generally accepted accounting principles (GAAP), this press release and the accompanying tables contain certain non-GAAP financial measures. We calculate adjusted gross profit and adjusted gross margin by adding back the following items to gross profit: depreciation, intangibles amortization, stock-based compensation, acquisition and related transaction costs and one-time integration costs, and lease amortization for finance leases. We calculate adjusted EBITDA by adding back or removing the following items to or from GAAP net income: depreciation and amortization, stock-based compensation, interest expense, interest income and other, acquisition and related transaction costs and one-time integration costs, lease amortization for finance leases, costs related to reduction in force plans, one-time expenses related to strategic consulting services for operational review, other cost-reduction and productivity initiatives, one-time expenses related to advisory services for long-term strategy and growth, legal fees related to the securities class action, office closure lease termination costs, impairment charge related to consolidation of corporate headquarters, and provision for income taxes. We calculate non-GAAP operating income by adding back or removing the following items to or from GAAP income from operations: stock-based compensation, intangibles amortization, acquisition and related transaction costs and one-time integration costs, one-time expenses related to strategic consulting services for operational review, other cost-reduction and productivity initiatives, one-time expenses related to advisory services for long-term strategy and growth, legal fees related to the securities class action, office closure lease termination costs, and impairment charge related to consolidation of corporate headquarters. We calculate non-GAAP net income by adding back or removing the following items to or from GAAP net income: stock-based compensation, intangibles amortization, amortization of discount and issuance costs on convertible senior notes, exit costs related to closure and relocation of Russian operations, acquisition and related transaction costs and one-time integration costs, one-time expenses related to strategic consulting services for operational review, other cost-reduction and productivity initiatives, one-time expenses related to advisory services for long-term strategy and growth, legal fees related to the securities class action, office closure lease termination costs, and impairment charge related to consolidation of corporate headquarters. For the periods presented, these adjustments from GAAP net income to non-GAAP net income do not include any presentation of the net tax effect of such adjustments given our significant net operating loss carryforwards. Non-GAAP financial measures do not have any standardized meaning and are therefore unlikely to be comparable to similarly titled measures presented by other companies. The Company considers these non-GAAP financial measures to be important because they provide useful measures of the operating performance of the Company, exclusive of factors that do not directly affect what we consider to be our core operating performance, as well as unusual events.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management uses these measures to (i) illustrate underlying trends in the Company’s business that could otherwise be masked by the effect of income or expenses that are excluded from non-GAAP measures, and (ii) establish budgets and operational goals for managing the Company’s business and evaluating its performance. In addition, investors often use similar measures to evaluate the operating performance of a company. Non-GAAP financial measures are presented only as supplemental information for purposes of understanding the Company’s operating results. The non-GAAP financial measures should not be considered a substitute for financial information presented in accordance with GAAP. Please see the reconciliation of non-GAAP financial measures set forth in this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This news release contains certain forward-looking statements within the meaning of the Private Securities Litigation Reform Act of 1995, including the statements in the quote from our Chairman and Chief Executive Officer, including statements regarding Five9's market position, platform breadth, current team and strategy, and new product releases, and the expected positive impact of these factors, and the third quarter and full year 2026 financial projections and expectations set forth under the caption “Business Outlook,” that are based on our current expectations and involve numerous risks and uncertainties that may cause these forward-looking statements to be inaccurate. Risks that may cause these forward-looking statements to be inaccurate include, among others: (i) the impact of 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and other factors, may harm our business; (ii) if we are unable to attract new customers or sell additional services and functionality to our existing customers, our revenue and revenue growth will be harmed; (iii) 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 (iv) because a significant percentage of our revenue is derived from existing customers, downturns or upturns in new sales will not be immediately reflected in our operating results and may be difficult to discern; (v) if we fail to manage our technical operations infrastructure, our existing customers may experience service outages, our new customers may experience delays in the deployment of our solution and we could be subject to claims for credits or damages, among other things; (vi) if we are unable to attract and retain highly skilled leaders and other employees, our business and results of operations may be harmed; (vii) 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 (viii) further development of our AI solutions may not be successful, may not achieve market acceptance or compete effectively against our competitors, and may result in reputational harm and our future operating results could be materially harmed; (ix) the AI technology and features incorporated into our solution include new and evolving technologies that may present both legal and business risks; (x) we have established, and are continuing to increase, our network of technology solution distributors and resellers to sell our solution; our failure to effectively develop, manage, and maintain this network could materially harm our revenues; (xi) 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(xii) our historical growth may not be indicative of our future growth, and even if we continue to grow rapidly, we may fail to manage our growth effectively; (xiii) failure to adequately retain and expand our sales force will impede our growth; (xiv) the use of AI by our workforce may present risks to our business; (xv) the contact center software solutions market is subject to rapid technological change, and we must develop and sell incremental and new solutions in order to maintain and grow our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business; (xvi) our growth depends in part on the success of our strategic relationships with third parties and our failure to successfully maintain, grow and manage these relationships could harm our business; (xvii) the markets in which we participate involve a high number of competitors that is continuing to increase, and if we do not compete effectively, our operating results could be harmed; (xviii) we continue to expand our international operations, which exposes us to significant macroeconomic and other risks; (xix) security breaches, cybersecurity incidents, and improper access to, use of, or disclosure of our data or our customers’ data, or other cyber-attacks on our systems, could result in litigation and regulatory risk, harm our reputation, our business or financial results; (xx) 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 (xxi) 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(xxii) 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 (xxiii) prior to 2025, we had a history of losses and we may be unable to sustain profitability; (xxiv) our stock price has been volatile, may continue to be volatile and may decline, including due to factors beyond our control; (xxv) we may not be able to secure additional financing on favorable terms, or at all, to meet our future capital needs; (xxvi) failure to comply with laws and regulations could harm our business and our reputation; (xxvii) we may not have sufficient cash to service our convertible senior notes and repay such notes, if required, and other risks attendant to our convertible senior notes and increased debt levels; (xxviii) risks that we may not execute repurchases in full, under our announced stock repurchase program, or may not achieve the intended benefits therefrom; and (xxix) the other risks detailed from time-to-time under the caption “Risk Factors” and elsewhere in our Securities and Exchange Commission filings and reports, including, but not limited to, our most recent annual report on Form 10-K and quarterly reports on Form 10-Q. Such forward-looking statements speak only as of the date hereof and readers should not unduly rely on such statements. We undertake no obligation to update the information contained in this press release, including in any forward-looking statements.</w:t>
      </w:r>
    </w:p>
    <w:p>
      <w:pPr>
        <w:pStyle w:val="TextBody"/>
        <w:bidi w:val="0"/>
        <w:spacing w:lineRule="auto" w:line="268" w:before="180" w:after="120"/>
        <w:jc w:val="left"/>
        <w:rPr>
          <w:rFonts w:ascii="Times New Roman;serif" w:hAnsi="Times New Roman;serif"/>
          <w:b/>
          <w:color w:val="000000"/>
          <w:sz w:val="24"/>
        </w:rPr>
      </w:pPr>
      <w:r>
        <w:rPr>
          <w:rFonts w:ascii="Times New Roman;serif" w:hAnsi="Times New Roman;serif"/>
          <w:b/>
          <w:color w:val="000000"/>
          <w:sz w:val="24"/>
        </w:rPr>
        <w:t>About Five9</w:t>
      </w:r>
    </w:p>
    <w:p>
      <w:pPr>
        <w:pStyle w:val="TextBody"/>
        <w:bidi w:val="0"/>
        <w:spacing w:lineRule="auto" w:line="268" w:before="0" w:after="0"/>
        <w:jc w:val="both"/>
        <w:rPr/>
      </w:pPr>
      <w:r>
        <w:rPr>
          <w:rFonts w:ascii="Times New Roman;serif" w:hAnsi="Times New Roman;serif"/>
          <w:b w:val="false"/>
          <w:color w:val="000000"/>
          <w:sz w:val="24"/>
        </w:rPr>
        <w:t xml:space="preserve">The Five9 Intelligent CX Platform provides a comprehensive suite of solutions for orchestrating fluid customer experiences. Our cloud-native, multi-tenant, scalable, reliable, and secure platform includes contact center; omni-channel engagement; Workforce Engagement Management; extensibility through more than 1,450 partners; and innovative, practical AI, automation and journey analytics that are embedded as part of the platform. Five9 brings the power of people, technology, and partners to more than 3,000 organizations worldwide. For more information, visit </w:t>
      </w:r>
      <w:r>
        <w:rPr>
          <w:rFonts w:ascii="Times New Roman;serif" w:hAnsi="Times New Roman;serif"/>
          <w:b w:val="false"/>
          <w:color w:val="0000FF"/>
          <w:sz w:val="24"/>
          <w:u w:val="single"/>
        </w:rPr>
        <w:t>www.five9.com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pPr>
      <w:r>
        <w:rPr>
          <w:rFonts w:ascii="Times New Roman;serif" w:hAnsi="Times New Roman;serif"/>
          <w:b w:val="false"/>
          <w:color w:val="000000"/>
          <w:sz w:val="20"/>
        </w:rPr>
        <w:t>(Unaudited)</w:t>
      </w:r>
      <w:r>
        <w:rPr>
          <w:color w:val="000000"/>
        </w:rPr>
        <w:t xml:space="preserve"> </w:t>
      </w:r>
    </w:p>
    <w:tbl>
      <w:tblPr>
        <w:tblW w:w="8610" w:type="dxa"/>
        <w:jc w:val="center"/>
        <w:tblInd w:w="0" w:type="dxa"/>
        <w:tblLayout w:type="fixed"/>
        <w:tblCellMar>
          <w:top w:w="28" w:type="dxa"/>
          <w:left w:w="28" w:type="dxa"/>
          <w:bottom w:w="28" w:type="dxa"/>
          <w:right w:w="28" w:type="dxa"/>
        </w:tblCellMar>
      </w:tblPr>
      <w:tblGrid>
        <w:gridCol w:w="1849"/>
        <w:gridCol w:w="1631"/>
        <w:gridCol w:w="1635"/>
        <w:gridCol w:w="109"/>
        <w:gridCol w:w="109"/>
        <w:gridCol w:w="109"/>
        <w:gridCol w:w="211"/>
        <w:gridCol w:w="976"/>
        <w:gridCol w:w="109"/>
        <w:gridCol w:w="109"/>
        <w:gridCol w:w="109"/>
        <w:gridCol w:w="109"/>
        <w:gridCol w:w="243"/>
        <w:gridCol w:w="1125"/>
        <w:gridCol w:w="177"/>
      </w:tblGrid>
      <w:tr>
        <w:trPr/>
        <w:tc>
          <w:tcPr>
            <w:tcW w:w="18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959,724 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net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1,790,070 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213,010 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Convertible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1,004,253 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785,817 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1,790,070 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9911" w:type="dxa"/>
        <w:jc w:val="center"/>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954" w:type="dxa"/>
        <w:jc w:val="center"/>
        <w:tblInd w:w="0" w:type="dxa"/>
        <w:tblLayout w:type="fixed"/>
        <w:tblCellMar>
          <w:top w:w="28" w:type="dxa"/>
          <w:left w:w="28" w:type="dxa"/>
          <w:bottom w:w="28" w:type="dxa"/>
          <w:right w:w="28" w:type="dxa"/>
        </w:tblCellMar>
      </w:tblPr>
      <w:tblGrid>
        <w:gridCol w:w="2536"/>
        <w:gridCol w:w="2231"/>
        <w:gridCol w:w="2238"/>
        <w:gridCol w:w="109"/>
        <w:gridCol w:w="109"/>
        <w:gridCol w:w="109"/>
        <w:gridCol w:w="212"/>
        <w:gridCol w:w="796"/>
        <w:gridCol w:w="117"/>
        <w:gridCol w:w="109"/>
        <w:gridCol w:w="109"/>
        <w:gridCol w:w="109"/>
        <w:gridCol w:w="211"/>
        <w:gridCol w:w="793"/>
        <w:gridCol w:w="166"/>
      </w:tblGrid>
      <w:tr>
        <w:trPr/>
        <w:tc>
          <w:tcPr>
            <w:tcW w:w="253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the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discount and issuance costs on convertible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charges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 excluding tax benefit from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(66,809)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 (including non-current portions of operating and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105,998 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(42,442)</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191,063 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outstanding 2025 convertible senior notes at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common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repurchase of the Company's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 on financing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(108,261)</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(431,125)</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(44,705)</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(156,617)</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189,426 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207,568 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60"/>
        <w:jc w:val="center"/>
        <w:rPr>
          <w:rFonts w:ascii="Times New Roman;serif" w:hAnsi="Times New Roman;serif"/>
          <w:b/>
          <w:color w:val="000000"/>
          <w:sz w:val="20"/>
        </w:rPr>
      </w:pPr>
      <w:r>
        <w:rPr>
          <w:rFonts w:ascii="Times New Roman;serif" w:hAnsi="Times New Roman;serif"/>
          <w:b/>
          <w:color w:val="000000"/>
          <w:sz w:val="20"/>
        </w:rPr>
        <w:t>RECONCILIATION OF GAAP GROSS PROFIT TO ADJUSTED GROSS PROFIT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60"/>
        <w:gridCol w:w="1098"/>
        <w:gridCol w:w="106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6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reduction in force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353,160 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3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60"/>
        <w:jc w:val="center"/>
        <w:rPr>
          <w:rFonts w:ascii="Times New Roman;serif" w:hAnsi="Times New Roman;serif"/>
          <w:b/>
          <w:color w:val="000000"/>
          <w:sz w:val="20"/>
        </w:rPr>
      </w:pPr>
      <w:r>
        <w:rPr>
          <w:rFonts w:ascii="Times New Roman;serif" w:hAnsi="Times New Roman;serif"/>
          <w:b/>
          <w:color w:val="000000"/>
          <w:sz w:val="20"/>
        </w:rPr>
        <w:t>RECONCILIATION OF GAAP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44"/>
        <w:gridCol w:w="1156"/>
        <w:gridCol w:w="1129"/>
        <w:gridCol w:w="109"/>
        <w:gridCol w:w="109"/>
        <w:gridCol w:w="10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7"/>
      </w:tblGrid>
      <w:tr>
        <w:trPr/>
        <w:tc>
          <w:tcPr>
            <w:tcW w:w="154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and 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reduction in force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strategic consulting services for operational review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cost-reduction and productivity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the securities class 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closure lease termination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related to consolidation of corporate 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120,652 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Non-GAAP adjustments do not have a material impact on our worldwide income tax provision due to the tax treatment of the non-GAAP adjustments reported, and our domestic valuation allowance position.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20" w:after="60"/>
        <w:jc w:val="center"/>
        <w:rPr>
          <w:rFonts w:ascii="Times New Roman;serif" w:hAnsi="Times New Roman;serif"/>
          <w:b/>
          <w:color w:val="000000"/>
          <w:sz w:val="20"/>
        </w:rPr>
      </w:pPr>
      <w:r>
        <w:rPr>
          <w:rFonts w:ascii="Times New Roman;serif" w:hAnsi="Times New Roman;serif"/>
          <w:b/>
          <w:color w:val="000000"/>
          <w:sz w:val="20"/>
        </w:rPr>
        <w:t>RECONCILIATION OF GAAP OPERATING INCOME (LOSS) TO NON-GAAP OPERATING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88"/>
        <w:gridCol w:w="1372"/>
        <w:gridCol w:w="1375"/>
        <w:gridCol w:w="109"/>
        <w:gridCol w:w="109"/>
        <w:gridCol w:w="109"/>
        <w:gridCol w:w="220"/>
        <w:gridCol w:w="754"/>
        <w:gridCol w:w="113"/>
        <w:gridCol w:w="109"/>
        <w:gridCol w:w="109"/>
        <w:gridCol w:w="109"/>
        <w:gridCol w:w="220"/>
        <w:gridCol w:w="754"/>
        <w:gridCol w:w="113"/>
        <w:gridCol w:w="109"/>
        <w:gridCol w:w="109"/>
        <w:gridCol w:w="109"/>
        <w:gridCol w:w="211"/>
        <w:gridCol w:w="826"/>
        <w:gridCol w:w="109"/>
        <w:gridCol w:w="109"/>
        <w:gridCol w:w="109"/>
        <w:gridCol w:w="109"/>
        <w:gridCol w:w="220"/>
        <w:gridCol w:w="753"/>
        <w:gridCol w:w="169"/>
      </w:tblGrid>
      <w:tr>
        <w:trPr/>
        <w:tc>
          <w:tcPr>
            <w:tcW w:w="168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reduction in force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strategic consulting services for operational review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cost-reduction and productivity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related to the securities class action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closure lease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related to consolidation of corporate headquarters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TO NON-GAAP NET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3"/>
        <w:gridCol w:w="1343"/>
        <w:gridCol w:w="1325"/>
        <w:gridCol w:w="109"/>
        <w:gridCol w:w="109"/>
        <w:gridCol w:w="109"/>
        <w:gridCol w:w="220"/>
        <w:gridCol w:w="754"/>
        <w:gridCol w:w="113"/>
        <w:gridCol w:w="109"/>
        <w:gridCol w:w="109"/>
        <w:gridCol w:w="109"/>
        <w:gridCol w:w="220"/>
        <w:gridCol w:w="754"/>
        <w:gridCol w:w="113"/>
        <w:gridCol w:w="109"/>
        <w:gridCol w:w="109"/>
        <w:gridCol w:w="109"/>
        <w:gridCol w:w="211"/>
        <w:gridCol w:w="826"/>
        <w:gridCol w:w="109"/>
        <w:gridCol w:w="109"/>
        <w:gridCol w:w="109"/>
        <w:gridCol w:w="109"/>
        <w:gridCol w:w="211"/>
        <w:gridCol w:w="826"/>
        <w:gridCol w:w="159"/>
      </w:tblGrid>
      <w:tr>
        <w:trPr/>
        <w:tc>
          <w:tcPr>
            <w:tcW w:w="171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related to closure and relocation of Russian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reduction in force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strategic consulting services for operational review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cost-reduction and productivity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related to the securities class action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closure lease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related to consolidation of corporate headquarters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expense effects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85,479 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88,523 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88,964 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non-GAAP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76,067 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76,919 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76,836 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(1)Non-GAAP adjustments do not have a material impact on our worldwide income tax provision due to the tax treatment of the non-GAAP adjustments reported, and our domestic valuation allowance position.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FIVE9, INC.</w:t>
      </w:r>
    </w:p>
    <w:p>
      <w:pPr>
        <w:pStyle w:val="TextBody"/>
        <w:bidi w:val="0"/>
        <w:spacing w:lineRule="auto" w:line="312" w:before="180" w:after="283"/>
        <w:jc w:val="center"/>
        <w:rPr>
          <w:rFonts w:ascii="Times New Roman;serif" w:hAnsi="Times New Roman;serif"/>
          <w:b/>
          <w:color w:val="000000"/>
          <w:sz w:val="20"/>
        </w:rPr>
      </w:pPr>
      <w:r>
        <w:rPr>
          <w:rFonts w:ascii="Times New Roman;serif" w:hAnsi="Times New Roman;serif"/>
          <w:b/>
          <w:color w:val="000000"/>
          <w:sz w:val="20"/>
        </w:rPr>
        <w:t>SUMMARY OF STOCK-BASED COMPENSATION, DEPRECIATION AND INTANGIBLES AMORTIZATION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627"/>
        <w:gridCol w:w="462"/>
        <w:gridCol w:w="286"/>
        <w:gridCol w:w="109"/>
        <w:gridCol w:w="109"/>
        <w:gridCol w:w="109"/>
        <w:gridCol w:w="246"/>
        <w:gridCol w:w="843"/>
        <w:gridCol w:w="128"/>
        <w:gridCol w:w="109"/>
        <w:gridCol w:w="109"/>
        <w:gridCol w:w="109"/>
        <w:gridCol w:w="211"/>
        <w:gridCol w:w="721"/>
        <w:gridCol w:w="109"/>
        <w:gridCol w:w="109"/>
        <w:gridCol w:w="109"/>
        <w:gridCol w:w="109"/>
        <w:gridCol w:w="258"/>
        <w:gridCol w:w="757"/>
        <w:gridCol w:w="135"/>
        <w:gridCol w:w="109"/>
        <w:gridCol w:w="109"/>
        <w:gridCol w:w="109"/>
        <w:gridCol w:w="246"/>
        <w:gridCol w:w="843"/>
        <w:gridCol w:w="128"/>
        <w:gridCol w:w="109"/>
        <w:gridCol w:w="109"/>
        <w:gridCol w:w="109"/>
        <w:gridCol w:w="211"/>
        <w:gridCol w:w="721"/>
        <w:gridCol w:w="109"/>
        <w:gridCol w:w="109"/>
        <w:gridCol w:w="109"/>
        <w:gridCol w:w="109"/>
        <w:gridCol w:w="257"/>
        <w:gridCol w:w="751"/>
        <w:gridCol w:w="194"/>
      </w:tblGrid>
      <w:tr>
        <w:trPr/>
        <w:tc>
          <w:tcPr>
            <w:tcW w:w="6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 Amortization</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 Amortization</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FIVE9, INC. </w:t>
      </w:r>
    </w:p>
    <w:p>
      <w:pPr>
        <w:pStyle w:val="TextBody"/>
        <w:bidi w:val="0"/>
        <w:spacing w:lineRule="auto" w:line="312" w:before="120" w:after="60"/>
        <w:jc w:val="center"/>
        <w:rPr/>
      </w:pPr>
      <w:r>
        <w:rPr>
          <w:rFonts w:ascii="Times New Roman;serif" w:hAnsi="Times New Roman;serif"/>
          <w:b/>
          <w:color w:val="000000"/>
          <w:sz w:val="20"/>
        </w:rPr>
        <w:t>RECONCILIATION OF GAAP NET INCOME TO NON-GAAP NET INCOME – GUIDANCE</w:t>
      </w:r>
      <w:r>
        <w:rPr>
          <w:rFonts w:ascii="Times New Roman;serif" w:hAnsi="Times New Roman;serif"/>
          <w:b/>
          <w:color w:val="000000"/>
          <w:sz w:val="13"/>
        </w:rPr>
        <w:t xml:space="preserve">(1)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66"/>
        <w:gridCol w:w="1370"/>
        <w:gridCol w:w="134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2026</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 costs related to closure and relocation of Russian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related transaction costs and one-time integration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cost-reduction and productivity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long-term strategy and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expenses related to advisory services for research and development transformation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related to consolidation of corporate 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related to the securities class 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effects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251,788 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85,800 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non-GAAP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76,300 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(1)Represents guidance discussed on August 6, 2026. Reader shall not construe presentation of this information after August 6, 2026 as an update or reaffirmation of such guidance.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(2)Stock-based compensation expenses are based on a range of probable significance, assuming market price for our common stock that is approximately consistent with current levels.</w:t>
      </w:r>
    </w:p>
    <w:p>
      <w:pPr>
        <w:pStyle w:val="TextBody"/>
        <w:bidi w:val="0"/>
        <w:spacing w:lineRule="auto" w:line="288"/>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(3)Acquisition and related transaction costs and one-time integration costs are based on a range of probable significance for completed acquisitions, and no new acquisitions assumed.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(4)Non-GAAP adjustments do not have a material impact on our worldwide income tax provision due to the tax treatment of the non-GAAP adjustments reported, and our domestic valuation allowance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12" w:before="240" w:after="283"/>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Tony Righetti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SVP, 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IR@five9.com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283"/>
        <w:jc w:val="left"/>
        <w:rPr/>
      </w:pPr>
      <w:r>
        <w:rPr/>
      </w:r>
    </w:p>
    <w:p>
      <w:pPr>
        <w:pStyle w:val="TextBody"/>
        <w:bidi w:val="0"/>
        <w:spacing w:before="0" w:after="0"/>
        <w:jc w:val="center"/>
        <w:rPr/>
      </w:pPr>
      <w:bookmarkStart w:id="0" w:name="fivn-supplementalmetricd.htm"/>
      <w:bookmarkStart w:id="1" w:name="ksfivnsupplementalmetricd"/>
      <w:bookmarkEnd w:id="0"/>
      <w:bookmarkEnd w:id="1"/>
      <w:r>
        <w:rPr/>
        <w:drawing>
          <wp:inline distT="0" distB="0" distL="0" distR="0">
            <wp:extent cx="10048875" cy="1300162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jc w:val="center"/>
        <w:rPr>
          <w:color w:val="FFFFFF"/>
          <w:sz w:val="2"/>
        </w:rPr>
      </w:pPr>
      <w:r>
        <w:rPr>
          <w:color w:val="FFFFFF"/>
          <w:sz w:val="2"/>
        </w:rPr>
        <w:t xml:space="preserve">FIVN - Supplemental Metric Disclosure ($M) Q1'24 Q2'24 Q3'24 Q4'24 Q1'25 Q2'25 Q3'25 Q4'25 Q1'26 Q2'26 2024 2025 Subscription % of Total Revenue 79% 78% 80% 79% 80% 81% 81% 82% 82% 83% 79% 81% Telecom % of Total Revenue 14% 14% 13% 14% 13% 12% 12% 11% 12% 11% 14% 12% Professional Services % of Total Revenue 7% 8% 7% 7% 7% 7% 7% 7% 6% 6% 7% 7% Total Revenue $247 $252 $264 $279 $280 $283 $286 $300 $305 $312 $1,042 $1,149 Y/Y Growth % 13% 13% 15% 17% 13% 12% 8% 8% 9% 10% 14% 10% Q/Q Growth % 3% 2% 5% 5% 0% 1% 1% 5% 2% 2% LTM DBRR (Subscription + Telecom) 109% 108% 108% 108% 107% 108% 107% 105% 105% 106% 108% 105% LTM Subscription DBRR 113% 111% 111% 111% 109% 109% 107% 106% 107% 107% 111% 106% Note: Percent of revenue represents approximate figures due to rounding. Exhibit 99.2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5283</Words>
  <Characters>29808</Characters>
  <CharactersWithSpaces>34578</CharactersWithSpaces>
  <Paragraphs>1187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fivn-supplementalmetricd</dc:title>
</cp:coreProperties>
</file>