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2D3243"/>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1024890</wp:posOffset>
            </wp:positionH>
            <wp:positionV relativeFrom="paragraph">
              <wp:posOffset>208280</wp:posOffset>
            </wp:positionV>
            <wp:extent cx="5092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D3243"/>
        </w:rPr>
        <w:t>(Rule 14a-101)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D3243"/>
        </w:rPr>
        <w:t>INFORMATION REQUIRED IN PROXY STATEMENT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D3243"/>
        </w:rPr>
        <w:t>SCHEDULE 14A INFORMATION</w:t>
      </w:r>
    </w:p>
    <w:p>
      <w:pPr>
        <w:spacing w:after="0" w:line="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D3243"/>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D3243"/>
        </w:rPr>
        <w:t>Securities Exchange Act of 1934</w:t>
      </w:r>
    </w:p>
    <w:p>
      <w:pPr>
        <w:spacing w:after="0" w:line="9" w:lineRule="exact"/>
        <w:rPr>
          <w:sz w:val="24"/>
          <w:szCs w:val="24"/>
          <w:color w:val="auto"/>
        </w:rPr>
      </w:pPr>
    </w:p>
    <w:p>
      <w:pPr>
        <w:jc w:val="center"/>
        <w:ind w:right="-1100"/>
        <w:spacing w:after="0"/>
        <w:tabs>
          <w:tab w:leader="none" w:pos="200" w:val="left"/>
        </w:tabs>
        <w:rPr>
          <w:sz w:val="20"/>
          <w:szCs w:val="20"/>
          <w:color w:val="auto"/>
        </w:rPr>
      </w:pPr>
      <w:r>
        <w:rPr>
          <w:rFonts w:ascii="Times New Roman" w:cs="Times New Roman" w:eastAsia="Times New Roman" w:hAnsi="Times New Roman"/>
          <w:sz w:val="18"/>
          <w:szCs w:val="18"/>
          <w:b w:val="1"/>
          <w:bCs w:val="1"/>
          <w:color w:val="2D3243"/>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1024890</wp:posOffset>
            </wp:positionH>
            <wp:positionV relativeFrom="paragraph">
              <wp:posOffset>57150</wp:posOffset>
            </wp:positionV>
            <wp:extent cx="5092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line="184" w:lineRule="exact"/>
        <w:tabs>
          <w:tab w:leader="none" w:pos="1580" w:val="left"/>
        </w:tabs>
        <w:rPr>
          <w:sz w:val="20"/>
          <w:szCs w:val="20"/>
          <w:color w:val="auto"/>
        </w:rPr>
      </w:pPr>
      <w:r>
        <w:rPr>
          <w:rFonts w:ascii="Times New Roman" w:cs="Times New Roman" w:eastAsia="Times New Roman" w:hAnsi="Times New Roman"/>
          <w:sz w:val="16"/>
          <w:szCs w:val="16"/>
          <w:color w:val="2D3243"/>
        </w:rPr>
        <w:t>Filed by the Registrant</w:t>
      </w:r>
      <w:r>
        <w:rPr>
          <w:sz w:val="20"/>
          <w:szCs w:val="20"/>
          <w:color w:val="auto"/>
        </w:rPr>
        <w:tab/>
      </w:r>
      <w:r>
        <w:rPr>
          <w:rFonts w:ascii="MS PGothic" w:cs="MS PGothic" w:eastAsia="MS PGothic" w:hAnsi="MS PGothic"/>
          <w:sz w:val="16"/>
          <w:szCs w:val="16"/>
          <w:color w:val="2D3243"/>
        </w:rPr>
        <w:t>☒</w:t>
      </w:r>
    </w:p>
    <w:p>
      <w:pPr>
        <w:spacing w:after="0" w:line="23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2D3243"/>
        </w:rPr>
        <w:t xml:space="preserve">Filed by a Party other than the Registrant  </w:t>
      </w:r>
      <w:r>
        <w:rPr>
          <w:rFonts w:ascii="MS PGothic" w:cs="MS PGothic" w:eastAsia="MS PGothic" w:hAnsi="MS PGothic"/>
          <w:sz w:val="16"/>
          <w:szCs w:val="16"/>
          <w:color w:val="2D3243"/>
        </w:rPr>
        <w:t>☐</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D3243"/>
        </w:rPr>
        <w:t>Check the appropriate box:</w:t>
      </w:r>
    </w:p>
    <w:p>
      <w:pPr>
        <w:spacing w:after="0" w:line="17" w:lineRule="exact"/>
        <w:rPr>
          <w:sz w:val="24"/>
          <w:szCs w:val="24"/>
          <w:color w:val="auto"/>
        </w:rPr>
      </w:pPr>
    </w:p>
    <w:p>
      <w:pPr>
        <w:ind w:left="580" w:hanging="514"/>
        <w:spacing w:after="0"/>
        <w:tabs>
          <w:tab w:leader="none" w:pos="5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D3243"/>
        </w:rPr>
        <w:t>Preliminary Proxy Statement</w:t>
      </w:r>
    </w:p>
    <w:p>
      <w:pPr>
        <w:spacing w:after="0" w:line="118" w:lineRule="exact"/>
        <w:rPr>
          <w:rFonts w:ascii="MS PGothic" w:cs="MS PGothic" w:eastAsia="MS PGothic" w:hAnsi="MS PGothic"/>
          <w:sz w:val="32"/>
          <w:szCs w:val="32"/>
          <w:color w:val="auto"/>
          <w:vertAlign w:val="superscript"/>
        </w:rPr>
      </w:pPr>
    </w:p>
    <w:p>
      <w:pPr>
        <w:ind w:left="580" w:hanging="514"/>
        <w:spacing w:after="0" w:line="184" w:lineRule="auto"/>
        <w:tabs>
          <w:tab w:leader="none" w:pos="58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4"/>
          <w:szCs w:val="14"/>
          <w:b w:val="1"/>
          <w:bCs w:val="1"/>
          <w:color w:val="2D3243"/>
        </w:rPr>
        <w:t>Confidential, for Use of the Commission Only (as permitted by Rule 14a-6(e)(2))</w:t>
      </w:r>
    </w:p>
    <w:p>
      <w:pPr>
        <w:ind w:left="580" w:hanging="514"/>
        <w:spacing w:after="0" w:line="233" w:lineRule="auto"/>
        <w:tabs>
          <w:tab w:leader="none" w:pos="580" w:val="left"/>
        </w:tabs>
        <w:numPr>
          <w:ilvl w:val="0"/>
          <w:numId w:val="2"/>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D3243"/>
        </w:rPr>
        <w:t>Definitive Proxy Statement</w:t>
      </w:r>
    </w:p>
    <w:p>
      <w:pPr>
        <w:ind w:left="580" w:hanging="514"/>
        <w:spacing w:after="0" w:line="233" w:lineRule="auto"/>
        <w:tabs>
          <w:tab w:leader="none" w:pos="580" w:val="left"/>
        </w:tabs>
        <w:numPr>
          <w:ilvl w:val="0"/>
          <w:numId w:val="3"/>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2D3243"/>
        </w:rPr>
        <w:t>Definitive Additional Materials</w:t>
      </w:r>
    </w:p>
    <w:p>
      <w:pPr>
        <w:spacing w:after="0" w:line="80" w:lineRule="exact"/>
        <w:rPr>
          <w:rFonts w:ascii="MS PGothic" w:cs="MS PGothic" w:eastAsia="MS PGothic" w:hAnsi="MS PGothic"/>
          <w:sz w:val="32"/>
          <w:szCs w:val="32"/>
          <w:color w:val="auto"/>
          <w:vertAlign w:val="subscript"/>
        </w:rPr>
      </w:pPr>
    </w:p>
    <w:p>
      <w:pPr>
        <w:ind w:left="580" w:hanging="514"/>
        <w:spacing w:after="0" w:line="184" w:lineRule="auto"/>
        <w:tabs>
          <w:tab w:leader="none" w:pos="580" w:val="left"/>
        </w:tabs>
        <w:numPr>
          <w:ilvl w:val="0"/>
          <w:numId w:val="3"/>
        </w:numPr>
        <w:rPr>
          <w:rFonts w:ascii="MS PGothic" w:cs="MS PGothic" w:eastAsia="MS PGothic" w:hAnsi="MS PGothic"/>
          <w:sz w:val="30"/>
          <w:szCs w:val="30"/>
          <w:color w:val="auto"/>
          <w:vertAlign w:val="subscript"/>
        </w:rPr>
      </w:pPr>
      <w:r>
        <w:rPr>
          <w:rFonts w:ascii="Times New Roman" w:cs="Times New Roman" w:eastAsia="Times New Roman" w:hAnsi="Times New Roman"/>
          <w:sz w:val="16"/>
          <w:szCs w:val="16"/>
          <w:color w:val="2D3243"/>
        </w:rPr>
        <w:t>Soliciting Material under §240.14a-12</w:t>
      </w:r>
    </w:p>
    <w:p>
      <w:pPr>
        <w:spacing w:after="0" w:line="283"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32"/>
          <w:szCs w:val="32"/>
          <w:b w:val="1"/>
          <w:bCs w:val="1"/>
          <w:color w:val="auto"/>
        </w:rPr>
        <w:t>Five9, Inc.</w:t>
      </w:r>
    </w:p>
    <w:p>
      <w:pPr>
        <w:spacing w:after="0" w:line="2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2D3243"/>
        </w:rPr>
        <w:t>(Name of Registrant as Specified In Its Charter)</w:t>
      </w:r>
    </w:p>
    <w:p>
      <w:pPr>
        <w:spacing w:after="0" w:line="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2D3243"/>
        </w:rPr>
        <w:t>n/a</w:t>
      </w:r>
    </w:p>
    <w:p>
      <w:pPr>
        <w:spacing w:after="0" w:line="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2D3243"/>
        </w:rPr>
        <w:t>(Name of Person(s) Filing Proxy Statement, if other than the Registrant)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D3243"/>
        </w:rPr>
        <w:t>Payment of Filing Fee (Check the appropriate box):</w:t>
      </w:r>
    </w:p>
    <w:p>
      <w:pPr>
        <w:ind w:left="580" w:hanging="514"/>
        <w:spacing w:after="0" w:line="201" w:lineRule="auto"/>
        <w:tabs>
          <w:tab w:leader="none" w:pos="580" w:val="left"/>
        </w:tabs>
        <w:numPr>
          <w:ilvl w:val="0"/>
          <w:numId w:val="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2D3243"/>
        </w:rPr>
        <w:t>No fee required.</w:t>
      </w:r>
    </w:p>
    <w:p>
      <w:pPr>
        <w:spacing w:after="0" w:line="105" w:lineRule="exact"/>
        <w:rPr>
          <w:sz w:val="24"/>
          <w:szCs w:val="24"/>
          <w:color w:val="auto"/>
        </w:rPr>
      </w:pPr>
    </w:p>
    <w:p>
      <w:pPr>
        <w:ind w:left="580" w:hanging="514"/>
        <w:spacing w:after="0"/>
        <w:tabs>
          <w:tab w:leader="none" w:pos="580" w:val="left"/>
        </w:tabs>
        <w:numPr>
          <w:ilvl w:val="0"/>
          <w:numId w:val="5"/>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2D3243"/>
        </w:rPr>
        <w:t>Fee paid previously with preliminary materials.</w:t>
      </w:r>
    </w:p>
    <w:p>
      <w:pPr>
        <w:spacing w:after="0" w:line="176" w:lineRule="exact"/>
        <w:rPr>
          <w:rFonts w:ascii="Times New Roman" w:cs="Times New Roman" w:eastAsia="Times New Roman" w:hAnsi="Times New Roman"/>
          <w:sz w:val="32"/>
          <w:szCs w:val="32"/>
          <w:color w:val="auto"/>
          <w:vertAlign w:val="superscript"/>
        </w:rPr>
      </w:pPr>
    </w:p>
    <w:p>
      <w:pPr>
        <w:ind w:left="580" w:hanging="514"/>
        <w:spacing w:after="0" w:line="193" w:lineRule="auto"/>
        <w:tabs>
          <w:tab w:leader="none" w:pos="580" w:val="left"/>
        </w:tabs>
        <w:numPr>
          <w:ilvl w:val="0"/>
          <w:numId w:val="5"/>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2D3243"/>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822960" cy="43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22960" cy="4368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2D3243"/>
        </w:rPr>
        <w:t>FIVE9, INC., 3001 Bishop Drive, Suite 350, San Ramon, CA 94583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2D3243"/>
        </w:rPr>
        <w:t>Dear Stockholder:</w:t>
      </w:r>
    </w:p>
    <w:p>
      <w:pPr>
        <w:spacing w:after="0" w:line="235" w:lineRule="exact"/>
        <w:rPr>
          <w:sz w:val="20"/>
          <w:szCs w:val="20"/>
          <w:color w:val="auto"/>
        </w:rPr>
      </w:pPr>
    </w:p>
    <w:p>
      <w:pPr>
        <w:ind w:right="80"/>
        <w:spacing w:after="0" w:line="348" w:lineRule="auto"/>
        <w:rPr>
          <w:sz w:val="20"/>
          <w:szCs w:val="20"/>
          <w:color w:val="auto"/>
        </w:rPr>
      </w:pPr>
      <w:r>
        <w:rPr>
          <w:rFonts w:ascii="Arial" w:cs="Arial" w:eastAsia="Arial" w:hAnsi="Arial"/>
          <w:sz w:val="16"/>
          <w:szCs w:val="16"/>
          <w:color w:val="2D3243"/>
        </w:rPr>
        <w:t xml:space="preserve">I am pleased to invite you to attend Five9, Inc.’s 2024 Annual Meeting of Stockholders, to be held on May 14, 2024 (the “Annual Meeting”). The meeting will begin promptly at 8:30 a.m. Pacific Daylight Time virtually over the Internet at </w:t>
      </w:r>
      <w:r>
        <w:rPr>
          <w:rFonts w:ascii="Arial" w:cs="Arial" w:eastAsia="Arial" w:hAnsi="Arial"/>
          <w:sz w:val="16"/>
          <w:szCs w:val="16"/>
          <w:color w:val="0336FF"/>
        </w:rPr>
        <w:t>www.virtualshareholdermeeting.com/FIVN2024</w:t>
      </w:r>
      <w:r>
        <w:rPr>
          <w:rFonts w:ascii="Arial" w:cs="Arial" w:eastAsia="Arial" w:hAnsi="Arial"/>
          <w:sz w:val="16"/>
          <w:szCs w:val="16"/>
          <w:color w:val="2D3243"/>
        </w:rPr>
        <w:t xml:space="preserve">. Instructions on how to participate in the Annual Meeting and demonstrate proof of stock ownership are posted at </w:t>
      </w:r>
      <w:r>
        <w:rPr>
          <w:rFonts w:ascii="Arial" w:cs="Arial" w:eastAsia="Arial" w:hAnsi="Arial"/>
          <w:sz w:val="16"/>
          <w:szCs w:val="16"/>
          <w:color w:val="0336FF"/>
        </w:rPr>
        <w:t>www.proxyvote.com</w:t>
      </w:r>
      <w:r>
        <w:rPr>
          <w:rFonts w:ascii="Arial" w:cs="Arial" w:eastAsia="Arial" w:hAnsi="Arial"/>
          <w:sz w:val="16"/>
          <w:szCs w:val="16"/>
          <w:color w:val="2D3243"/>
        </w:rPr>
        <w:t xml:space="preserve">. The webcast of the Annual Meeting will be archived for one year after the date of the Annual Meeting at </w:t>
      </w:r>
      <w:r>
        <w:rPr>
          <w:rFonts w:ascii="Arial" w:cs="Arial" w:eastAsia="Arial" w:hAnsi="Arial"/>
          <w:sz w:val="16"/>
          <w:szCs w:val="16"/>
          <w:color w:val="0336FF"/>
        </w:rPr>
        <w:t>www.virtualshareholdermeeting.com/FIVN2024</w:t>
      </w:r>
      <w:r>
        <w:rPr>
          <w:rFonts w:ascii="Arial" w:cs="Arial" w:eastAsia="Arial" w:hAnsi="Arial"/>
          <w:sz w:val="16"/>
          <w:szCs w:val="16"/>
          <w:color w:val="2D3243"/>
        </w:rPr>
        <w:t>. Only stockholders who held stock at the close of business on the record date, March 18, 2024, may vote at the Annual Meeting, including any adjournment or postponement thereof.</w:t>
      </w:r>
    </w:p>
    <w:p>
      <w:pPr>
        <w:spacing w:after="0" w:line="124" w:lineRule="exact"/>
        <w:rPr>
          <w:sz w:val="20"/>
          <w:szCs w:val="20"/>
          <w:color w:val="auto"/>
        </w:rPr>
      </w:pPr>
    </w:p>
    <w:p>
      <w:pPr>
        <w:ind w:right="880"/>
        <w:spacing w:after="0" w:line="374" w:lineRule="auto"/>
        <w:rPr>
          <w:sz w:val="20"/>
          <w:szCs w:val="20"/>
          <w:color w:val="auto"/>
        </w:rPr>
      </w:pPr>
      <w:r>
        <w:rPr>
          <w:rFonts w:ascii="Arial" w:cs="Arial" w:eastAsia="Arial" w:hAnsi="Arial"/>
          <w:sz w:val="16"/>
          <w:szCs w:val="16"/>
          <w:color w:val="2D3243"/>
        </w:rPr>
        <w:t>Details regarding the business to be conducted at the Annual Meeting are more fully described in the accompanying Notice of Annual Meeting of Stockholders and Proxy Statement. We encourage you to carefully read these materials, as well as our Annual Report to Stockholders.</w:t>
      </w:r>
    </w:p>
    <w:p>
      <w:pPr>
        <w:spacing w:after="0" w:line="102" w:lineRule="exact"/>
        <w:rPr>
          <w:sz w:val="20"/>
          <w:szCs w:val="20"/>
          <w:color w:val="auto"/>
        </w:rPr>
      </w:pPr>
    </w:p>
    <w:p>
      <w:pPr>
        <w:ind w:right="100"/>
        <w:spacing w:after="0" w:line="353" w:lineRule="auto"/>
        <w:rPr>
          <w:sz w:val="20"/>
          <w:szCs w:val="20"/>
          <w:color w:val="auto"/>
        </w:rPr>
      </w:pPr>
      <w:r>
        <w:rPr>
          <w:rFonts w:ascii="Arial" w:cs="Arial" w:eastAsia="Arial" w:hAnsi="Arial"/>
          <w:sz w:val="16"/>
          <w:szCs w:val="16"/>
          <w:color w:val="2D3243"/>
        </w:rPr>
        <w:t>We are acting under a U.S. Securities and Exchange Commission rule that allows companies to furnish their proxy materials over the Internet rather than in paper form. Consequently, stockholders will not receive paper copies of our proxy materials unless they specifically request them. We believe that this delivery process will reduce our environmental impact and lower the costs of printing and distributing our proxy materials. We believe that we can achieve these benefits with no impact on our stockholders’ timely access to this important information.</w:t>
      </w:r>
    </w:p>
    <w:p>
      <w:pPr>
        <w:spacing w:after="0" w:line="119" w:lineRule="exact"/>
        <w:rPr>
          <w:sz w:val="20"/>
          <w:szCs w:val="20"/>
          <w:color w:val="auto"/>
        </w:rPr>
      </w:pPr>
    </w:p>
    <w:p>
      <w:pPr>
        <w:ind w:right="320"/>
        <w:spacing w:after="0" w:line="348" w:lineRule="auto"/>
        <w:rPr>
          <w:sz w:val="20"/>
          <w:szCs w:val="20"/>
          <w:color w:val="auto"/>
        </w:rPr>
      </w:pPr>
      <w:r>
        <w:rPr>
          <w:rFonts w:ascii="Arial" w:cs="Arial" w:eastAsia="Arial" w:hAnsi="Arial"/>
          <w:sz w:val="16"/>
          <w:szCs w:val="16"/>
          <w:color w:val="2D3243"/>
        </w:rPr>
        <w:t xml:space="preserve">Your vote is important. Whether or not you expect to attend the Annual Meeting, please vote by telephone or the Internet according to the instructions on your proxy card or in the Notice of Internet Availability of Proxy Materials (the “Notice”) or request a proxy card from us by email at </w:t>
      </w:r>
      <w:r>
        <w:rPr>
          <w:rFonts w:ascii="Arial" w:cs="Arial" w:eastAsia="Arial" w:hAnsi="Arial"/>
          <w:sz w:val="16"/>
          <w:szCs w:val="16"/>
          <w:color w:val="0336FF"/>
        </w:rPr>
        <w:t>ir@five9.com</w:t>
      </w:r>
      <w:r>
        <w:rPr>
          <w:rFonts w:ascii="Arial" w:cs="Arial" w:eastAsia="Arial" w:hAnsi="Arial"/>
          <w:sz w:val="16"/>
          <w:szCs w:val="16"/>
          <w:color w:val="2D3243"/>
        </w:rPr>
        <w:t xml:space="preserve"> and complete, date, sign, and return your proxy card in the envelope provided, in each such case, as soon as possible to ensure that your shares will be represented and voted at the Annual Meeting. Even if you have voted by proxy, you may still vote through our virtual web conference if you attend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2D3243"/>
        </w:rPr>
        <w:t>On behalf of the Board of Directors, thank you for your continued interest and support.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D3243"/>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1323975</wp:posOffset>
            </wp:positionV>
            <wp:extent cx="3600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586740</wp:posOffset>
            </wp:positionV>
            <wp:extent cx="1705610"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56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340"/>
        <w:spacing w:after="0"/>
        <w:rPr>
          <w:sz w:val="20"/>
          <w:szCs w:val="20"/>
          <w:color w:val="auto"/>
        </w:rPr>
      </w:pPr>
      <w:r>
        <w:rPr>
          <w:rFonts w:ascii="Arial" w:cs="Arial" w:eastAsia="Arial" w:hAnsi="Arial"/>
          <w:sz w:val="16"/>
          <w:szCs w:val="16"/>
          <w:color w:val="2D3243"/>
        </w:rPr>
        <w:t>Michael Burkland</w:t>
      </w:r>
    </w:p>
    <w:p>
      <w:pPr>
        <w:spacing w:after="0" w:line="127" w:lineRule="exact"/>
        <w:rPr>
          <w:sz w:val="20"/>
          <w:szCs w:val="20"/>
          <w:color w:val="auto"/>
        </w:rPr>
      </w:pPr>
    </w:p>
    <w:p>
      <w:pPr>
        <w:ind w:left="3340"/>
        <w:spacing w:after="0"/>
        <w:rPr>
          <w:sz w:val="20"/>
          <w:szCs w:val="20"/>
          <w:color w:val="auto"/>
        </w:rPr>
      </w:pPr>
      <w:r>
        <w:rPr>
          <w:rFonts w:ascii="Arial" w:cs="Arial" w:eastAsia="Arial" w:hAnsi="Arial"/>
          <w:sz w:val="16"/>
          <w:szCs w:val="16"/>
          <w:color w:val="2D3243"/>
        </w:rPr>
        <w:t>Chairman of the Board and Chief Executive Officer</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2D3243"/>
        </w:rPr>
        <w:t>San Ramon, California</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color w:val="2D3243"/>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right"/>
        <w:spacing w:after="0"/>
        <w:rPr>
          <w:sz w:val="20"/>
          <w:szCs w:val="20"/>
          <w:color w:val="auto"/>
        </w:rPr>
      </w:pPr>
      <w:r>
        <w:rPr>
          <w:rFonts w:ascii="Arial" w:cs="Arial" w:eastAsia="Arial" w:hAnsi="Arial"/>
          <w:sz w:val="14"/>
          <w:szCs w:val="14"/>
          <w:color w:val="2D3243"/>
        </w:rPr>
        <w:drawing>
          <wp:anchor simplePos="0" relativeHeight="251657728" behindDoc="1" locked="0" layoutInCell="0" allowOverlap="1">
            <wp:simplePos x="0" y="0"/>
            <wp:positionH relativeFrom="page">
              <wp:posOffset>216535</wp:posOffset>
            </wp:positionH>
            <wp:positionV relativeFrom="page">
              <wp:posOffset>706120</wp:posOffset>
            </wp:positionV>
            <wp:extent cx="82296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22960" cy="436880"/>
                    </a:xfrm>
                    <a:prstGeom prst="rect">
                      <a:avLst/>
                    </a:prstGeom>
                    <a:noFill/>
                  </pic:spPr>
                </pic:pic>
              </a:graphicData>
            </a:graphic>
          </wp:anchor>
        </w:drawing>
        <w:t>FIVE9, INC., 3001 Bishop Drive, Suite 350, San Ramon, CA 94583</w:t>
      </w: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56"/>
          <w:szCs w:val="56"/>
          <w:color w:val="2D3243"/>
        </w:rPr>
        <w:t>To Our Stockholders</w:t>
      </w:r>
    </w:p>
    <w:p>
      <w:pPr>
        <w:sectPr>
          <w:pgSz w:w="11900" w:h="16838" w:orient="portrait"/>
          <w:cols w:equalWidth="0" w:num="1">
            <w:col w:w="11220"/>
          </w:cols>
          <w:pgMar w:left="320" w:top="1399" w:right="359" w:bottom="0" w:gutter="0" w:footer="0" w:header="0"/>
        </w:sectPr>
      </w:pPr>
    </w:p>
    <w:p>
      <w:pPr>
        <w:spacing w:after="0" w:line="141" w:lineRule="exact"/>
        <w:rPr>
          <w:sz w:val="20"/>
          <w:szCs w:val="20"/>
          <w:color w:val="auto"/>
        </w:rPr>
      </w:pPr>
    </w:p>
    <w:p>
      <w:pPr>
        <w:ind w:left="80" w:right="20"/>
        <w:spacing w:after="0" w:line="326" w:lineRule="auto"/>
        <w:rPr>
          <w:sz w:val="20"/>
          <w:szCs w:val="20"/>
          <w:color w:val="auto"/>
        </w:rPr>
      </w:pPr>
      <w:r>
        <w:rPr>
          <w:rFonts w:ascii="Arial" w:cs="Arial" w:eastAsia="Arial" w:hAnsi="Arial"/>
          <w:sz w:val="20"/>
          <w:szCs w:val="20"/>
          <w:b w:val="1"/>
          <w:bCs w:val="1"/>
          <w:color w:val="2D3243"/>
        </w:rPr>
        <w:t>Notice Of Annual Meeting Of Stockholders</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2D3243"/>
        </w:rPr>
        <w:t>Date: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2D3243"/>
        </w:rPr>
        <w:t>May 14, 2024</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2D3243"/>
        </w:rPr>
        <w:t>Time: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2D3243"/>
        </w:rPr>
        <w:t>8:30 a.m. PDT</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2D3243"/>
        </w:rPr>
        <w:t>Place:</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2D3243"/>
        </w:rPr>
        <w:t>Virtually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1203960</wp:posOffset>
            </wp:positionV>
            <wp:extent cx="48006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006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 w:right="900"/>
        <w:spacing w:after="0" w:line="350" w:lineRule="auto"/>
        <w:rPr>
          <w:sz w:val="20"/>
          <w:szCs w:val="20"/>
          <w:color w:val="auto"/>
        </w:rPr>
      </w:pPr>
      <w:r>
        <w:rPr>
          <w:rFonts w:ascii="Arial" w:cs="Arial" w:eastAsia="Arial" w:hAnsi="Arial"/>
          <w:sz w:val="21"/>
          <w:szCs w:val="21"/>
          <w:b w:val="1"/>
          <w:bCs w:val="1"/>
          <w:color w:val="0336FF"/>
        </w:rPr>
        <w:t>YOUR VOTE IS IMPORTANT</w:t>
      </w:r>
    </w:p>
    <w:p>
      <w:pPr>
        <w:spacing w:after="0" w:line="340" w:lineRule="exact"/>
        <w:rPr>
          <w:sz w:val="20"/>
          <w:szCs w:val="20"/>
          <w:color w:val="auto"/>
        </w:rPr>
      </w:pPr>
    </w:p>
    <w:p>
      <w:pPr>
        <w:ind w:left="80"/>
        <w:spacing w:after="0" w:line="310" w:lineRule="auto"/>
        <w:rPr>
          <w:sz w:val="20"/>
          <w:szCs w:val="20"/>
          <w:color w:val="auto"/>
        </w:rPr>
      </w:pPr>
      <w:r>
        <w:rPr>
          <w:rFonts w:ascii="Arial" w:cs="Arial" w:eastAsia="Arial" w:hAnsi="Arial"/>
          <w:sz w:val="19"/>
          <w:szCs w:val="19"/>
          <w:b w:val="1"/>
          <w:bCs w:val="1"/>
          <w:color w:val="2D3243"/>
        </w:rPr>
        <w:t xml:space="preserve">Please vote by telephone or Internet as set forth in the Notice, or request a proxy card from us by email at </w:t>
      </w:r>
      <w:r>
        <w:rPr>
          <w:rFonts w:ascii="Arial" w:cs="Arial" w:eastAsia="Arial" w:hAnsi="Arial"/>
          <w:sz w:val="19"/>
          <w:szCs w:val="19"/>
          <w:b w:val="1"/>
          <w:bCs w:val="1"/>
          <w:color w:val="0336FF"/>
        </w:rPr>
        <w:t>ir@five9.com</w:t>
      </w:r>
      <w:r>
        <w:rPr>
          <w:rFonts w:ascii="Arial" w:cs="Arial" w:eastAsia="Arial" w:hAnsi="Arial"/>
          <w:sz w:val="19"/>
          <w:szCs w:val="19"/>
          <w:b w:val="1"/>
          <w:bCs w:val="1"/>
          <w:color w:val="2D3243"/>
        </w:rPr>
        <w:t xml:space="preserve"> and date and sign the proxy card and return it at your earliest convenience in the postage-prepaid return envelope provided so that your shares may be voted.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2D3243"/>
        </w:rPr>
        <w:t xml:space="preserve">You are cordially invited to attend the 2024 Annual Meeting of Stockholders (the “Annual Meeting”) of Five9, Inc., a Delaware corporation (the “Company”). The meeting will be held on May 14, 2024 at 8:30 a.m. Pacific Daylight Time virtually over the Internet at </w:t>
      </w:r>
      <w:r>
        <w:rPr>
          <w:rFonts w:ascii="Arial" w:cs="Arial" w:eastAsia="Arial" w:hAnsi="Arial"/>
          <w:sz w:val="16"/>
          <w:szCs w:val="16"/>
          <w:color w:val="0336FF"/>
        </w:rPr>
        <w:t>www.virtualshareholdermeeting.com/FIVN2024</w:t>
      </w:r>
      <w:r>
        <w:rPr>
          <w:rFonts w:ascii="Arial" w:cs="Arial" w:eastAsia="Arial" w:hAnsi="Arial"/>
          <w:sz w:val="16"/>
          <w:szCs w:val="16"/>
          <w:color w:val="2D3243"/>
        </w:rPr>
        <w:t xml:space="preserve">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52292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367" w:lineRule="exact"/>
        <w:rPr>
          <w:sz w:val="20"/>
          <w:szCs w:val="20"/>
          <w:color w:val="auto"/>
        </w:rPr>
      </w:pPr>
    </w:p>
    <w:p>
      <w:pPr>
        <w:jc w:val="both"/>
        <w:ind w:left="700" w:right="60"/>
        <w:spacing w:after="0" w:line="354" w:lineRule="auto"/>
        <w:rPr>
          <w:sz w:val="20"/>
          <w:szCs w:val="20"/>
          <w:color w:val="auto"/>
        </w:rPr>
      </w:pPr>
      <w:r>
        <w:rPr>
          <w:rFonts w:ascii="Arial" w:cs="Arial" w:eastAsia="Arial" w:hAnsi="Arial"/>
          <w:sz w:val="16"/>
          <w:szCs w:val="16"/>
          <w:color w:val="2D3243"/>
        </w:rPr>
        <w:t>To elect the two (2) members of the Board of Directors identified in the accompanying proxy statement to serve until the 2027 annual meeting of stockholders of the Company or until their successors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2292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9225" cy="889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-379095</wp:posOffset>
            </wp:positionV>
            <wp:extent cx="24003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160655</wp:posOffset>
            </wp:positionV>
            <wp:extent cx="24003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73" w:lineRule="exact"/>
        <w:rPr>
          <w:sz w:val="20"/>
          <w:szCs w:val="20"/>
          <w:color w:val="auto"/>
        </w:rPr>
      </w:pPr>
    </w:p>
    <w:p>
      <w:pPr>
        <w:ind w:left="700"/>
        <w:spacing w:after="0"/>
        <w:rPr>
          <w:sz w:val="20"/>
          <w:szCs w:val="20"/>
          <w:color w:val="auto"/>
        </w:rPr>
      </w:pPr>
      <w:r>
        <w:rPr>
          <w:rFonts w:ascii="Arial" w:cs="Arial" w:eastAsia="Arial" w:hAnsi="Arial"/>
          <w:sz w:val="16"/>
          <w:szCs w:val="16"/>
          <w:color w:val="2D3243"/>
        </w:rPr>
        <w:t>To hold a non-binding, 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5229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29225" cy="8255"/>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303530</wp:posOffset>
            </wp:positionV>
            <wp:extent cx="24003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700"/>
        <w:spacing w:after="0"/>
        <w:rPr>
          <w:sz w:val="20"/>
          <w:szCs w:val="20"/>
          <w:color w:val="auto"/>
        </w:rPr>
      </w:pPr>
      <w:r>
        <w:rPr>
          <w:rFonts w:ascii="Arial" w:cs="Arial" w:eastAsia="Arial" w:hAnsi="Arial"/>
          <w:sz w:val="16"/>
          <w:szCs w:val="16"/>
          <w:color w:val="2D3243"/>
        </w:rPr>
        <w:t>To hold an advisory vote on the frequency of advisory votes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5229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390" w:lineRule="exact"/>
        <w:rPr>
          <w:sz w:val="20"/>
          <w:szCs w:val="20"/>
          <w:color w:val="auto"/>
        </w:rPr>
      </w:pPr>
    </w:p>
    <w:p>
      <w:pPr>
        <w:ind w:left="700" w:right="120"/>
        <w:spacing w:after="0" w:line="374" w:lineRule="auto"/>
        <w:rPr>
          <w:sz w:val="20"/>
          <w:szCs w:val="20"/>
          <w:color w:val="auto"/>
        </w:rPr>
      </w:pPr>
      <w:r>
        <w:rPr>
          <w:rFonts w:ascii="Arial" w:cs="Arial" w:eastAsia="Arial" w:hAnsi="Arial"/>
          <w:sz w:val="16"/>
          <w:szCs w:val="16"/>
          <w:color w:val="2D3243"/>
        </w:rPr>
        <w:t>To ratify the appointment by the Audit Committee of the Board of Directors of KPMG LLP as the Company’s independent registered public accounting firm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5229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29225" cy="8255"/>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-302895</wp:posOffset>
            </wp:positionV>
            <wp:extent cx="24003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296545</wp:posOffset>
            </wp:positionV>
            <wp:extent cx="24003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700"/>
        <w:spacing w:after="0"/>
        <w:rPr>
          <w:sz w:val="20"/>
          <w:szCs w:val="20"/>
          <w:color w:val="auto"/>
        </w:rPr>
      </w:pPr>
      <w:r>
        <w:rPr>
          <w:rFonts w:ascii="Arial" w:cs="Arial" w:eastAsia="Arial" w:hAnsi="Arial"/>
          <w:sz w:val="16"/>
          <w:szCs w:val="16"/>
          <w:color w:val="2D3243"/>
        </w:rPr>
        <w:t>To transact any other business properly brought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5229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2D3243"/>
        </w:rPr>
        <w:t>These items of business are more fully described in the Proxy Statement.</w:t>
      </w:r>
    </w:p>
    <w:p>
      <w:pPr>
        <w:spacing w:after="0" w:line="235" w:lineRule="exact"/>
        <w:rPr>
          <w:sz w:val="20"/>
          <w:szCs w:val="20"/>
          <w:color w:val="auto"/>
        </w:rPr>
      </w:pPr>
    </w:p>
    <w:p>
      <w:pPr>
        <w:ind w:right="140"/>
        <w:spacing w:after="0" w:line="346" w:lineRule="auto"/>
        <w:rPr>
          <w:sz w:val="20"/>
          <w:szCs w:val="20"/>
          <w:color w:val="auto"/>
        </w:rPr>
      </w:pPr>
      <w:r>
        <w:rPr>
          <w:rFonts w:ascii="Arial" w:cs="Arial" w:eastAsia="Arial" w:hAnsi="Arial"/>
          <w:sz w:val="16"/>
          <w:szCs w:val="16"/>
          <w:color w:val="2D3243"/>
        </w:rPr>
        <w:t xml:space="preserve">The record date for the 2024 Annual Meeting is March 18, 2024. Only stockholders of record at the close of business on that date may vote at the meeting or any adjournment thereof. The Company’s list of stockholders as of March 18, 2024 will be available for inspection for 10 days prior to the Annual Meeting. If you want to inspect the stockholder list, email our Investor Relations department at </w:t>
      </w:r>
      <w:r>
        <w:rPr>
          <w:rFonts w:ascii="Arial" w:cs="Arial" w:eastAsia="Arial" w:hAnsi="Arial"/>
          <w:sz w:val="16"/>
          <w:szCs w:val="16"/>
          <w:color w:val="0336FF"/>
        </w:rPr>
        <w:t>ir@five9.com</w:t>
      </w:r>
      <w:r>
        <w:rPr>
          <w:rFonts w:ascii="Arial" w:cs="Arial" w:eastAsia="Arial" w:hAnsi="Arial"/>
          <w:sz w:val="16"/>
          <w:szCs w:val="16"/>
          <w:color w:val="2D3243"/>
        </w:rPr>
        <w:t>. In addition, the list of stockholders will also be available during the Annual Meeting through the meeting website for those stockholders who choose to attend.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2D3243"/>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1894205" cy="574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9420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2D3243"/>
        </w:rPr>
        <w:t>Kimberly Lytikainen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Chief Legal Officer, Chief Compliance Officer &amp; Secretary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D3243"/>
        </w:rPr>
        <w:t>San Ramon, California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April 1, 2024</w:t>
      </w:r>
    </w:p>
    <w:p>
      <w:pPr>
        <w:spacing w:after="0" w:line="200" w:lineRule="exact"/>
        <w:rPr>
          <w:sz w:val="20"/>
          <w:szCs w:val="20"/>
          <w:color w:val="auto"/>
        </w:rPr>
      </w:pPr>
    </w:p>
    <w:p>
      <w:pPr>
        <w:sectPr>
          <w:pgSz w:w="11900" w:h="16838" w:orient="portrait"/>
          <w:cols w:equalWidth="0" w:num="2">
            <w:col w:w="2520" w:space="440"/>
            <w:col w:w="8260"/>
          </w:cols>
          <w:pgMar w:left="320" w:top="1399" w:right="359" w:bottom="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right="80"/>
        <w:spacing w:after="0" w:line="345" w:lineRule="auto"/>
        <w:rPr>
          <w:sz w:val="20"/>
          <w:szCs w:val="20"/>
          <w:color w:val="auto"/>
        </w:rPr>
      </w:pPr>
      <w:r>
        <w:rPr>
          <w:rFonts w:ascii="Arial" w:cs="Arial" w:eastAsia="Arial" w:hAnsi="Arial"/>
          <w:sz w:val="16"/>
          <w:szCs w:val="16"/>
          <w:b w:val="1"/>
          <w:bCs w:val="1"/>
          <w:color w:val="2D3243"/>
        </w:rPr>
        <w:t xml:space="preserve">Whether or not you expect to attend the Annual Meeting, please vote over the telephone or the Internet as instructed in these materials, or request a proxy card from the Company by email at ir@five9.com and complete, date, sign and return the proxy card in the envelope provided, in each case as promptly as possible in order to ensure your representation at the Annual Meeting. A return envelope (which is postage prepaid if mailed in the United States) will be provided to you if you email a request for a proxy card to the Company at </w:t>
      </w:r>
      <w:r>
        <w:rPr>
          <w:rFonts w:ascii="Arial" w:cs="Arial" w:eastAsia="Arial" w:hAnsi="Arial"/>
          <w:sz w:val="16"/>
          <w:szCs w:val="16"/>
          <w:b w:val="1"/>
          <w:bCs w:val="1"/>
          <w:color w:val="0336FF"/>
        </w:rPr>
        <w:t>ir@five9.com</w:t>
      </w:r>
      <w:r>
        <w:rPr>
          <w:rFonts w:ascii="Arial" w:cs="Arial" w:eastAsia="Arial" w:hAnsi="Arial"/>
          <w:sz w:val="16"/>
          <w:szCs w:val="16"/>
          <w:b w:val="1"/>
          <w:bCs w:val="1"/>
          <w:color w:val="2D3243"/>
        </w:rPr>
        <w:t>. Even if you have voted by proxy, you may still vote through our virtual web conference if you attend the Annual Meeting. Please note, however, that if your shares are held of record by a broker, bank or other nominee and you wish to vote at the Annual Meeting, you must obtain a proxy issued in your name from that record holder.</w:t>
      </w:r>
    </w:p>
    <w:p>
      <w:pPr>
        <w:spacing w:after="0" w:line="133" w:lineRule="exact"/>
        <w:rPr>
          <w:sz w:val="20"/>
          <w:szCs w:val="20"/>
          <w:color w:val="auto"/>
        </w:rPr>
      </w:pPr>
    </w:p>
    <w:p>
      <w:pPr>
        <w:ind w:right="400"/>
        <w:spacing w:after="0" w:line="384" w:lineRule="auto"/>
        <w:rPr>
          <w:sz w:val="20"/>
          <w:szCs w:val="20"/>
          <w:color w:val="auto"/>
        </w:rPr>
      </w:pPr>
      <w:r>
        <w:rPr>
          <w:rFonts w:ascii="Arial" w:cs="Arial" w:eastAsia="Arial" w:hAnsi="Arial"/>
          <w:sz w:val="16"/>
          <w:szCs w:val="16"/>
          <w:b w:val="1"/>
          <w:bCs w:val="1"/>
          <w:color w:val="2D3243"/>
        </w:rPr>
        <w:t>IMPORTANT NOTICE REGARDING THE AVAILABILITY OF PROXY MATERIALS FOR THE STOCKHOLDER MEETING TO BE HELD ON MAY 14, 2024.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2D3243"/>
        </w:rPr>
        <w:t xml:space="preserve">The Proxy Statement and Annual Report to Stockholders are available at </w:t>
      </w:r>
      <w:r>
        <w:rPr>
          <w:rFonts w:ascii="Arial" w:cs="Arial" w:eastAsia="Arial" w:hAnsi="Arial"/>
          <w:sz w:val="16"/>
          <w:szCs w:val="16"/>
          <w:color w:val="0336FF"/>
        </w:rPr>
        <w:t>http://investors.five9.com and www.proxyvote.com</w:t>
      </w:r>
      <w:r>
        <w:rPr>
          <w:rFonts w:ascii="Arial" w:cs="Arial" w:eastAsia="Arial" w:hAnsi="Arial"/>
          <w:sz w:val="16"/>
          <w:szCs w:val="16"/>
          <w:color w:val="2D3243"/>
        </w:rPr>
        <w:t>.</w:t>
      </w:r>
    </w:p>
    <w:p>
      <w:pPr>
        <w:sectPr>
          <w:pgSz w:w="11900" w:h="16838" w:orient="portrait"/>
          <w:cols w:equalWidth="0" w:num="1">
            <w:col w:w="11220"/>
          </w:cols>
          <w:pgMar w:left="320" w:top="1399" w:right="359" w:bottom="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736600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58"/>
          <w:szCs w:val="58"/>
          <w:color w:val="2D3243"/>
        </w:rPr>
        <w:t>Table of Contents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0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Page</w:t>
            </w:r>
          </w:p>
        </w:tc>
      </w:tr>
      <w:tr>
        <w:trPr>
          <w:trHeight w:val="48"/>
        </w:trPr>
        <w:tc>
          <w:tcPr>
            <w:tcW w:w="106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391"/>
        </w:trPr>
        <w:tc>
          <w:tcPr>
            <w:tcW w:w="10660" w:type="dxa"/>
            <w:vAlign w:val="bottom"/>
          </w:tcPr>
          <w:p>
            <w:pPr>
              <w:spacing w:after="0"/>
              <w:rPr>
                <w:sz w:val="20"/>
                <w:szCs w:val="20"/>
                <w:color w:val="auto"/>
              </w:rPr>
            </w:pPr>
            <w:r>
              <w:rPr>
                <w:rFonts w:ascii="Arial" w:cs="Arial" w:eastAsia="Arial" w:hAnsi="Arial"/>
                <w:sz w:val="16"/>
                <w:szCs w:val="16"/>
                <w:b w:val="1"/>
                <w:bCs w:val="1"/>
                <w:color w:val="0000FF"/>
              </w:rPr>
              <w:t>Questions And Answers About This Proxy Material And Voting</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0000FF"/>
              </w:rPr>
              <w:t>1</w:t>
            </w:r>
          </w:p>
        </w:tc>
      </w:tr>
      <w:tr>
        <w:trPr>
          <w:trHeight w:val="473"/>
        </w:trPr>
        <w:tc>
          <w:tcPr>
            <w:tcW w:w="10660" w:type="dxa"/>
            <w:vAlign w:val="bottom"/>
          </w:tcPr>
          <w:p>
            <w:pPr>
              <w:spacing w:after="0"/>
              <w:rPr>
                <w:sz w:val="20"/>
                <w:szCs w:val="20"/>
                <w:color w:val="auto"/>
              </w:rPr>
            </w:pPr>
            <w:r>
              <w:rPr>
                <w:rFonts w:ascii="Arial" w:cs="Arial" w:eastAsia="Arial" w:hAnsi="Arial"/>
                <w:sz w:val="16"/>
                <w:szCs w:val="16"/>
                <w:b w:val="1"/>
                <w:bCs w:val="1"/>
                <w:color w:val="0000FF"/>
              </w:rPr>
              <w:t>Proposal No. 1 – Election Of Directors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0336FF"/>
              </w:rPr>
              <w:t>9</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Information Regarding the Nominees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10</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Information Regarding Other Directors Continuing in Office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11</w:t>
            </w:r>
          </w:p>
        </w:tc>
      </w:tr>
      <w:tr>
        <w:trPr>
          <w:trHeight w:val="473"/>
        </w:trPr>
        <w:tc>
          <w:tcPr>
            <w:tcW w:w="10660" w:type="dxa"/>
            <w:vAlign w:val="bottom"/>
          </w:tcPr>
          <w:p>
            <w:pPr>
              <w:spacing w:after="0"/>
              <w:rPr>
                <w:sz w:val="20"/>
                <w:szCs w:val="20"/>
                <w:color w:val="auto"/>
              </w:rPr>
            </w:pPr>
            <w:r>
              <w:rPr>
                <w:rFonts w:ascii="Arial" w:cs="Arial" w:eastAsia="Arial" w:hAnsi="Arial"/>
                <w:sz w:val="16"/>
                <w:szCs w:val="16"/>
                <w:b w:val="1"/>
                <w:bCs w:val="1"/>
                <w:color w:val="auto"/>
              </w:rPr>
              <w:t>Corporate Governance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Director Independence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15</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Board Leadership Structure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15</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Risk Oversight Management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15</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Information Regarding the Board of Directors and its Committees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16</w:t>
            </w:r>
          </w:p>
        </w:tc>
      </w:tr>
      <w:tr>
        <w:trPr>
          <w:trHeight w:val="472"/>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Audit Committee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16</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Compensation Committee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17</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Compensation Committee Interlocks and Insider Participation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17</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Nominating and Governance Committee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18</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Meetings of the Board of Directors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22</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Diversity of Executive Leadership Team and Board</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22</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Code of Business Conduct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24</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Stockholder Communications with the Board of Directors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24</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Attendance at Annual Meeting of Stockholders by the Board of Directors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24</w:t>
            </w:r>
          </w:p>
        </w:tc>
      </w:tr>
      <w:tr>
        <w:trPr>
          <w:trHeight w:val="472"/>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Director Compensation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24</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Employees and Human Capital Resources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27</w:t>
            </w:r>
          </w:p>
        </w:tc>
      </w:tr>
      <w:tr>
        <w:trPr>
          <w:trHeight w:val="473"/>
        </w:trPr>
        <w:tc>
          <w:tcPr>
            <w:tcW w:w="10660" w:type="dxa"/>
            <w:vAlign w:val="bottom"/>
          </w:tcPr>
          <w:p>
            <w:pPr>
              <w:spacing w:after="0"/>
              <w:rPr>
                <w:sz w:val="20"/>
                <w:szCs w:val="20"/>
                <w:color w:val="auto"/>
              </w:rPr>
            </w:pPr>
            <w:r>
              <w:rPr>
                <w:rFonts w:ascii="Arial" w:cs="Arial" w:eastAsia="Arial" w:hAnsi="Arial"/>
                <w:sz w:val="16"/>
                <w:szCs w:val="16"/>
                <w:b w:val="1"/>
                <w:bCs w:val="1"/>
                <w:color w:val="0000FF"/>
              </w:rPr>
              <w:t>Proposal No. 2 – Advisory Vote to Approve Named Executive Officer Compensation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0336FF"/>
              </w:rPr>
              <w:t>30</w:t>
            </w:r>
          </w:p>
        </w:tc>
      </w:tr>
      <w:tr>
        <w:trPr>
          <w:trHeight w:val="472"/>
        </w:trPr>
        <w:tc>
          <w:tcPr>
            <w:tcW w:w="10660" w:type="dxa"/>
            <w:vAlign w:val="bottom"/>
          </w:tcPr>
          <w:p>
            <w:pPr>
              <w:spacing w:after="0"/>
              <w:rPr>
                <w:sz w:val="20"/>
                <w:szCs w:val="20"/>
                <w:color w:val="auto"/>
              </w:rPr>
            </w:pPr>
            <w:r>
              <w:rPr>
                <w:rFonts w:ascii="Arial" w:cs="Arial" w:eastAsia="Arial" w:hAnsi="Arial"/>
                <w:sz w:val="16"/>
                <w:szCs w:val="16"/>
                <w:b w:val="1"/>
                <w:bCs w:val="1"/>
                <w:color w:val="0000FF"/>
              </w:rPr>
              <w:t>Proposal No. 3 – Advisory Vote On The Frequency Of Votes to Approve Executive Compensation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0336FF"/>
              </w:rPr>
              <w:t>31</w:t>
            </w:r>
          </w:p>
        </w:tc>
      </w:tr>
      <w:tr>
        <w:trPr>
          <w:trHeight w:val="473"/>
        </w:trPr>
        <w:tc>
          <w:tcPr>
            <w:tcW w:w="10660" w:type="dxa"/>
            <w:vAlign w:val="bottom"/>
          </w:tcPr>
          <w:p>
            <w:pPr>
              <w:spacing w:after="0"/>
              <w:rPr>
                <w:sz w:val="20"/>
                <w:szCs w:val="20"/>
                <w:color w:val="auto"/>
              </w:rPr>
            </w:pPr>
            <w:r>
              <w:rPr>
                <w:rFonts w:ascii="Arial" w:cs="Arial" w:eastAsia="Arial" w:hAnsi="Arial"/>
                <w:sz w:val="16"/>
                <w:szCs w:val="16"/>
                <w:b w:val="1"/>
                <w:bCs w:val="1"/>
                <w:color w:val="0000FF"/>
              </w:rPr>
              <w:t>Proposal No. 4 – Ratification Of Appointment Of Independent Registered Public Accounting Firm</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0336FF"/>
              </w:rPr>
              <w:t>32</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Independent Registered Public Accounting Firm’s Fees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32</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Pre-Approval Policies and Procedures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32</w:t>
            </w:r>
          </w:p>
        </w:tc>
      </w:tr>
      <w:tr>
        <w:trPr>
          <w:trHeight w:val="472"/>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Audit Committee Report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33</w:t>
            </w:r>
          </w:p>
        </w:tc>
      </w:tr>
      <w:tr>
        <w:trPr>
          <w:trHeight w:val="473"/>
        </w:trPr>
        <w:tc>
          <w:tcPr>
            <w:tcW w:w="10660" w:type="dxa"/>
            <w:vAlign w:val="bottom"/>
          </w:tcPr>
          <w:p>
            <w:pPr>
              <w:spacing w:after="0"/>
              <w:rPr>
                <w:sz w:val="20"/>
                <w:szCs w:val="20"/>
                <w:color w:val="auto"/>
              </w:rPr>
            </w:pPr>
            <w:r>
              <w:rPr>
                <w:rFonts w:ascii="Arial" w:cs="Arial" w:eastAsia="Arial" w:hAnsi="Arial"/>
                <w:sz w:val="16"/>
                <w:szCs w:val="16"/>
                <w:b w:val="1"/>
                <w:bCs w:val="1"/>
                <w:color w:val="0000FF"/>
              </w:rPr>
              <w:t>Executive Officers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34</w:t>
            </w:r>
          </w:p>
        </w:tc>
      </w:tr>
      <w:tr>
        <w:trPr>
          <w:trHeight w:val="473"/>
        </w:trPr>
        <w:tc>
          <w:tcPr>
            <w:tcW w:w="10660" w:type="dxa"/>
            <w:vAlign w:val="bottom"/>
          </w:tcPr>
          <w:p>
            <w:pPr>
              <w:spacing w:after="0"/>
              <w:rPr>
                <w:sz w:val="20"/>
                <w:szCs w:val="20"/>
                <w:color w:val="auto"/>
              </w:rPr>
            </w:pPr>
            <w:r>
              <w:rPr>
                <w:rFonts w:ascii="Arial" w:cs="Arial" w:eastAsia="Arial" w:hAnsi="Arial"/>
                <w:sz w:val="16"/>
                <w:szCs w:val="16"/>
                <w:b w:val="1"/>
                <w:bCs w:val="1"/>
                <w:color w:val="0000FF"/>
              </w:rPr>
              <w:t>Security Ownership Of Certain Beneficial Owners And Management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36</w:t>
            </w:r>
          </w:p>
        </w:tc>
      </w:tr>
      <w:tr>
        <w:trPr>
          <w:trHeight w:val="472"/>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Delinquent Section 16(a) Reports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39</w:t>
            </w:r>
          </w:p>
        </w:tc>
      </w:tr>
    </w:tbl>
    <w:p>
      <w:pPr>
        <w:sectPr>
          <w:pgSz w:w="11900" w:h="16838" w:orient="portrait"/>
          <w:cols w:equalWidth="0" w:num="1">
            <w:col w:w="11240"/>
          </w:cols>
          <w:pgMar w:left="320" w:top="1072" w:right="339" w:bottom="495" w:gutter="0" w:footer="0" w:header="0"/>
        </w:sectPr>
      </w:pPr>
    </w:p>
    <w:bookmarkStart w:id="5" w:name="page6"/>
    <w:bookmarkEnd w:id="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599440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10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Page</w:t>
            </w:r>
          </w:p>
        </w:tc>
        <w:tc>
          <w:tcPr>
            <w:tcW w:w="0" w:type="dxa"/>
            <w:vAlign w:val="bottom"/>
          </w:tcPr>
          <w:p>
            <w:pPr>
              <w:spacing w:after="0"/>
              <w:rPr>
                <w:sz w:val="1"/>
                <w:szCs w:val="1"/>
                <w:color w:val="auto"/>
              </w:rPr>
            </w:pPr>
          </w:p>
        </w:tc>
      </w:tr>
      <w:tr>
        <w:trPr>
          <w:trHeight w:val="48"/>
        </w:trPr>
        <w:tc>
          <w:tcPr>
            <w:tcW w:w="10680" w:type="dxa"/>
            <w:vAlign w:val="bottom"/>
            <w:vMerge w:val="restart"/>
          </w:tcPr>
          <w:p>
            <w:pPr>
              <w:ind w:left="20"/>
              <w:spacing w:after="0"/>
              <w:rPr>
                <w:sz w:val="20"/>
                <w:szCs w:val="20"/>
                <w:color w:val="auto"/>
              </w:rPr>
            </w:pPr>
            <w:r>
              <w:rPr>
                <w:rFonts w:ascii="Arial" w:cs="Arial" w:eastAsia="Arial" w:hAnsi="Arial"/>
                <w:sz w:val="16"/>
                <w:szCs w:val="16"/>
                <w:b w:val="1"/>
                <w:bCs w:val="1"/>
                <w:color w:val="0000FF"/>
              </w:rPr>
              <w:t>Executive Compensation</w:t>
            </w: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0680" w:type="dxa"/>
            <w:vAlign w:val="bottom"/>
            <w:vMerge w:val="continue"/>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40</w:t>
            </w:r>
          </w:p>
        </w:tc>
        <w:tc>
          <w:tcPr>
            <w:tcW w:w="0" w:type="dxa"/>
            <w:vAlign w:val="bottom"/>
          </w:tcPr>
          <w:p>
            <w:pPr>
              <w:spacing w:after="0"/>
              <w:rPr>
                <w:sz w:val="1"/>
                <w:szCs w:val="1"/>
                <w:color w:val="auto"/>
              </w:rPr>
            </w:pP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Compensation Committee Report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40</w:t>
            </w:r>
          </w:p>
        </w:tc>
        <w:tc>
          <w:tcPr>
            <w:tcW w:w="0" w:type="dxa"/>
            <w:vAlign w:val="bottom"/>
          </w:tcPr>
          <w:p>
            <w:pPr>
              <w:spacing w:after="0"/>
              <w:rPr>
                <w:sz w:val="1"/>
                <w:szCs w:val="1"/>
                <w:color w:val="auto"/>
              </w:rPr>
            </w:pP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Compensation Discussion and Analysis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40</w:t>
            </w:r>
          </w:p>
        </w:tc>
        <w:tc>
          <w:tcPr>
            <w:tcW w:w="0" w:type="dxa"/>
            <w:vAlign w:val="bottom"/>
          </w:tcPr>
          <w:p>
            <w:pPr>
              <w:spacing w:after="0"/>
              <w:rPr>
                <w:sz w:val="1"/>
                <w:szCs w:val="1"/>
                <w:color w:val="auto"/>
              </w:rPr>
            </w:pP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Summary Compensation Table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59</w:t>
            </w:r>
          </w:p>
        </w:tc>
        <w:tc>
          <w:tcPr>
            <w:tcW w:w="0" w:type="dxa"/>
            <w:vAlign w:val="bottom"/>
          </w:tcPr>
          <w:p>
            <w:pPr>
              <w:spacing w:after="0"/>
              <w:rPr>
                <w:sz w:val="1"/>
                <w:szCs w:val="1"/>
                <w:color w:val="auto"/>
              </w:rPr>
            </w:pP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Grants of Plan-Based Awards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61</w:t>
            </w:r>
          </w:p>
        </w:tc>
        <w:tc>
          <w:tcPr>
            <w:tcW w:w="0" w:type="dxa"/>
            <w:vAlign w:val="bottom"/>
          </w:tcPr>
          <w:p>
            <w:pPr>
              <w:spacing w:after="0"/>
              <w:rPr>
                <w:sz w:val="1"/>
                <w:szCs w:val="1"/>
                <w:color w:val="auto"/>
              </w:rPr>
            </w:pP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Outstanding Equity Awards at December 31, 2023</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62</w:t>
            </w:r>
          </w:p>
        </w:tc>
        <w:tc>
          <w:tcPr>
            <w:tcW w:w="0" w:type="dxa"/>
            <w:vAlign w:val="bottom"/>
          </w:tcPr>
          <w:p>
            <w:pPr>
              <w:spacing w:after="0"/>
              <w:rPr>
                <w:sz w:val="1"/>
                <w:szCs w:val="1"/>
                <w:color w:val="auto"/>
              </w:rPr>
            </w:pP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Option Exercises and Stock Vested</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65</w:t>
            </w:r>
          </w:p>
        </w:tc>
        <w:tc>
          <w:tcPr>
            <w:tcW w:w="0" w:type="dxa"/>
            <w:vAlign w:val="bottom"/>
          </w:tcPr>
          <w:p>
            <w:pPr>
              <w:spacing w:after="0"/>
              <w:rPr>
                <w:sz w:val="1"/>
                <w:szCs w:val="1"/>
                <w:color w:val="auto"/>
              </w:rPr>
            </w:pP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Potential Payments upon Termination or Change in Control</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66</w:t>
            </w:r>
          </w:p>
        </w:tc>
        <w:tc>
          <w:tcPr>
            <w:tcW w:w="0" w:type="dxa"/>
            <w:vAlign w:val="bottom"/>
          </w:tcPr>
          <w:p>
            <w:pPr>
              <w:spacing w:after="0"/>
              <w:rPr>
                <w:sz w:val="1"/>
                <w:szCs w:val="1"/>
                <w:color w:val="auto"/>
              </w:rPr>
            </w:pP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CEO Pay Ratio</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68</w:t>
            </w:r>
          </w:p>
        </w:tc>
        <w:tc>
          <w:tcPr>
            <w:tcW w:w="0" w:type="dxa"/>
            <w:vAlign w:val="bottom"/>
          </w:tcPr>
          <w:p>
            <w:pPr>
              <w:spacing w:after="0"/>
              <w:rPr>
                <w:sz w:val="1"/>
                <w:szCs w:val="1"/>
                <w:color w:val="auto"/>
              </w:rPr>
            </w:pP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Pay versus Performance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68</w:t>
            </w:r>
          </w:p>
        </w:tc>
        <w:tc>
          <w:tcPr>
            <w:tcW w:w="0" w:type="dxa"/>
            <w:vAlign w:val="bottom"/>
          </w:tcPr>
          <w:p>
            <w:pPr>
              <w:spacing w:after="0"/>
              <w:rPr>
                <w:sz w:val="1"/>
                <w:szCs w:val="1"/>
                <w:color w:val="auto"/>
              </w:rPr>
            </w:pPr>
          </w:p>
        </w:tc>
      </w:tr>
      <w:tr>
        <w:trPr>
          <w:trHeight w:val="473"/>
        </w:trPr>
        <w:tc>
          <w:tcPr>
            <w:tcW w:w="10680" w:type="dxa"/>
            <w:vAlign w:val="bottom"/>
          </w:tcPr>
          <w:p>
            <w:pPr>
              <w:ind w:left="20"/>
              <w:spacing w:after="0"/>
              <w:rPr>
                <w:sz w:val="20"/>
                <w:szCs w:val="20"/>
                <w:color w:val="auto"/>
              </w:rPr>
            </w:pPr>
            <w:r>
              <w:rPr>
                <w:rFonts w:ascii="Arial" w:cs="Arial" w:eastAsia="Arial" w:hAnsi="Arial"/>
                <w:sz w:val="16"/>
                <w:szCs w:val="16"/>
                <w:b w:val="1"/>
                <w:bCs w:val="1"/>
                <w:color w:val="0000FF"/>
              </w:rPr>
              <w:t>Equity Compensation Plan Information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75</w:t>
            </w:r>
          </w:p>
        </w:tc>
        <w:tc>
          <w:tcPr>
            <w:tcW w:w="0" w:type="dxa"/>
            <w:vAlign w:val="bottom"/>
          </w:tcPr>
          <w:p>
            <w:pPr>
              <w:spacing w:after="0"/>
              <w:rPr>
                <w:sz w:val="1"/>
                <w:szCs w:val="1"/>
                <w:color w:val="auto"/>
              </w:rPr>
            </w:pPr>
          </w:p>
        </w:tc>
      </w:tr>
      <w:tr>
        <w:trPr>
          <w:trHeight w:val="472"/>
        </w:trPr>
        <w:tc>
          <w:tcPr>
            <w:tcW w:w="10680" w:type="dxa"/>
            <w:vAlign w:val="bottom"/>
          </w:tcPr>
          <w:p>
            <w:pPr>
              <w:ind w:left="20"/>
              <w:spacing w:after="0"/>
              <w:rPr>
                <w:sz w:val="20"/>
                <w:szCs w:val="20"/>
                <w:color w:val="auto"/>
              </w:rPr>
            </w:pPr>
            <w:r>
              <w:rPr>
                <w:rFonts w:ascii="Arial" w:cs="Arial" w:eastAsia="Arial" w:hAnsi="Arial"/>
                <w:sz w:val="16"/>
                <w:szCs w:val="16"/>
                <w:b w:val="1"/>
                <w:bCs w:val="1"/>
                <w:color w:val="0000FF"/>
              </w:rPr>
              <w:t>Transactions With Related Persons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76</w:t>
            </w:r>
          </w:p>
        </w:tc>
        <w:tc>
          <w:tcPr>
            <w:tcW w:w="0" w:type="dxa"/>
            <w:vAlign w:val="bottom"/>
          </w:tcPr>
          <w:p>
            <w:pPr>
              <w:spacing w:after="0"/>
              <w:rPr>
                <w:sz w:val="1"/>
                <w:szCs w:val="1"/>
                <w:color w:val="auto"/>
              </w:rPr>
            </w:pPr>
          </w:p>
        </w:tc>
      </w:tr>
      <w:tr>
        <w:trPr>
          <w:trHeight w:val="473"/>
        </w:trPr>
        <w:tc>
          <w:tcPr>
            <w:tcW w:w="10680" w:type="dxa"/>
            <w:vAlign w:val="bottom"/>
          </w:tcPr>
          <w:p>
            <w:pPr>
              <w:ind w:left="20"/>
              <w:spacing w:after="0"/>
              <w:rPr>
                <w:sz w:val="20"/>
                <w:szCs w:val="20"/>
                <w:color w:val="auto"/>
              </w:rPr>
            </w:pPr>
            <w:r>
              <w:rPr>
                <w:rFonts w:ascii="Arial" w:cs="Arial" w:eastAsia="Arial" w:hAnsi="Arial"/>
                <w:sz w:val="16"/>
                <w:szCs w:val="16"/>
                <w:b w:val="1"/>
                <w:bCs w:val="1"/>
                <w:color w:val="2D3243"/>
              </w:rPr>
              <w:t>Delivery Of Documents To Stockholders Sharing An Address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77</w:t>
            </w:r>
          </w:p>
        </w:tc>
        <w:tc>
          <w:tcPr>
            <w:tcW w:w="0" w:type="dxa"/>
            <w:vAlign w:val="bottom"/>
          </w:tcPr>
          <w:p>
            <w:pPr>
              <w:spacing w:after="0"/>
              <w:rPr>
                <w:sz w:val="1"/>
                <w:szCs w:val="1"/>
                <w:color w:val="auto"/>
              </w:rPr>
            </w:pPr>
          </w:p>
        </w:tc>
      </w:tr>
      <w:tr>
        <w:trPr>
          <w:trHeight w:val="473"/>
        </w:trPr>
        <w:tc>
          <w:tcPr>
            <w:tcW w:w="10680" w:type="dxa"/>
            <w:vAlign w:val="bottom"/>
          </w:tcPr>
          <w:p>
            <w:pPr>
              <w:ind w:left="20"/>
              <w:spacing w:after="0"/>
              <w:rPr>
                <w:sz w:val="20"/>
                <w:szCs w:val="20"/>
                <w:color w:val="auto"/>
              </w:rPr>
            </w:pPr>
            <w:r>
              <w:rPr>
                <w:rFonts w:ascii="Arial" w:cs="Arial" w:eastAsia="Arial" w:hAnsi="Arial"/>
                <w:sz w:val="16"/>
                <w:szCs w:val="16"/>
                <w:b w:val="1"/>
                <w:bCs w:val="1"/>
                <w:color w:val="2D3243"/>
              </w:rPr>
              <w:t>Availability Of Form 10-K</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78</w:t>
            </w:r>
          </w:p>
        </w:tc>
        <w:tc>
          <w:tcPr>
            <w:tcW w:w="0" w:type="dxa"/>
            <w:vAlign w:val="bottom"/>
          </w:tcPr>
          <w:p>
            <w:pPr>
              <w:spacing w:after="0"/>
              <w:rPr>
                <w:sz w:val="1"/>
                <w:szCs w:val="1"/>
                <w:color w:val="auto"/>
              </w:rPr>
            </w:pPr>
          </w:p>
        </w:tc>
      </w:tr>
      <w:tr>
        <w:trPr>
          <w:trHeight w:val="473"/>
        </w:trPr>
        <w:tc>
          <w:tcPr>
            <w:tcW w:w="10680" w:type="dxa"/>
            <w:vAlign w:val="bottom"/>
          </w:tcPr>
          <w:p>
            <w:pPr>
              <w:ind w:left="20"/>
              <w:spacing w:after="0"/>
              <w:rPr>
                <w:sz w:val="20"/>
                <w:szCs w:val="20"/>
                <w:color w:val="auto"/>
              </w:rPr>
            </w:pPr>
            <w:r>
              <w:rPr>
                <w:rFonts w:ascii="Arial" w:cs="Arial" w:eastAsia="Arial" w:hAnsi="Arial"/>
                <w:sz w:val="16"/>
                <w:szCs w:val="16"/>
                <w:b w:val="1"/>
                <w:bCs w:val="1"/>
                <w:color w:val="2D3243"/>
              </w:rPr>
              <w:t>Other Matters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79</w:t>
            </w:r>
          </w:p>
        </w:tc>
        <w:tc>
          <w:tcPr>
            <w:tcW w:w="0" w:type="dxa"/>
            <w:vAlign w:val="bottom"/>
          </w:tcPr>
          <w:p>
            <w:pPr>
              <w:spacing w:after="0"/>
              <w:rPr>
                <w:sz w:val="1"/>
                <w:szCs w:val="1"/>
                <w:color w:val="auto"/>
              </w:rPr>
            </w:pPr>
          </w:p>
        </w:tc>
      </w:tr>
      <w:tr>
        <w:trPr>
          <w:trHeight w:val="1769"/>
        </w:trPr>
        <w:tc>
          <w:tcPr>
            <w:tcW w:w="10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080"/>
        <w:spacing w:after="0" w:line="271" w:lineRule="auto"/>
        <w:rPr>
          <w:sz w:val="20"/>
          <w:szCs w:val="20"/>
          <w:color w:val="auto"/>
        </w:rPr>
      </w:pPr>
      <w:r>
        <w:rPr>
          <w:rFonts w:ascii="Arial" w:cs="Arial" w:eastAsia="Arial" w:hAnsi="Arial"/>
          <w:sz w:val="57"/>
          <w:szCs w:val="57"/>
          <w:color w:val="2D3243"/>
        </w:rPr>
        <w:t>Proxy Statement for the 2024 Annual Meeting of Stockholders</w:t>
      </w:r>
    </w:p>
    <w:p>
      <w:pPr>
        <w:spacing w:after="0" w:line="3" w:lineRule="exact"/>
        <w:rPr>
          <w:sz w:val="20"/>
          <w:szCs w:val="20"/>
          <w:color w:val="auto"/>
        </w:rPr>
      </w:pPr>
    </w:p>
    <w:p>
      <w:pPr>
        <w:ind w:right="4540"/>
        <w:spacing w:after="0" w:line="473" w:lineRule="auto"/>
        <w:rPr>
          <w:sz w:val="20"/>
          <w:szCs w:val="20"/>
          <w:color w:val="auto"/>
        </w:rPr>
      </w:pPr>
      <w:r>
        <w:rPr>
          <w:rFonts w:ascii="Arial" w:cs="Arial" w:eastAsia="Arial" w:hAnsi="Arial"/>
          <w:sz w:val="16"/>
          <w:szCs w:val="16"/>
          <w:b w:val="1"/>
          <w:bCs w:val="1"/>
          <w:color w:val="2D3243"/>
        </w:rPr>
        <w:t>To Be Held Virtually over the Internet at www.virtualshareholdermeeting.com/FIVN2024 On May 14, 2024 at 8:30 a.m., Pacific Daylight Time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Questions And Answers About This Proxy Material And Voting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Why am I receiving these materials?</w:t>
      </w:r>
    </w:p>
    <w:p>
      <w:pPr>
        <w:spacing w:after="0" w:line="257" w:lineRule="exact"/>
        <w:rPr>
          <w:sz w:val="20"/>
          <w:szCs w:val="20"/>
          <w:color w:val="auto"/>
        </w:rPr>
      </w:pPr>
    </w:p>
    <w:p>
      <w:pPr>
        <w:ind w:right="60"/>
        <w:spacing w:after="0" w:line="348" w:lineRule="auto"/>
        <w:rPr>
          <w:sz w:val="20"/>
          <w:szCs w:val="20"/>
          <w:color w:val="auto"/>
        </w:rPr>
      </w:pPr>
      <w:r>
        <w:rPr>
          <w:rFonts w:ascii="Arial" w:cs="Arial" w:eastAsia="Arial" w:hAnsi="Arial"/>
          <w:sz w:val="16"/>
          <w:szCs w:val="16"/>
          <w:color w:val="2D3243"/>
        </w:rPr>
        <w:t>We are making these proxy materials available because the Board of Directors (the “Board of Directors” or the “Board”) of Five9, Inc. (sometimes referred to as “we,” the “Company” or “Five9”) is soliciting your proxy to vote at the 2024 Annual Meeting of Stockholders (the “Annual Meeting”). You are invited to attend the Annual Meeting to vote on the proposals described in this Proxy Statement. However, you do not need to attend the Annual Meeting to vote your shares. Instead, you may follow the instructions below to submit your proxy by telephone or on the Internet or request a proxy card from us by email at ir@five9.com, and complete, sign and return the proxy card in the envelope provided.</w:t>
      </w:r>
    </w:p>
    <w:p>
      <w:pPr>
        <w:spacing w:after="0" w:line="124"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color w:val="2D3243"/>
        </w:rPr>
        <w:t>The Company intends to commence mailing to all stockholders of record entitled to vote at the Annual Meeting the Notice of Internet Availability of Proxy Materials (the “Notice”) on or about April 1, 2024. Additionally, the Company intends to post its Annual Report to Stockholders, this Proxy Statement and accompanying proxy card on the Internet at http://investors.five9.com on or about April 1, 2024. We will mail printed copies of the proxy materials to stockholders who request them.</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2D3243"/>
        </w:rPr>
        <w:t>The Company’s principal executive office is located at 3001 Bishop Drive, Suite 350, San Ramon, CA 94583 and its telephone number is (925) 201-2000.</w:t>
      </w:r>
    </w:p>
    <w:p>
      <w:pPr>
        <w:spacing w:after="0" w:line="203"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2D3243"/>
        </w:rPr>
        <w:t>Why did I receive a notice in the mail regarding the Internet availability of proxy materials instead of a full paper copy of this Proxy Statement and Annual Report to Stockholders?</w:t>
      </w:r>
    </w:p>
    <w:p>
      <w:pPr>
        <w:spacing w:after="0" w:line="169"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color w:val="2D3243"/>
        </w:rPr>
        <w:t>We are acting under a Securities and Exchange Commission (“SEC”) rule that allows companies to furnish their proxy materials over the Internet rather than in paper form. This rule allows a company to send its stockholders a notice regarding Internet availability of proxy materials. Instructions on how to access the proxy materials over the Internet or how to request a paper copy of proxy materials may be found in the Notice. If you would prefer to receive proxy materials in printed form by mail or electronically by email on an ongoing basis, please follow the instructions contained in the Notice.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do I participate in the Annual Meeting?</w:t>
      </w:r>
    </w:p>
    <w:p>
      <w:pPr>
        <w:spacing w:after="0" w:line="257" w:lineRule="exact"/>
        <w:rPr>
          <w:sz w:val="20"/>
          <w:szCs w:val="20"/>
          <w:color w:val="auto"/>
        </w:rPr>
      </w:pPr>
    </w:p>
    <w:p>
      <w:pPr>
        <w:ind w:right="420"/>
        <w:spacing w:after="0" w:line="374" w:lineRule="auto"/>
        <w:rPr>
          <w:sz w:val="20"/>
          <w:szCs w:val="20"/>
          <w:color w:val="auto"/>
        </w:rPr>
      </w:pPr>
      <w:r>
        <w:rPr>
          <w:rFonts w:ascii="Arial" w:cs="Arial" w:eastAsia="Arial" w:hAnsi="Arial"/>
          <w:sz w:val="16"/>
          <w:szCs w:val="16"/>
          <w:color w:val="2D3243"/>
        </w:rPr>
        <w:t>The Annual Meeting will be a completely virtual meeting. There will be no physical meeting location. The Annual Meeting will only be conducted via live webcast.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00"/>
        <w:spacing w:after="0"/>
        <w:tabs>
          <w:tab w:leader="none" w:pos="556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 w:name="page9"/>
    <w:bookmarkEnd w:id="8"/>
    <w:p>
      <w:pPr>
        <w:ind w:left="20"/>
        <w:spacing w:after="0"/>
        <w:tabs>
          <w:tab w:leader="none" w:pos="10060" w:val="left"/>
        </w:tabs>
        <w:rPr>
          <w:sz w:val="20"/>
          <w:szCs w:val="20"/>
          <w:color w:val="auto"/>
        </w:rPr>
      </w:pPr>
      <w:r>
        <w:rPr>
          <w:rFonts w:ascii="Arial" w:cs="Arial" w:eastAsia="Arial" w:hAnsi="Arial"/>
          <w:sz w:val="14"/>
          <w:szCs w:val="14"/>
          <w:color w:val="2D3243"/>
        </w:rPr>
        <w:t>Questions And Answers</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74" w:lineRule="auto"/>
        <w:rPr>
          <w:sz w:val="20"/>
          <w:szCs w:val="20"/>
          <w:color w:val="auto"/>
        </w:rPr>
      </w:pPr>
      <w:r>
        <w:rPr>
          <w:rFonts w:ascii="Arial" w:cs="Arial" w:eastAsia="Arial" w:hAnsi="Arial"/>
          <w:sz w:val="16"/>
          <w:szCs w:val="16"/>
          <w:color w:val="2D3243"/>
        </w:rPr>
        <w:t>To participate in the virtual meeting, please follow the instructions posted at www.proxyvote.com. You may begin to log into the meeting platform beginning at 8:15 a.m. Pacific Daylight Time on May 14, 2024. The meeting will begin promptly at 8:30 a.m. Pacific Daylight Time on May 14, 2024.</w:t>
      </w:r>
    </w:p>
    <w:p>
      <w:pPr>
        <w:spacing w:after="0" w:line="102" w:lineRule="exact"/>
        <w:rPr>
          <w:sz w:val="20"/>
          <w:szCs w:val="20"/>
          <w:color w:val="auto"/>
        </w:rPr>
      </w:pPr>
    </w:p>
    <w:p>
      <w:pPr>
        <w:ind w:right="100"/>
        <w:spacing w:after="0" w:line="353" w:lineRule="auto"/>
        <w:rPr>
          <w:sz w:val="20"/>
          <w:szCs w:val="20"/>
          <w:color w:val="auto"/>
        </w:rPr>
      </w:pPr>
      <w:r>
        <w:rPr>
          <w:rFonts w:ascii="Arial" w:cs="Arial" w:eastAsia="Arial" w:hAnsi="Arial"/>
          <w:sz w:val="16"/>
          <w:szCs w:val="16"/>
          <w:color w:val="2D3243"/>
        </w:rPr>
        <w:t>If you wish to submit a question, you may do so in two ways. If you want to ask a question before the meeting, then beginning on April 1, 2024 and until 11:59 p.m. on May 13, 2024, you may log into www.proxyvote.com and enter your 16-digit control number. Once past the login screen, click on “Questions for Management,” type in your question, and click “Submit.” Alternatively, if you want to submit your question during the meeting, log into the virtual meeting platform at www.virtualshareholdermeeting.com/FIVN2024, type your question into the “Ask a Question” field, and click “Submit.”</w:t>
      </w:r>
    </w:p>
    <w:p>
      <w:pPr>
        <w:spacing w:after="0" w:line="119"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2D3243"/>
        </w:rPr>
        <w:t>Questions pertinent to meeting matters will be answered during the Annual Meeting, subject to time constraints. The Annual Meeting is not to be used as a forum to present personal matters, or general economic, political or other views that are not directly related to the business of Five9 and the matters properly before the Annual Meeting and, therefore, questions on such matters will not be answered. Any questions pertinent to meeting matters that cannot be answered during the Annual Meeting due to time constraints will be posted online and answered at http://investors.five9.com. The questions and answers will be available as soon as practical after the Annual Meeting and will remain available until one week after posting.</w:t>
      </w:r>
    </w:p>
    <w:p>
      <w:pPr>
        <w:spacing w:after="0" w:line="124" w:lineRule="exact"/>
        <w:rPr>
          <w:sz w:val="20"/>
          <w:szCs w:val="20"/>
          <w:color w:val="auto"/>
        </w:rPr>
      </w:pPr>
    </w:p>
    <w:p>
      <w:pPr>
        <w:ind w:right="240"/>
        <w:spacing w:after="0" w:line="354" w:lineRule="auto"/>
        <w:rPr>
          <w:sz w:val="20"/>
          <w:szCs w:val="20"/>
          <w:color w:val="auto"/>
        </w:rPr>
      </w:pPr>
      <w:r>
        <w:rPr>
          <w:rFonts w:ascii="Arial" w:cs="Arial" w:eastAsia="Arial" w:hAnsi="Arial"/>
          <w:sz w:val="16"/>
          <w:szCs w:val="16"/>
          <w:color w:val="2D3243"/>
        </w:rPr>
        <w:t>If you encounter any technical difficulties with the virtual meeting platform on the date of the meeting, please call the technical support number that will be posted on the platform. Technical support will be available starting at 8:15 a.m. Pacific Daylight Time on May 14, 2024 and will remain available until five minutes after the Annual Meeting has finished.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Who can vote at the Annual Meeting?</w:t>
      </w:r>
    </w:p>
    <w:p>
      <w:pPr>
        <w:spacing w:after="0" w:line="257"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2D3243"/>
        </w:rPr>
        <w:t>You will be entitled to vote at the Annual Meeting if you owned the Company’s common stock (“Common Stock”), either as a stockholder of record or as a beneficial owner, as of the close of business on March 18, 2024 (the “Record Date”). On the Record Date, there were 73,844,927 shares of Common Stock outstanding. Holders of these outstanding shares are entitled to one vote at the Annual Meeting for each share of Common Stock held by them as of March 18, 2024.</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Stockholder of Record: Shares Registered in Your Name</w:t>
      </w:r>
    </w:p>
    <w:p>
      <w:pPr>
        <w:spacing w:after="0" w:line="246"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color w:val="2D3243"/>
        </w:rPr>
        <w:t>If on March 18, 2024 your shares were registered directly in your name with Five9’s transfer agent, Equiniti Trust Company, LLC, then you are a stockholder of record with respect to those shares. As a stockholder of record, you may vote at the Annual Meeting or vote by proxy. Whether or not you plan to attend the Annual Meeting, we urge you to vote by proxy by telephone or the Internet as instructed on your proxy card or the Notice or to request a proxy card from us by email at ir@five9.com and complete, date, sign and return the proxy card in the envelope provided to ensure your vote is counted.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Beneficial Owner: Shares Registered in the Name of a Broker or Bank</w:t>
      </w:r>
    </w:p>
    <w:p>
      <w:pPr>
        <w:spacing w:after="0" w:line="246" w:lineRule="exact"/>
        <w:rPr>
          <w:sz w:val="20"/>
          <w:szCs w:val="20"/>
          <w:color w:val="auto"/>
        </w:rPr>
      </w:pPr>
    </w:p>
    <w:p>
      <w:pPr>
        <w:ind w:right="80"/>
        <w:spacing w:after="0" w:line="344" w:lineRule="auto"/>
        <w:rPr>
          <w:sz w:val="20"/>
          <w:szCs w:val="20"/>
          <w:color w:val="auto"/>
        </w:rPr>
      </w:pPr>
      <w:r>
        <w:rPr>
          <w:rFonts w:ascii="Arial" w:cs="Arial" w:eastAsia="Arial" w:hAnsi="Arial"/>
          <w:sz w:val="16"/>
          <w:szCs w:val="16"/>
          <w:color w:val="2D3243"/>
        </w:rPr>
        <w:t>If on March 18, 2024 your shares were held in an account at a broker, bank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that organization on how to vote the shares in your account. Please refer to the voting instructions provided by your bank or broker. Many organizations enable beneficial owners to give voting instructions by telephone or the Internet as well as in writing. You are also welcome to attend the virtual Annual Meeting and vote online. However, because you are not the stockholder of record, you may not vote your shares at the Annual Meeting unless you request and obtain a valid proxy (sometimes referred to as a “legal proxy”) from your broker, bank or other organization.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500"/>
        <w:spacing w:after="0"/>
        <w:tabs>
          <w:tab w:leader="none" w:pos="556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9" w:name="page10"/>
    <w:bookmarkEnd w:id="9"/>
    <w:p>
      <w:pPr>
        <w:ind w:left="20"/>
        <w:spacing w:after="0"/>
        <w:tabs>
          <w:tab w:leader="none" w:pos="10060" w:val="left"/>
        </w:tabs>
        <w:rPr>
          <w:sz w:val="20"/>
          <w:szCs w:val="20"/>
          <w:color w:val="auto"/>
        </w:rPr>
      </w:pPr>
      <w:r>
        <w:rPr>
          <w:rFonts w:ascii="Arial" w:cs="Arial" w:eastAsia="Arial" w:hAnsi="Arial"/>
          <w:sz w:val="14"/>
          <w:szCs w:val="14"/>
          <w:color w:val="2D3243"/>
        </w:rPr>
        <w:t>Questions And Answers</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am I voting 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There are four matters scheduled for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ind w:left="720" w:right="520"/>
        <w:spacing w:after="0" w:line="374" w:lineRule="auto"/>
        <w:rPr>
          <w:sz w:val="20"/>
          <w:szCs w:val="20"/>
          <w:color w:val="auto"/>
        </w:rPr>
      </w:pPr>
      <w:r>
        <w:rPr>
          <w:rFonts w:ascii="Arial" w:cs="Arial" w:eastAsia="Arial" w:hAnsi="Arial"/>
          <w:sz w:val="16"/>
          <w:szCs w:val="16"/>
          <w:color w:val="2D3243"/>
        </w:rPr>
        <w:t>Election of the two (2) members of the Board of Directors identified in Proposal No. 1 to serve as Class I directors until the Company’s 2027 Annual Meeting of Stockholders or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-363220</wp:posOffset>
            </wp:positionV>
            <wp:extent cx="24003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49" w:lineRule="exact"/>
        <w:rPr>
          <w:sz w:val="20"/>
          <w:szCs w:val="20"/>
          <w:color w:val="auto"/>
        </w:rPr>
      </w:pPr>
    </w:p>
    <w:p>
      <w:pPr>
        <w:ind w:left="720" w:right="40"/>
        <w:spacing w:after="0" w:line="353" w:lineRule="auto"/>
        <w:rPr>
          <w:sz w:val="20"/>
          <w:szCs w:val="20"/>
          <w:color w:val="auto"/>
        </w:rPr>
      </w:pPr>
      <w:r>
        <w:rPr>
          <w:rFonts w:ascii="Arial" w:cs="Arial" w:eastAsia="Arial" w:hAnsi="Arial"/>
          <w:sz w:val="16"/>
          <w:szCs w:val="16"/>
          <w:color w:val="2D3243"/>
        </w:rPr>
        <w:t>Advisory vote to approve named executive officer compensation. We are holding a non-binding, advisory vote on the compensation of our named executive officers, as described in the “Compensation Discussion and Analysis” section, executive compensation tables and accompanying narrative disclosures contained in this Proxy Statement. This vote is non-binding and advisory in nature, but the Compensation Committee and the Board of Directors will take into account the outcome of the vote when considering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-566420</wp:posOffset>
            </wp:positionV>
            <wp:extent cx="24003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5" w:lineRule="exact"/>
        <w:rPr>
          <w:sz w:val="20"/>
          <w:szCs w:val="20"/>
          <w:color w:val="auto"/>
        </w:rPr>
      </w:pPr>
    </w:p>
    <w:p>
      <w:pPr>
        <w:ind w:left="720" w:right="20"/>
        <w:spacing w:after="0" w:line="353" w:lineRule="auto"/>
        <w:rPr>
          <w:sz w:val="20"/>
          <w:szCs w:val="20"/>
          <w:color w:val="auto"/>
        </w:rPr>
      </w:pPr>
      <w:r>
        <w:rPr>
          <w:rFonts w:ascii="Arial" w:cs="Arial" w:eastAsia="Arial" w:hAnsi="Arial"/>
          <w:sz w:val="16"/>
          <w:szCs w:val="16"/>
          <w:color w:val="2D3243"/>
        </w:rPr>
        <w:t>Advisory vote on the frequency of advisory votes to approve executive compensation. The Board of Directors is holding a non-binding, advisory vote regarding how frequently (“one year,” “two years,” or “three years”) to hold future advisory votes on the compensation of our named executive officers. This vote is non-binding and advisory in nature, but our Compensation Committee of the Board of Directors and the Board of Directors will take into account the outcome of the vote when considering the frequency of soliciting future advisory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-566420</wp:posOffset>
            </wp:positionV>
            <wp:extent cx="24003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5" w:lineRule="exact"/>
        <w:rPr>
          <w:sz w:val="20"/>
          <w:szCs w:val="20"/>
          <w:color w:val="auto"/>
        </w:rPr>
      </w:pPr>
    </w:p>
    <w:p>
      <w:pPr>
        <w:ind w:left="720" w:right="20"/>
        <w:spacing w:after="0" w:line="374" w:lineRule="auto"/>
        <w:rPr>
          <w:sz w:val="20"/>
          <w:szCs w:val="20"/>
          <w:color w:val="auto"/>
        </w:rPr>
      </w:pPr>
      <w:r>
        <w:rPr>
          <w:rFonts w:ascii="Arial" w:cs="Arial" w:eastAsia="Arial" w:hAnsi="Arial"/>
          <w:sz w:val="16"/>
          <w:szCs w:val="16"/>
          <w:color w:val="2D3243"/>
        </w:rPr>
        <w:t>Ratification of the appointment of KPMG LLP as the Company’s independent registered public accounting firm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-363220</wp:posOffset>
            </wp:positionV>
            <wp:extent cx="24003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do I vote?</w:t>
      </w:r>
    </w:p>
    <w:p>
      <w:pPr>
        <w:spacing w:after="0" w:line="257"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color w:val="2D3243"/>
        </w:rPr>
        <w:t>For Proposal No. 1, you may either vote “For” all the nominees to the Board of Directors, you may withhold your vote from all the nominees or you may withhold your vote from any nominee you specify. You may not vote your proxy “For” the election of any persons other than the two named nominees. For Proposal No. 3, you may vote for every “one year,” “two years” or “three years” or may abstain from voting. For all other matters to be voted on, you may vote “For” or “Against” or abstain from voting on the applicable proposal.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500"/>
        <w:spacing w:after="0"/>
        <w:tabs>
          <w:tab w:leader="none" w:pos="556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0" w:name="page11"/>
    <w:bookmarkEnd w:id="10"/>
    <w:p>
      <w:pPr>
        <w:ind w:left="20"/>
        <w:spacing w:after="0"/>
        <w:tabs>
          <w:tab w:leader="none" w:pos="10060" w:val="left"/>
        </w:tabs>
        <w:rPr>
          <w:sz w:val="20"/>
          <w:szCs w:val="20"/>
          <w:color w:val="auto"/>
        </w:rPr>
      </w:pPr>
      <w:r>
        <w:rPr>
          <w:rFonts w:ascii="Arial" w:cs="Arial" w:eastAsia="Arial" w:hAnsi="Arial"/>
          <w:sz w:val="14"/>
          <w:szCs w:val="14"/>
          <w:color w:val="2D3243"/>
        </w:rPr>
        <w:t>Questions And Answers</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Stockholder of Record: Shares Registered in Your Name</w:t>
      </w:r>
    </w:p>
    <w:p>
      <w:pPr>
        <w:spacing w:after="0" w:line="233" w:lineRule="exact"/>
        <w:rPr>
          <w:sz w:val="20"/>
          <w:szCs w:val="20"/>
          <w:color w:val="auto"/>
        </w:rPr>
      </w:pPr>
    </w:p>
    <w:p>
      <w:pPr>
        <w:jc w:val="both"/>
        <w:ind w:right="60"/>
        <w:spacing w:after="0" w:line="363" w:lineRule="auto"/>
        <w:rPr>
          <w:sz w:val="20"/>
          <w:szCs w:val="20"/>
          <w:color w:val="auto"/>
        </w:rPr>
      </w:pPr>
      <w:r>
        <w:rPr>
          <w:rFonts w:ascii="Arial" w:cs="Arial" w:eastAsia="Arial" w:hAnsi="Arial"/>
          <w:sz w:val="16"/>
          <w:szCs w:val="16"/>
          <w:color w:val="2D3243"/>
        </w:rPr>
        <w:t>If you are a stockholder of record, you may vote by proxy using a proxy card, vote by proxy on the Internet or by telephone as set forth in the Notice, or vote at the Annual Meeting. Regardless of whether you plan to attend the Annual Meeting, we urge you to vote by proxy to ensure your vote is counted. You may still attend the Annual Meeting and vote if you have already voted by proxy.</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1540" w:type="dxa"/>
            <w:vAlign w:val="bottom"/>
            <w:gridSpan w:val="2"/>
          </w:tcPr>
          <w:p>
            <w:pPr>
              <w:spacing w:after="0"/>
              <w:rPr>
                <w:sz w:val="20"/>
                <w:szCs w:val="20"/>
                <w:color w:val="auto"/>
              </w:rPr>
            </w:pPr>
            <w:r>
              <w:rPr>
                <w:rFonts w:ascii="Arial" w:cs="Arial" w:eastAsia="Arial" w:hAnsi="Arial"/>
                <w:sz w:val="16"/>
                <w:szCs w:val="16"/>
                <w:color w:val="2D3243"/>
              </w:rPr>
              <w:t>To vote using</w:t>
            </w:r>
          </w:p>
        </w:tc>
        <w:tc>
          <w:tcPr>
            <w:tcW w:w="1780" w:type="dxa"/>
            <w:vAlign w:val="bottom"/>
          </w:tcPr>
          <w:p>
            <w:pPr>
              <w:ind w:left="340"/>
              <w:spacing w:after="0"/>
              <w:rPr>
                <w:sz w:val="20"/>
                <w:szCs w:val="20"/>
                <w:color w:val="auto"/>
              </w:rPr>
            </w:pPr>
            <w:r>
              <w:rPr>
                <w:rFonts w:ascii="Arial" w:cs="Arial" w:eastAsia="Arial" w:hAnsi="Arial"/>
                <w:sz w:val="16"/>
                <w:szCs w:val="16"/>
                <w:color w:val="2D3243"/>
              </w:rPr>
              <w:t>To vote on the</w:t>
            </w:r>
          </w:p>
        </w:tc>
        <w:tc>
          <w:tcPr>
            <w:tcW w:w="1800" w:type="dxa"/>
            <w:vAlign w:val="bottom"/>
          </w:tcPr>
          <w:p>
            <w:pPr>
              <w:ind w:left="360"/>
              <w:spacing w:after="0"/>
              <w:rPr>
                <w:sz w:val="20"/>
                <w:szCs w:val="20"/>
                <w:color w:val="auto"/>
              </w:rPr>
            </w:pPr>
            <w:r>
              <w:rPr>
                <w:rFonts w:ascii="Arial" w:cs="Arial" w:eastAsia="Arial" w:hAnsi="Arial"/>
                <w:sz w:val="16"/>
                <w:szCs w:val="16"/>
                <w:color w:val="2D3243"/>
              </w:rPr>
              <w:t>To vote by</w:t>
            </w:r>
          </w:p>
        </w:tc>
        <w:tc>
          <w:tcPr>
            <w:tcW w:w="3760" w:type="dxa"/>
            <w:vAlign w:val="bottom"/>
          </w:tcPr>
          <w:p>
            <w:pPr>
              <w:ind w:left="340"/>
              <w:spacing w:after="0"/>
              <w:rPr>
                <w:sz w:val="20"/>
                <w:szCs w:val="20"/>
                <w:color w:val="auto"/>
              </w:rPr>
            </w:pPr>
            <w:r>
              <w:rPr>
                <w:rFonts w:ascii="Arial" w:cs="Arial" w:eastAsia="Arial" w:hAnsi="Arial"/>
                <w:sz w:val="16"/>
                <w:szCs w:val="16"/>
                <w:color w:val="2D3243"/>
              </w:rPr>
              <w:t>To vote at the Annual Meeting, attend the</w:t>
            </w:r>
          </w:p>
        </w:tc>
      </w:tr>
      <w:tr>
        <w:trPr>
          <w:trHeight w:val="257"/>
        </w:trPr>
        <w:tc>
          <w:tcPr>
            <w:tcW w:w="1540" w:type="dxa"/>
            <w:vAlign w:val="bottom"/>
            <w:gridSpan w:val="2"/>
          </w:tcPr>
          <w:p>
            <w:pPr>
              <w:spacing w:after="0"/>
              <w:rPr>
                <w:sz w:val="20"/>
                <w:szCs w:val="20"/>
                <w:color w:val="auto"/>
              </w:rPr>
            </w:pPr>
            <w:r>
              <w:rPr>
                <w:rFonts w:ascii="Arial" w:cs="Arial" w:eastAsia="Arial" w:hAnsi="Arial"/>
                <w:sz w:val="16"/>
                <w:szCs w:val="16"/>
                <w:color w:val="2D3243"/>
              </w:rPr>
              <w:t>the proxy card,</w:t>
            </w:r>
          </w:p>
        </w:tc>
        <w:tc>
          <w:tcPr>
            <w:tcW w:w="1780" w:type="dxa"/>
            <w:vAlign w:val="bottom"/>
          </w:tcPr>
          <w:p>
            <w:pPr>
              <w:ind w:left="340"/>
              <w:spacing w:after="0"/>
              <w:rPr>
                <w:sz w:val="20"/>
                <w:szCs w:val="20"/>
                <w:color w:val="auto"/>
              </w:rPr>
            </w:pPr>
            <w:r>
              <w:rPr>
                <w:rFonts w:ascii="Arial" w:cs="Arial" w:eastAsia="Arial" w:hAnsi="Arial"/>
                <w:sz w:val="16"/>
                <w:szCs w:val="16"/>
                <w:color w:val="2D3243"/>
              </w:rPr>
              <w:t>Internet,</w:t>
            </w:r>
          </w:p>
        </w:tc>
        <w:tc>
          <w:tcPr>
            <w:tcW w:w="1800" w:type="dxa"/>
            <w:vAlign w:val="bottom"/>
          </w:tcPr>
          <w:p>
            <w:pPr>
              <w:ind w:left="360"/>
              <w:spacing w:after="0"/>
              <w:rPr>
                <w:sz w:val="20"/>
                <w:szCs w:val="20"/>
                <w:color w:val="auto"/>
              </w:rPr>
            </w:pPr>
            <w:r>
              <w:rPr>
                <w:rFonts w:ascii="Arial" w:cs="Arial" w:eastAsia="Arial" w:hAnsi="Arial"/>
                <w:sz w:val="16"/>
                <w:szCs w:val="16"/>
                <w:color w:val="2D3243"/>
              </w:rPr>
              <w:t>telephone,</w:t>
            </w:r>
          </w:p>
        </w:tc>
        <w:tc>
          <w:tcPr>
            <w:tcW w:w="3760" w:type="dxa"/>
            <w:vAlign w:val="bottom"/>
          </w:tcPr>
          <w:p>
            <w:pPr>
              <w:ind w:left="340"/>
              <w:spacing w:after="0"/>
              <w:rPr>
                <w:sz w:val="20"/>
                <w:szCs w:val="20"/>
                <w:color w:val="auto"/>
              </w:rPr>
            </w:pPr>
            <w:r>
              <w:rPr>
                <w:rFonts w:ascii="Arial" w:cs="Arial" w:eastAsia="Arial" w:hAnsi="Arial"/>
                <w:sz w:val="16"/>
                <w:szCs w:val="16"/>
                <w:color w:val="2D3243"/>
              </w:rPr>
              <w:t>Annual Meeting online and follow the</w:t>
            </w:r>
          </w:p>
        </w:tc>
      </w:tr>
      <w:tr>
        <w:trPr>
          <w:trHeight w:val="257"/>
        </w:trPr>
        <w:tc>
          <w:tcPr>
            <w:tcW w:w="1540" w:type="dxa"/>
            <w:vAlign w:val="bottom"/>
            <w:gridSpan w:val="2"/>
          </w:tcPr>
          <w:p>
            <w:pPr>
              <w:spacing w:after="0"/>
              <w:rPr>
                <w:sz w:val="20"/>
                <w:szCs w:val="20"/>
                <w:color w:val="auto"/>
              </w:rPr>
            </w:pPr>
            <w:r>
              <w:rPr>
                <w:rFonts w:ascii="Arial" w:cs="Arial" w:eastAsia="Arial" w:hAnsi="Arial"/>
                <w:sz w:val="16"/>
                <w:szCs w:val="16"/>
                <w:color w:val="2D3243"/>
              </w:rPr>
              <w:t>request a proxy</w:t>
            </w:r>
          </w:p>
        </w:tc>
        <w:tc>
          <w:tcPr>
            <w:tcW w:w="1780" w:type="dxa"/>
            <w:vAlign w:val="bottom"/>
          </w:tcPr>
          <w:p>
            <w:pPr>
              <w:ind w:left="340"/>
              <w:spacing w:after="0"/>
              <w:rPr>
                <w:sz w:val="20"/>
                <w:szCs w:val="20"/>
                <w:color w:val="auto"/>
              </w:rPr>
            </w:pPr>
            <w:r>
              <w:rPr>
                <w:rFonts w:ascii="Arial" w:cs="Arial" w:eastAsia="Arial" w:hAnsi="Arial"/>
                <w:sz w:val="16"/>
                <w:szCs w:val="16"/>
                <w:color w:val="2D3243"/>
              </w:rPr>
              <w:t>please follow</w:t>
            </w:r>
          </w:p>
        </w:tc>
        <w:tc>
          <w:tcPr>
            <w:tcW w:w="1800" w:type="dxa"/>
            <w:vAlign w:val="bottom"/>
          </w:tcPr>
          <w:p>
            <w:pPr>
              <w:ind w:left="360"/>
              <w:spacing w:after="0"/>
              <w:rPr>
                <w:sz w:val="20"/>
                <w:szCs w:val="20"/>
                <w:color w:val="auto"/>
              </w:rPr>
            </w:pPr>
            <w:r>
              <w:rPr>
                <w:rFonts w:ascii="Arial" w:cs="Arial" w:eastAsia="Arial" w:hAnsi="Arial"/>
                <w:sz w:val="16"/>
                <w:szCs w:val="16"/>
                <w:color w:val="2D3243"/>
              </w:rPr>
              <w:t>please follow</w:t>
            </w:r>
          </w:p>
        </w:tc>
        <w:tc>
          <w:tcPr>
            <w:tcW w:w="3760" w:type="dxa"/>
            <w:vAlign w:val="bottom"/>
          </w:tcPr>
          <w:p>
            <w:pPr>
              <w:ind w:left="340"/>
              <w:spacing w:after="0"/>
              <w:rPr>
                <w:sz w:val="20"/>
                <w:szCs w:val="20"/>
                <w:color w:val="auto"/>
              </w:rPr>
            </w:pPr>
            <w:r>
              <w:rPr>
                <w:rFonts w:ascii="Arial" w:cs="Arial" w:eastAsia="Arial" w:hAnsi="Arial"/>
                <w:sz w:val="16"/>
                <w:szCs w:val="16"/>
                <w:color w:val="2D3243"/>
              </w:rPr>
              <w:t>instructions posted at</w:t>
            </w:r>
          </w:p>
        </w:tc>
      </w:tr>
      <w:tr>
        <w:trPr>
          <w:trHeight w:val="256"/>
        </w:trPr>
        <w:tc>
          <w:tcPr>
            <w:tcW w:w="1540" w:type="dxa"/>
            <w:vAlign w:val="bottom"/>
            <w:gridSpan w:val="2"/>
          </w:tcPr>
          <w:p>
            <w:pPr>
              <w:spacing w:after="0"/>
              <w:rPr>
                <w:sz w:val="20"/>
                <w:szCs w:val="20"/>
                <w:color w:val="auto"/>
              </w:rPr>
            </w:pPr>
            <w:r>
              <w:rPr>
                <w:rFonts w:ascii="Arial" w:cs="Arial" w:eastAsia="Arial" w:hAnsi="Arial"/>
                <w:sz w:val="16"/>
                <w:szCs w:val="16"/>
                <w:color w:val="2D3243"/>
              </w:rPr>
              <w:t>card from us by</w:t>
            </w:r>
          </w:p>
        </w:tc>
        <w:tc>
          <w:tcPr>
            <w:tcW w:w="1780" w:type="dxa"/>
            <w:vAlign w:val="bottom"/>
          </w:tcPr>
          <w:p>
            <w:pPr>
              <w:ind w:left="340"/>
              <w:spacing w:after="0"/>
              <w:rPr>
                <w:sz w:val="20"/>
                <w:szCs w:val="20"/>
                <w:color w:val="auto"/>
              </w:rPr>
            </w:pPr>
            <w:r>
              <w:rPr>
                <w:rFonts w:ascii="Arial" w:cs="Arial" w:eastAsia="Arial" w:hAnsi="Arial"/>
                <w:sz w:val="16"/>
                <w:szCs w:val="16"/>
                <w:color w:val="2D3243"/>
              </w:rPr>
              <w:t>the instructions</w:t>
            </w:r>
          </w:p>
        </w:tc>
        <w:tc>
          <w:tcPr>
            <w:tcW w:w="1800" w:type="dxa"/>
            <w:vAlign w:val="bottom"/>
          </w:tcPr>
          <w:p>
            <w:pPr>
              <w:ind w:left="360"/>
              <w:spacing w:after="0"/>
              <w:rPr>
                <w:sz w:val="20"/>
                <w:szCs w:val="20"/>
                <w:color w:val="auto"/>
              </w:rPr>
            </w:pPr>
            <w:r>
              <w:rPr>
                <w:rFonts w:ascii="Arial" w:cs="Arial" w:eastAsia="Arial" w:hAnsi="Arial"/>
                <w:sz w:val="16"/>
                <w:szCs w:val="16"/>
                <w:color w:val="2D3243"/>
              </w:rPr>
              <w:t>the instructions</w:t>
            </w:r>
          </w:p>
        </w:tc>
        <w:tc>
          <w:tcPr>
            <w:tcW w:w="3760" w:type="dxa"/>
            <w:vAlign w:val="bottom"/>
          </w:tcPr>
          <w:p>
            <w:pPr>
              <w:ind w:left="340"/>
              <w:spacing w:after="0"/>
              <w:rPr>
                <w:sz w:val="20"/>
                <w:szCs w:val="20"/>
                <w:color w:val="auto"/>
              </w:rPr>
            </w:pPr>
            <w:r>
              <w:rPr>
                <w:rFonts w:ascii="Arial" w:cs="Arial" w:eastAsia="Arial" w:hAnsi="Arial"/>
                <w:sz w:val="16"/>
                <w:szCs w:val="16"/>
                <w:color w:val="2D3243"/>
              </w:rPr>
              <w:t>www.virtualshareholdermeeting.com/FIVN2024.</w:t>
            </w:r>
          </w:p>
        </w:tc>
      </w:tr>
      <w:tr>
        <w:trPr>
          <w:trHeight w:val="270"/>
        </w:trPr>
        <w:tc>
          <w:tcPr>
            <w:tcW w:w="1540" w:type="dxa"/>
            <w:vAlign w:val="bottom"/>
            <w:gridSpan w:val="2"/>
          </w:tcPr>
          <w:p>
            <w:pPr>
              <w:spacing w:after="0"/>
              <w:rPr>
                <w:sz w:val="20"/>
                <w:szCs w:val="20"/>
                <w:color w:val="auto"/>
              </w:rPr>
            </w:pPr>
            <w:r>
              <w:rPr>
                <w:rFonts w:ascii="Arial" w:cs="Arial" w:eastAsia="Arial" w:hAnsi="Arial"/>
                <w:sz w:val="16"/>
                <w:szCs w:val="16"/>
                <w:color w:val="2D3243"/>
              </w:rPr>
              <w:t>email at</w:t>
            </w:r>
          </w:p>
        </w:tc>
        <w:tc>
          <w:tcPr>
            <w:tcW w:w="1780" w:type="dxa"/>
            <w:vAlign w:val="bottom"/>
          </w:tcPr>
          <w:p>
            <w:pPr>
              <w:ind w:left="340"/>
              <w:spacing w:after="0"/>
              <w:rPr>
                <w:sz w:val="20"/>
                <w:szCs w:val="20"/>
                <w:color w:val="auto"/>
              </w:rPr>
            </w:pPr>
            <w:r>
              <w:rPr>
                <w:rFonts w:ascii="Arial" w:cs="Arial" w:eastAsia="Arial" w:hAnsi="Arial"/>
                <w:sz w:val="16"/>
                <w:szCs w:val="16"/>
                <w:color w:val="2D3243"/>
              </w:rPr>
              <w:t>provided on</w:t>
            </w:r>
          </w:p>
        </w:tc>
        <w:tc>
          <w:tcPr>
            <w:tcW w:w="1800" w:type="dxa"/>
            <w:vAlign w:val="bottom"/>
          </w:tcPr>
          <w:p>
            <w:pPr>
              <w:ind w:left="360"/>
              <w:spacing w:after="0"/>
              <w:rPr>
                <w:sz w:val="20"/>
                <w:szCs w:val="20"/>
                <w:color w:val="auto"/>
              </w:rPr>
            </w:pPr>
            <w:r>
              <w:rPr>
                <w:rFonts w:ascii="Arial" w:cs="Arial" w:eastAsia="Arial" w:hAnsi="Arial"/>
                <w:sz w:val="16"/>
                <w:szCs w:val="16"/>
                <w:color w:val="2D3243"/>
              </w:rPr>
              <w:t>provided on</w:t>
            </w:r>
          </w:p>
        </w:tc>
        <w:tc>
          <w:tcPr>
            <w:tcW w:w="3760" w:type="dxa"/>
            <w:vAlign w:val="bottom"/>
          </w:tcPr>
          <w:p>
            <w:pPr>
              <w:spacing w:after="0"/>
              <w:rPr>
                <w:sz w:val="23"/>
                <w:szCs w:val="23"/>
                <w:color w:val="auto"/>
              </w:rPr>
            </w:pPr>
          </w:p>
        </w:tc>
      </w:tr>
      <w:tr>
        <w:trPr>
          <w:trHeight w:val="218"/>
        </w:trPr>
        <w:tc>
          <w:tcPr>
            <w:tcW w:w="1540" w:type="dxa"/>
            <w:vAlign w:val="bottom"/>
            <w:gridSpan w:val="2"/>
          </w:tcPr>
          <w:p>
            <w:pPr>
              <w:spacing w:after="0"/>
              <w:rPr>
                <w:sz w:val="20"/>
                <w:szCs w:val="20"/>
                <w:color w:val="auto"/>
              </w:rPr>
            </w:pPr>
            <w:r>
              <w:rPr>
                <w:rFonts w:ascii="Arial" w:cs="Arial" w:eastAsia="Arial" w:hAnsi="Arial"/>
                <w:sz w:val="16"/>
                <w:szCs w:val="16"/>
                <w:color w:val="2D3243"/>
              </w:rPr>
              <w:t>ir@five9.com,</w:t>
            </w:r>
          </w:p>
        </w:tc>
        <w:tc>
          <w:tcPr>
            <w:tcW w:w="1780" w:type="dxa"/>
            <w:vAlign w:val="bottom"/>
          </w:tcPr>
          <w:p>
            <w:pPr>
              <w:ind w:left="340"/>
              <w:spacing w:after="0"/>
              <w:rPr>
                <w:sz w:val="20"/>
                <w:szCs w:val="20"/>
                <w:color w:val="auto"/>
              </w:rPr>
            </w:pPr>
            <w:r>
              <w:rPr>
                <w:rFonts w:ascii="Arial" w:cs="Arial" w:eastAsia="Arial" w:hAnsi="Arial"/>
                <w:sz w:val="16"/>
                <w:szCs w:val="16"/>
                <w:color w:val="2D3243"/>
              </w:rPr>
              <w:t>your proxy</w:t>
            </w:r>
          </w:p>
        </w:tc>
        <w:tc>
          <w:tcPr>
            <w:tcW w:w="1800" w:type="dxa"/>
            <w:vAlign w:val="bottom"/>
          </w:tcPr>
          <w:p>
            <w:pPr>
              <w:ind w:left="360"/>
              <w:spacing w:after="0"/>
              <w:rPr>
                <w:sz w:val="20"/>
                <w:szCs w:val="20"/>
                <w:color w:val="auto"/>
              </w:rPr>
            </w:pPr>
            <w:r>
              <w:rPr>
                <w:rFonts w:ascii="Arial" w:cs="Arial" w:eastAsia="Arial" w:hAnsi="Arial"/>
                <w:sz w:val="16"/>
                <w:szCs w:val="16"/>
                <w:color w:val="2D3243"/>
              </w:rPr>
              <w:t>your proxy card</w:t>
            </w:r>
          </w:p>
        </w:tc>
        <w:tc>
          <w:tcPr>
            <w:tcW w:w="3760" w:type="dxa"/>
            <w:vAlign w:val="bottom"/>
          </w:tcPr>
          <w:p>
            <w:pPr>
              <w:spacing w:after="0"/>
              <w:rPr>
                <w:sz w:val="18"/>
                <w:szCs w:val="18"/>
                <w:color w:val="auto"/>
              </w:rPr>
            </w:pPr>
          </w:p>
        </w:tc>
      </w:tr>
      <w:tr>
        <w:trPr>
          <w:trHeight w:val="20"/>
        </w:trPr>
        <w:tc>
          <w:tcPr>
            <w:tcW w:w="940" w:type="dxa"/>
            <w:vAlign w:val="bottom"/>
            <w:shd w:val="clear" w:color="auto" w:fill="2D324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75"/>
        </w:trPr>
        <w:tc>
          <w:tcPr>
            <w:tcW w:w="1540" w:type="dxa"/>
            <w:vAlign w:val="bottom"/>
            <w:gridSpan w:val="2"/>
          </w:tcPr>
          <w:p>
            <w:pPr>
              <w:spacing w:after="0"/>
              <w:rPr>
                <w:sz w:val="20"/>
                <w:szCs w:val="20"/>
                <w:color w:val="auto"/>
              </w:rPr>
            </w:pPr>
            <w:r>
              <w:rPr>
                <w:rFonts w:ascii="Arial" w:cs="Arial" w:eastAsia="Arial" w:hAnsi="Arial"/>
                <w:sz w:val="16"/>
                <w:szCs w:val="16"/>
                <w:color w:val="2D3243"/>
              </w:rPr>
              <w:t>and complete,</w:t>
            </w:r>
          </w:p>
        </w:tc>
        <w:tc>
          <w:tcPr>
            <w:tcW w:w="1780" w:type="dxa"/>
            <w:vAlign w:val="bottom"/>
          </w:tcPr>
          <w:p>
            <w:pPr>
              <w:ind w:left="340"/>
              <w:spacing w:after="0"/>
              <w:rPr>
                <w:sz w:val="20"/>
                <w:szCs w:val="20"/>
                <w:color w:val="auto"/>
              </w:rPr>
            </w:pPr>
            <w:r>
              <w:rPr>
                <w:rFonts w:ascii="Arial" w:cs="Arial" w:eastAsia="Arial" w:hAnsi="Arial"/>
                <w:sz w:val="16"/>
                <w:szCs w:val="16"/>
                <w:color w:val="2D3243"/>
              </w:rPr>
              <w:t>card or the</w:t>
            </w:r>
          </w:p>
        </w:tc>
        <w:tc>
          <w:tcPr>
            <w:tcW w:w="1800" w:type="dxa"/>
            <w:vAlign w:val="bottom"/>
          </w:tcPr>
          <w:p>
            <w:pPr>
              <w:ind w:left="360"/>
              <w:spacing w:after="0"/>
              <w:rPr>
                <w:sz w:val="20"/>
                <w:szCs w:val="20"/>
                <w:color w:val="auto"/>
              </w:rPr>
            </w:pPr>
            <w:r>
              <w:rPr>
                <w:rFonts w:ascii="Arial" w:cs="Arial" w:eastAsia="Arial" w:hAnsi="Arial"/>
                <w:sz w:val="16"/>
                <w:szCs w:val="16"/>
                <w:color w:val="2D3243"/>
              </w:rPr>
              <w:t>or the Notice.</w:t>
            </w:r>
          </w:p>
        </w:tc>
        <w:tc>
          <w:tcPr>
            <w:tcW w:w="3760" w:type="dxa"/>
            <w:vAlign w:val="bottom"/>
          </w:tcPr>
          <w:p>
            <w:pPr>
              <w:spacing w:after="0"/>
              <w:rPr>
                <w:sz w:val="23"/>
                <w:szCs w:val="23"/>
                <w:color w:val="auto"/>
              </w:rPr>
            </w:pPr>
          </w:p>
        </w:tc>
      </w:tr>
      <w:tr>
        <w:trPr>
          <w:trHeight w:val="257"/>
        </w:trPr>
        <w:tc>
          <w:tcPr>
            <w:tcW w:w="1540" w:type="dxa"/>
            <w:vAlign w:val="bottom"/>
            <w:gridSpan w:val="2"/>
          </w:tcPr>
          <w:p>
            <w:pPr>
              <w:spacing w:after="0"/>
              <w:rPr>
                <w:sz w:val="20"/>
                <w:szCs w:val="20"/>
                <w:color w:val="auto"/>
              </w:rPr>
            </w:pPr>
            <w:r>
              <w:rPr>
                <w:rFonts w:ascii="Arial" w:cs="Arial" w:eastAsia="Arial" w:hAnsi="Arial"/>
                <w:sz w:val="16"/>
                <w:szCs w:val="16"/>
                <w:color w:val="2D3243"/>
              </w:rPr>
              <w:t>date and sign</w:t>
            </w:r>
          </w:p>
        </w:tc>
        <w:tc>
          <w:tcPr>
            <w:tcW w:w="1780" w:type="dxa"/>
            <w:vAlign w:val="bottom"/>
          </w:tcPr>
          <w:p>
            <w:pPr>
              <w:ind w:left="340"/>
              <w:spacing w:after="0"/>
              <w:rPr>
                <w:sz w:val="20"/>
                <w:szCs w:val="20"/>
                <w:color w:val="auto"/>
              </w:rPr>
            </w:pPr>
            <w:r>
              <w:rPr>
                <w:rFonts w:ascii="Arial" w:cs="Arial" w:eastAsia="Arial" w:hAnsi="Arial"/>
                <w:sz w:val="16"/>
                <w:szCs w:val="16"/>
                <w:color w:val="2D3243"/>
              </w:rPr>
              <w:t>Notice.</w:t>
            </w: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gridSpan w:val="2"/>
          </w:tcPr>
          <w:p>
            <w:pPr>
              <w:spacing w:after="0"/>
              <w:rPr>
                <w:sz w:val="20"/>
                <w:szCs w:val="20"/>
                <w:color w:val="auto"/>
              </w:rPr>
            </w:pPr>
            <w:r>
              <w:rPr>
                <w:rFonts w:ascii="Arial" w:cs="Arial" w:eastAsia="Arial" w:hAnsi="Arial"/>
                <w:sz w:val="16"/>
                <w:szCs w:val="16"/>
                <w:color w:val="2D3243"/>
              </w:rPr>
              <w:t>the proxy card</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6"/>
        </w:trPr>
        <w:tc>
          <w:tcPr>
            <w:tcW w:w="1540" w:type="dxa"/>
            <w:vAlign w:val="bottom"/>
            <w:gridSpan w:val="2"/>
          </w:tcPr>
          <w:p>
            <w:pPr>
              <w:spacing w:after="0"/>
              <w:rPr>
                <w:sz w:val="20"/>
                <w:szCs w:val="20"/>
                <w:color w:val="auto"/>
              </w:rPr>
            </w:pPr>
            <w:r>
              <w:rPr>
                <w:rFonts w:ascii="Arial" w:cs="Arial" w:eastAsia="Arial" w:hAnsi="Arial"/>
                <w:sz w:val="16"/>
                <w:szCs w:val="16"/>
                <w:color w:val="2D3243"/>
              </w:rPr>
              <w:t>and return it</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70"/>
        </w:trPr>
        <w:tc>
          <w:tcPr>
            <w:tcW w:w="1540" w:type="dxa"/>
            <w:vAlign w:val="bottom"/>
            <w:gridSpan w:val="2"/>
          </w:tcPr>
          <w:p>
            <w:pPr>
              <w:spacing w:after="0"/>
              <w:rPr>
                <w:sz w:val="20"/>
                <w:szCs w:val="20"/>
                <w:color w:val="auto"/>
              </w:rPr>
            </w:pPr>
            <w:r>
              <w:rPr>
                <w:rFonts w:ascii="Arial" w:cs="Arial" w:eastAsia="Arial" w:hAnsi="Arial"/>
                <w:sz w:val="16"/>
                <w:szCs w:val="16"/>
                <w:color w:val="2D3243"/>
              </w:rPr>
              <w:t>promptly in the</w:t>
            </w:r>
          </w:p>
        </w:tc>
        <w:tc>
          <w:tcPr>
            <w:tcW w:w="17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760" w:type="dxa"/>
            <w:vAlign w:val="bottom"/>
          </w:tcPr>
          <w:p>
            <w:pPr>
              <w:spacing w:after="0"/>
              <w:rPr>
                <w:sz w:val="23"/>
                <w:szCs w:val="23"/>
                <w:color w:val="auto"/>
              </w:rPr>
            </w:pPr>
          </w:p>
        </w:tc>
      </w:tr>
      <w:tr>
        <w:trPr>
          <w:trHeight w:val="257"/>
        </w:trPr>
        <w:tc>
          <w:tcPr>
            <w:tcW w:w="1540" w:type="dxa"/>
            <w:vAlign w:val="bottom"/>
            <w:gridSpan w:val="2"/>
          </w:tcPr>
          <w:p>
            <w:pPr>
              <w:spacing w:after="0"/>
              <w:rPr>
                <w:sz w:val="20"/>
                <w:szCs w:val="20"/>
                <w:color w:val="auto"/>
              </w:rPr>
            </w:pPr>
            <w:r>
              <w:rPr>
                <w:rFonts w:ascii="Arial" w:cs="Arial" w:eastAsia="Arial" w:hAnsi="Arial"/>
                <w:sz w:val="16"/>
                <w:szCs w:val="16"/>
                <w:color w:val="2D3243"/>
              </w:rPr>
              <w:t>envelope</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gridSpan w:val="2"/>
          </w:tcPr>
          <w:p>
            <w:pPr>
              <w:spacing w:after="0"/>
              <w:rPr>
                <w:sz w:val="20"/>
                <w:szCs w:val="20"/>
                <w:color w:val="auto"/>
              </w:rPr>
            </w:pPr>
            <w:r>
              <w:rPr>
                <w:rFonts w:ascii="Arial" w:cs="Arial" w:eastAsia="Arial" w:hAnsi="Arial"/>
                <w:sz w:val="16"/>
                <w:szCs w:val="16"/>
                <w:color w:val="2D3243"/>
              </w:rPr>
              <w:t>provided. If you</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gridSpan w:val="2"/>
          </w:tcPr>
          <w:p>
            <w:pPr>
              <w:spacing w:after="0"/>
              <w:rPr>
                <w:sz w:val="20"/>
                <w:szCs w:val="20"/>
                <w:color w:val="auto"/>
              </w:rPr>
            </w:pPr>
            <w:r>
              <w:rPr>
                <w:rFonts w:ascii="Arial" w:cs="Arial" w:eastAsia="Arial" w:hAnsi="Arial"/>
                <w:sz w:val="16"/>
                <w:szCs w:val="16"/>
                <w:color w:val="2D3243"/>
              </w:rPr>
              <w:t>return your</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6"/>
        </w:trPr>
        <w:tc>
          <w:tcPr>
            <w:tcW w:w="1540" w:type="dxa"/>
            <w:vAlign w:val="bottom"/>
            <w:gridSpan w:val="2"/>
          </w:tcPr>
          <w:p>
            <w:pPr>
              <w:spacing w:after="0"/>
              <w:rPr>
                <w:sz w:val="20"/>
                <w:szCs w:val="20"/>
                <w:color w:val="auto"/>
              </w:rPr>
            </w:pPr>
            <w:r>
              <w:rPr>
                <w:rFonts w:ascii="Arial" w:cs="Arial" w:eastAsia="Arial" w:hAnsi="Arial"/>
                <w:sz w:val="16"/>
                <w:szCs w:val="16"/>
                <w:color w:val="2D3243"/>
              </w:rPr>
              <w:t>signed proxy</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70"/>
        </w:trPr>
        <w:tc>
          <w:tcPr>
            <w:tcW w:w="1540" w:type="dxa"/>
            <w:vAlign w:val="bottom"/>
            <w:gridSpan w:val="2"/>
          </w:tcPr>
          <w:p>
            <w:pPr>
              <w:spacing w:after="0"/>
              <w:rPr>
                <w:sz w:val="20"/>
                <w:szCs w:val="20"/>
                <w:color w:val="auto"/>
              </w:rPr>
            </w:pPr>
            <w:r>
              <w:rPr>
                <w:rFonts w:ascii="Arial" w:cs="Arial" w:eastAsia="Arial" w:hAnsi="Arial"/>
                <w:sz w:val="16"/>
                <w:szCs w:val="16"/>
                <w:color w:val="2D3243"/>
              </w:rPr>
              <w:t>card to us</w:t>
            </w:r>
          </w:p>
        </w:tc>
        <w:tc>
          <w:tcPr>
            <w:tcW w:w="17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760" w:type="dxa"/>
            <w:vAlign w:val="bottom"/>
          </w:tcPr>
          <w:p>
            <w:pPr>
              <w:spacing w:after="0"/>
              <w:rPr>
                <w:sz w:val="23"/>
                <w:szCs w:val="23"/>
                <w:color w:val="auto"/>
              </w:rPr>
            </w:pPr>
          </w:p>
        </w:tc>
      </w:tr>
      <w:tr>
        <w:trPr>
          <w:trHeight w:val="257"/>
        </w:trPr>
        <w:tc>
          <w:tcPr>
            <w:tcW w:w="1540" w:type="dxa"/>
            <w:vAlign w:val="bottom"/>
            <w:gridSpan w:val="2"/>
          </w:tcPr>
          <w:p>
            <w:pPr>
              <w:spacing w:after="0"/>
              <w:rPr>
                <w:sz w:val="20"/>
                <w:szCs w:val="20"/>
                <w:color w:val="auto"/>
              </w:rPr>
            </w:pPr>
            <w:r>
              <w:rPr>
                <w:rFonts w:ascii="Arial" w:cs="Arial" w:eastAsia="Arial" w:hAnsi="Arial"/>
                <w:sz w:val="16"/>
                <w:szCs w:val="16"/>
                <w:color w:val="2D3243"/>
              </w:rPr>
              <w:t>before the</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gridSpan w:val="2"/>
          </w:tcPr>
          <w:p>
            <w:pPr>
              <w:spacing w:after="0"/>
              <w:rPr>
                <w:sz w:val="20"/>
                <w:szCs w:val="20"/>
                <w:color w:val="auto"/>
              </w:rPr>
            </w:pPr>
            <w:r>
              <w:rPr>
                <w:rFonts w:ascii="Arial" w:cs="Arial" w:eastAsia="Arial" w:hAnsi="Arial"/>
                <w:sz w:val="16"/>
                <w:szCs w:val="16"/>
                <w:color w:val="2D3243"/>
              </w:rPr>
              <w:t>Annual Meeting,</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6"/>
        </w:trPr>
        <w:tc>
          <w:tcPr>
            <w:tcW w:w="1540" w:type="dxa"/>
            <w:vAlign w:val="bottom"/>
            <w:gridSpan w:val="2"/>
          </w:tcPr>
          <w:p>
            <w:pPr>
              <w:spacing w:after="0"/>
              <w:rPr>
                <w:sz w:val="20"/>
                <w:szCs w:val="20"/>
                <w:color w:val="auto"/>
              </w:rPr>
            </w:pPr>
            <w:r>
              <w:rPr>
                <w:rFonts w:ascii="Arial" w:cs="Arial" w:eastAsia="Arial" w:hAnsi="Arial"/>
                <w:sz w:val="16"/>
                <w:szCs w:val="16"/>
                <w:color w:val="2D3243"/>
              </w:rPr>
              <w:t>we will vote your</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gridSpan w:val="2"/>
          </w:tcPr>
          <w:p>
            <w:pPr>
              <w:spacing w:after="0"/>
              <w:rPr>
                <w:sz w:val="20"/>
                <w:szCs w:val="20"/>
                <w:color w:val="auto"/>
              </w:rPr>
            </w:pPr>
            <w:r>
              <w:rPr>
                <w:rFonts w:ascii="Arial" w:cs="Arial" w:eastAsia="Arial" w:hAnsi="Arial"/>
                <w:sz w:val="16"/>
                <w:szCs w:val="16"/>
                <w:color w:val="2D3243"/>
              </w:rPr>
              <w:t>shares as you</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70"/>
        </w:trPr>
        <w:tc>
          <w:tcPr>
            <w:tcW w:w="1540" w:type="dxa"/>
            <w:vAlign w:val="bottom"/>
            <w:gridSpan w:val="2"/>
          </w:tcPr>
          <w:p>
            <w:pPr>
              <w:spacing w:after="0"/>
              <w:rPr>
                <w:sz w:val="20"/>
                <w:szCs w:val="20"/>
                <w:color w:val="auto"/>
              </w:rPr>
            </w:pPr>
            <w:r>
              <w:rPr>
                <w:rFonts w:ascii="Arial" w:cs="Arial" w:eastAsia="Arial" w:hAnsi="Arial"/>
                <w:sz w:val="16"/>
                <w:szCs w:val="16"/>
                <w:color w:val="2D3243"/>
              </w:rPr>
              <w:t>direct.</w:t>
            </w:r>
          </w:p>
        </w:tc>
        <w:tc>
          <w:tcPr>
            <w:tcW w:w="17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7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-1824355</wp:posOffset>
            </wp:positionV>
            <wp:extent cx="24003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0030" cy="16319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-1858645</wp:posOffset>
            </wp:positionV>
            <wp:extent cx="24003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-1901190</wp:posOffset>
            </wp:positionV>
            <wp:extent cx="205740" cy="317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31750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-1866900</wp:posOffset>
            </wp:positionV>
            <wp:extent cx="205740" cy="248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248920"/>
                    </a:xfrm>
                    <a:prstGeom prst="rect">
                      <a:avLst/>
                    </a:prstGeom>
                    <a:noFill/>
                  </pic:spPr>
                </pic:pic>
              </a:graphicData>
            </a:graphic>
          </wp:anchor>
        </w:drawing>
      </w:r>
    </w:p>
    <w:p>
      <w:pPr>
        <w:spacing w:after="0" w:line="292" w:lineRule="exact"/>
        <w:rPr>
          <w:sz w:val="20"/>
          <w:szCs w:val="20"/>
          <w:color w:val="auto"/>
        </w:rPr>
      </w:pPr>
    </w:p>
    <w:p>
      <w:pPr>
        <w:spacing w:after="0" w:line="363" w:lineRule="auto"/>
        <w:rPr>
          <w:sz w:val="20"/>
          <w:szCs w:val="20"/>
          <w:color w:val="auto"/>
        </w:rPr>
      </w:pPr>
      <w:r>
        <w:rPr>
          <w:rFonts w:ascii="Arial" w:cs="Arial" w:eastAsia="Arial" w:hAnsi="Arial"/>
          <w:sz w:val="16"/>
          <w:szCs w:val="16"/>
          <w:color w:val="2D3243"/>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Beneficial Owner: Shares Registered in the Name of a Broker or Bank</w:t>
      </w:r>
    </w:p>
    <w:p>
      <w:pPr>
        <w:spacing w:after="0" w:line="233" w:lineRule="exact"/>
        <w:rPr>
          <w:sz w:val="20"/>
          <w:szCs w:val="20"/>
          <w:color w:val="auto"/>
        </w:rPr>
      </w:pPr>
    </w:p>
    <w:p>
      <w:pPr>
        <w:ind w:right="800"/>
        <w:spacing w:after="0" w:line="374" w:lineRule="auto"/>
        <w:rPr>
          <w:sz w:val="20"/>
          <w:szCs w:val="20"/>
          <w:color w:val="auto"/>
        </w:rPr>
      </w:pPr>
      <w:r>
        <w:rPr>
          <w:rFonts w:ascii="Arial" w:cs="Arial" w:eastAsia="Arial" w:hAnsi="Arial"/>
          <w:sz w:val="16"/>
          <w:szCs w:val="16"/>
          <w:color w:val="2D3243"/>
        </w:rPr>
        <w:t>See “Who can vote at the Annual Meeting? — Beneficial Owner: Shares Registered in the Name of a Broker or Bank” for voting instructions if you beneficially own shares held in street name.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many votes do I have?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On each matter to be voted upon, you have one vote for each share of Common Stock you own as of the close of business on March 18,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if I return a proxy card but do not make specific choices?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If you return a signed and dated proxy card without marking any voting selections, your shares will be voted as follows:</w:t>
      </w:r>
    </w:p>
    <w:p>
      <w:pPr>
        <w:spacing w:after="0" w:line="235"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6"/>
          <w:szCs w:val="16"/>
          <w:color w:val="2D3243"/>
        </w:rPr>
      </w:pPr>
      <w:r>
        <w:rPr>
          <w:rFonts w:ascii="Arial" w:cs="Arial" w:eastAsia="Arial" w:hAnsi="Arial"/>
          <w:sz w:val="16"/>
          <w:szCs w:val="16"/>
          <w:color w:val="2D3243"/>
        </w:rPr>
        <w:t>“For all” with respect to the election of the two nominees for director,</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6"/>
        </w:numPr>
        <w:rPr>
          <w:rFonts w:ascii="Arial" w:cs="Arial" w:eastAsia="Arial" w:hAnsi="Arial"/>
          <w:sz w:val="16"/>
          <w:szCs w:val="16"/>
          <w:color w:val="2D3243"/>
        </w:rPr>
      </w:pPr>
      <w:r>
        <w:rPr>
          <w:rFonts w:ascii="Arial" w:cs="Arial" w:eastAsia="Arial" w:hAnsi="Arial"/>
          <w:sz w:val="16"/>
          <w:szCs w:val="16"/>
          <w:color w:val="2D3243"/>
        </w:rPr>
        <w:t>“For” the approval of, on a non-binding, advisory basis, the compensation of our named executive officers, as disclosed in this Proxy Statement,</w:t>
      </w:r>
    </w:p>
    <w:p>
      <w:pPr>
        <w:spacing w:after="0" w:line="155" w:lineRule="exact"/>
        <w:rPr>
          <w:rFonts w:ascii="Arial" w:cs="Arial" w:eastAsia="Arial" w:hAnsi="Arial"/>
          <w:sz w:val="16"/>
          <w:szCs w:val="16"/>
          <w:color w:val="2D3243"/>
        </w:rPr>
      </w:pPr>
    </w:p>
    <w:p>
      <w:pPr>
        <w:ind w:left="660" w:hanging="328"/>
        <w:spacing w:after="0"/>
        <w:tabs>
          <w:tab w:leader="none" w:pos="660" w:val="left"/>
        </w:tabs>
        <w:numPr>
          <w:ilvl w:val="0"/>
          <w:numId w:val="6"/>
        </w:numPr>
        <w:rPr>
          <w:rFonts w:ascii="Arial" w:cs="Arial" w:eastAsia="Arial" w:hAnsi="Arial"/>
          <w:sz w:val="22"/>
          <w:szCs w:val="22"/>
          <w:color w:val="2D3243"/>
        </w:rPr>
      </w:pPr>
      <w:r>
        <w:rPr>
          <w:rFonts w:ascii="Arial" w:cs="Arial" w:eastAsia="Arial" w:hAnsi="Arial"/>
          <w:sz w:val="16"/>
          <w:szCs w:val="16"/>
          <w:color w:val="2D3243"/>
        </w:rPr>
        <w:t>For the selection of “one year” to be the frequency with which stockholders vote to approve executive compensation, and</w:t>
      </w:r>
    </w:p>
    <w:p>
      <w:pPr>
        <w:spacing w:after="0" w:line="68" w:lineRule="exact"/>
        <w:rPr>
          <w:rFonts w:ascii="Arial" w:cs="Arial" w:eastAsia="Arial" w:hAnsi="Arial"/>
          <w:sz w:val="22"/>
          <w:szCs w:val="22"/>
          <w:color w:val="2D3243"/>
        </w:rPr>
      </w:pPr>
    </w:p>
    <w:p>
      <w:pPr>
        <w:ind w:left="620" w:hanging="288"/>
        <w:spacing w:after="0"/>
        <w:tabs>
          <w:tab w:leader="none" w:pos="620" w:val="left"/>
        </w:tabs>
        <w:numPr>
          <w:ilvl w:val="0"/>
          <w:numId w:val="6"/>
        </w:numPr>
        <w:rPr>
          <w:rFonts w:ascii="Arial" w:cs="Arial" w:eastAsia="Arial" w:hAnsi="Arial"/>
          <w:sz w:val="16"/>
          <w:szCs w:val="16"/>
          <w:color w:val="2D3243"/>
        </w:rPr>
      </w:pPr>
      <w:r>
        <w:rPr>
          <w:rFonts w:ascii="Arial" w:cs="Arial" w:eastAsia="Arial" w:hAnsi="Arial"/>
          <w:sz w:val="16"/>
          <w:szCs w:val="16"/>
          <w:color w:val="2D3243"/>
        </w:rPr>
        <w:t>“For” the ratification of KPMG LLP as our independent registered public accounting firm for the fiscal year ending December 31, 2024.</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00"/>
        <w:spacing w:after="0"/>
        <w:tabs>
          <w:tab w:leader="none" w:pos="556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1" w:name="page12"/>
    <w:bookmarkEnd w:id="11"/>
    <w:p>
      <w:pPr>
        <w:ind w:left="20"/>
        <w:spacing w:after="0"/>
        <w:tabs>
          <w:tab w:leader="none" w:pos="10060" w:val="left"/>
        </w:tabs>
        <w:rPr>
          <w:sz w:val="20"/>
          <w:szCs w:val="20"/>
          <w:color w:val="auto"/>
        </w:rPr>
      </w:pPr>
      <w:r>
        <w:rPr>
          <w:rFonts w:ascii="Arial" w:cs="Arial" w:eastAsia="Arial" w:hAnsi="Arial"/>
          <w:sz w:val="14"/>
          <w:szCs w:val="14"/>
          <w:color w:val="2D3243"/>
        </w:rPr>
        <w:t>Questions And Answers</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374" w:lineRule="auto"/>
        <w:rPr>
          <w:sz w:val="20"/>
          <w:szCs w:val="20"/>
          <w:color w:val="auto"/>
        </w:rPr>
      </w:pPr>
      <w:r>
        <w:rPr>
          <w:rFonts w:ascii="Arial" w:cs="Arial" w:eastAsia="Arial" w:hAnsi="Arial"/>
          <w:sz w:val="16"/>
          <w:szCs w:val="16"/>
          <w:color w:val="2D3243"/>
        </w:rPr>
        <w:t>If any other matter is properly presented at the meeting, your proxy (one of the individuals named on your proxy card) will vote your shares using his or her best judgment.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Who is paying for this proxy solicitation?</w:t>
      </w:r>
    </w:p>
    <w:p>
      <w:pPr>
        <w:spacing w:after="0" w:line="257" w:lineRule="exact"/>
        <w:rPr>
          <w:sz w:val="20"/>
          <w:szCs w:val="20"/>
          <w:color w:val="auto"/>
        </w:rPr>
      </w:pPr>
    </w:p>
    <w:p>
      <w:pPr>
        <w:ind w:right="40"/>
        <w:spacing w:after="0" w:line="346" w:lineRule="auto"/>
        <w:rPr>
          <w:sz w:val="20"/>
          <w:szCs w:val="20"/>
          <w:color w:val="auto"/>
        </w:rPr>
      </w:pPr>
      <w:r>
        <w:rPr>
          <w:rFonts w:ascii="Arial" w:cs="Arial" w:eastAsia="Arial" w:hAnsi="Arial"/>
          <w:sz w:val="16"/>
          <w:szCs w:val="16"/>
          <w:color w:val="2D3243"/>
        </w:rPr>
        <w:t>Five9 will pay for the entire cost of soliciting proxies. In addition to Five9 mailing these proxy materials, the Notice and the annual report (as applicable), Five9’s directors and employees may also solicit proxies in person, by telephone or by other means of communication. Directors and employees will not be paid any additional compensation for soliciting proxies. Five9 has engaged Alliance Advisors to serve as its proxy solicitor for the Annual Meeting at a base fee of $15,500 plus reimbursement of reasonable expenses. Alliance Advisors will perform solicitation services to secure votes from our stockholders, including institutional investors and retail owners. Five9 may reimburse brokerage firms, banks and other agents for the cost of forwarding proxy materials to beneficial owners.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does it mean if I receive more than one set of proxy materials?</w:t>
      </w:r>
    </w:p>
    <w:p>
      <w:pPr>
        <w:spacing w:after="0" w:line="257" w:lineRule="exact"/>
        <w:rPr>
          <w:sz w:val="20"/>
          <w:szCs w:val="20"/>
          <w:color w:val="auto"/>
        </w:rPr>
      </w:pPr>
    </w:p>
    <w:p>
      <w:pPr>
        <w:ind w:right="280"/>
        <w:spacing w:after="0" w:line="354" w:lineRule="auto"/>
        <w:rPr>
          <w:sz w:val="20"/>
          <w:szCs w:val="20"/>
          <w:color w:val="auto"/>
        </w:rPr>
      </w:pPr>
      <w:r>
        <w:rPr>
          <w:rFonts w:ascii="Arial" w:cs="Arial" w:eastAsia="Arial" w:hAnsi="Arial"/>
          <w:sz w:val="16"/>
          <w:szCs w:val="16"/>
          <w:color w:val="2D3243"/>
        </w:rPr>
        <w:t>If you receive more than one set of proxy materials (including multiple copies of this Proxy Statement and multiple proxy cards or multiple Notices), your shares are registered in more than one name or are registered in different accounts. Please follow each of the separate proxy voting instructions that you receive for your shares of Common Stock held in each of your different accounts.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Can I change my vote after submitting my proxy?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Yes. You can revoke your proxy at any time before the final vote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D3243"/>
        </w:rPr>
        <w:t>If you are a stockholder of record, you may revoke your proxy in any one of the following ways:</w:t>
      </w:r>
    </w:p>
    <w:p>
      <w:pPr>
        <w:spacing w:after="0" w:line="235"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6"/>
          <w:szCs w:val="16"/>
          <w:color w:val="2D3243"/>
        </w:rPr>
      </w:pPr>
      <w:r>
        <w:rPr>
          <w:rFonts w:ascii="Arial" w:cs="Arial" w:eastAsia="Arial" w:hAnsi="Arial"/>
          <w:sz w:val="16"/>
          <w:szCs w:val="16"/>
          <w:color w:val="2D3243"/>
        </w:rPr>
        <w:t>You may submit another properly completed proxy card with a later date.</w:t>
      </w:r>
    </w:p>
    <w:p>
      <w:pPr>
        <w:spacing w:after="0" w:line="140" w:lineRule="exact"/>
        <w:rPr>
          <w:rFonts w:ascii="Arial" w:cs="Arial" w:eastAsia="Arial" w:hAnsi="Arial"/>
          <w:sz w:val="16"/>
          <w:szCs w:val="16"/>
          <w:color w:val="2D3243"/>
        </w:rPr>
      </w:pPr>
    </w:p>
    <w:p>
      <w:pPr>
        <w:ind w:left="620" w:hanging="288"/>
        <w:spacing w:after="0"/>
        <w:tabs>
          <w:tab w:leader="none" w:pos="620" w:val="left"/>
        </w:tabs>
        <w:numPr>
          <w:ilvl w:val="0"/>
          <w:numId w:val="7"/>
        </w:numPr>
        <w:rPr>
          <w:rFonts w:ascii="Arial" w:cs="Arial" w:eastAsia="Arial" w:hAnsi="Arial"/>
          <w:sz w:val="16"/>
          <w:szCs w:val="16"/>
          <w:color w:val="2D3243"/>
        </w:rPr>
      </w:pPr>
      <w:r>
        <w:rPr>
          <w:rFonts w:ascii="Arial" w:cs="Arial" w:eastAsia="Arial" w:hAnsi="Arial"/>
          <w:sz w:val="16"/>
          <w:szCs w:val="16"/>
          <w:color w:val="2D3243"/>
        </w:rPr>
        <w:t>You may vote again on a later date over the Internet or by telephone as set forth on the Notice.</w:t>
      </w:r>
    </w:p>
    <w:p>
      <w:pPr>
        <w:spacing w:after="0" w:line="126" w:lineRule="exact"/>
        <w:rPr>
          <w:rFonts w:ascii="Arial" w:cs="Arial" w:eastAsia="Arial" w:hAnsi="Arial"/>
          <w:sz w:val="16"/>
          <w:szCs w:val="16"/>
          <w:color w:val="2D3243"/>
        </w:rPr>
      </w:pPr>
    </w:p>
    <w:p>
      <w:pPr>
        <w:ind w:left="660" w:right="180" w:hanging="328"/>
        <w:spacing w:after="0" w:line="369" w:lineRule="auto"/>
        <w:tabs>
          <w:tab w:leader="none" w:pos="622" w:val="left"/>
        </w:tabs>
        <w:numPr>
          <w:ilvl w:val="0"/>
          <w:numId w:val="7"/>
        </w:numPr>
        <w:rPr>
          <w:rFonts w:ascii="Arial" w:cs="Arial" w:eastAsia="Arial" w:hAnsi="Arial"/>
          <w:sz w:val="16"/>
          <w:szCs w:val="16"/>
          <w:color w:val="2D3243"/>
        </w:rPr>
      </w:pPr>
      <w:r>
        <w:rPr>
          <w:rFonts w:ascii="Arial" w:cs="Arial" w:eastAsia="Arial" w:hAnsi="Arial"/>
          <w:sz w:val="16"/>
          <w:szCs w:val="16"/>
          <w:color w:val="2D3243"/>
        </w:rPr>
        <w:t>You may send a written notice that you are revoking your proxy to the Secretary of the Company at Five9, Inc., 3001 Bishop Drive, Suite 350, San Ramon, CA 94583.</w:t>
      </w:r>
    </w:p>
    <w:p>
      <w:pPr>
        <w:spacing w:after="0" w:line="1" w:lineRule="exact"/>
        <w:rPr>
          <w:rFonts w:ascii="Arial" w:cs="Arial" w:eastAsia="Arial" w:hAnsi="Arial"/>
          <w:sz w:val="16"/>
          <w:szCs w:val="16"/>
          <w:color w:val="2D3243"/>
        </w:rPr>
      </w:pPr>
    </w:p>
    <w:p>
      <w:pPr>
        <w:ind w:left="660" w:right="220" w:hanging="328"/>
        <w:spacing w:after="0" w:line="374" w:lineRule="auto"/>
        <w:tabs>
          <w:tab w:leader="none" w:pos="622" w:val="left"/>
        </w:tabs>
        <w:numPr>
          <w:ilvl w:val="0"/>
          <w:numId w:val="7"/>
        </w:numPr>
        <w:rPr>
          <w:rFonts w:ascii="Arial" w:cs="Arial" w:eastAsia="Arial" w:hAnsi="Arial"/>
          <w:sz w:val="16"/>
          <w:szCs w:val="16"/>
          <w:color w:val="2D3243"/>
        </w:rPr>
      </w:pPr>
      <w:r>
        <w:rPr>
          <w:rFonts w:ascii="Arial" w:cs="Arial" w:eastAsia="Arial" w:hAnsi="Arial"/>
          <w:sz w:val="16"/>
          <w:szCs w:val="16"/>
          <w:color w:val="2D3243"/>
        </w:rPr>
        <w:t>You may attend the virtual Annual Meeting and vote online by following the instructions posted at www.virtualshareholdermeeting.com/FIVN2024. Simply logging into the Annual Meeting will not, by itself, revoke your proxy or prior vote.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2D3243"/>
        </w:rPr>
        <w:t>If you are a beneficial owner of shares held in street name, you may change your vote in any one of the following ways:</w:t>
      </w:r>
    </w:p>
    <w:p>
      <w:pPr>
        <w:spacing w:after="0" w:line="235"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6"/>
          <w:szCs w:val="16"/>
          <w:color w:val="2D3243"/>
        </w:rPr>
      </w:pPr>
      <w:r>
        <w:rPr>
          <w:rFonts w:ascii="Arial" w:cs="Arial" w:eastAsia="Arial" w:hAnsi="Arial"/>
          <w:sz w:val="16"/>
          <w:szCs w:val="16"/>
          <w:color w:val="2D3243"/>
        </w:rPr>
        <w:t>You may submit new voting instructions to your broker, trustee or nominee.</w:t>
      </w:r>
    </w:p>
    <w:p>
      <w:pPr>
        <w:spacing w:after="0" w:line="126" w:lineRule="exact"/>
        <w:rPr>
          <w:rFonts w:ascii="Arial" w:cs="Arial" w:eastAsia="Arial" w:hAnsi="Arial"/>
          <w:sz w:val="16"/>
          <w:szCs w:val="16"/>
          <w:color w:val="2D3243"/>
        </w:rPr>
      </w:pPr>
    </w:p>
    <w:p>
      <w:pPr>
        <w:ind w:left="660" w:right="20" w:hanging="328"/>
        <w:spacing w:after="0" w:line="354" w:lineRule="auto"/>
        <w:tabs>
          <w:tab w:leader="none" w:pos="622" w:val="left"/>
        </w:tabs>
        <w:numPr>
          <w:ilvl w:val="0"/>
          <w:numId w:val="8"/>
        </w:numPr>
        <w:rPr>
          <w:rFonts w:ascii="Arial" w:cs="Arial" w:eastAsia="Arial" w:hAnsi="Arial"/>
          <w:sz w:val="16"/>
          <w:szCs w:val="16"/>
          <w:color w:val="2D3243"/>
        </w:rPr>
      </w:pPr>
      <w:r>
        <w:rPr>
          <w:rFonts w:ascii="Arial" w:cs="Arial" w:eastAsia="Arial" w:hAnsi="Arial"/>
          <w:sz w:val="16"/>
          <w:szCs w:val="16"/>
          <w:color w:val="2D3243"/>
        </w:rPr>
        <w:t>If you have obtained a legal proxy from the broker, trustee or nominee that holds your shares giving you the right to vote the shares, by telephone or the Internet according to the instructions on your proxy card or by attending the virtual Annual Meeting and following the instructions posted at www.virtualshareholdermeeting.com/FIVN2024.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are votes counted?</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Votes will be counted by the inspector of elections appointed for the meeting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 xml:space="preserve">Proposal No. 1. </w:t>
      </w:r>
      <w:r>
        <w:rPr>
          <w:rFonts w:ascii="Arial" w:cs="Arial" w:eastAsia="Arial" w:hAnsi="Arial"/>
          <w:sz w:val="16"/>
          <w:szCs w:val="16"/>
          <w:color w:val="2D3243"/>
        </w:rPr>
        <w:t>The inspector of elections will count “For” votes. Withhold, abstentions and broker non-votes will not affect the outcome of Proposal No. 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 xml:space="preserve">Proposal No.2. </w:t>
      </w:r>
      <w:r>
        <w:rPr>
          <w:rFonts w:ascii="Arial" w:cs="Arial" w:eastAsia="Arial" w:hAnsi="Arial"/>
          <w:sz w:val="16"/>
          <w:szCs w:val="16"/>
          <w:color w:val="2D3243"/>
        </w:rPr>
        <w:t>The inspector of elections will count “For” and “Against” votes. Abstentions and broker non-votes will not affect the outcome of Proposal No.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2 as they are not considered to be votes cast affirmatively or negatively on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00"/>
        <w:spacing w:after="0"/>
        <w:tabs>
          <w:tab w:leader="none" w:pos="556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2" w:name="page13"/>
    <w:bookmarkEnd w:id="12"/>
    <w:p>
      <w:pPr>
        <w:ind w:left="20"/>
        <w:spacing w:after="0"/>
        <w:tabs>
          <w:tab w:leader="none" w:pos="10060" w:val="left"/>
        </w:tabs>
        <w:rPr>
          <w:sz w:val="20"/>
          <w:szCs w:val="20"/>
          <w:color w:val="auto"/>
        </w:rPr>
      </w:pPr>
      <w:r>
        <w:rPr>
          <w:rFonts w:ascii="Arial" w:cs="Arial" w:eastAsia="Arial" w:hAnsi="Arial"/>
          <w:sz w:val="14"/>
          <w:szCs w:val="14"/>
          <w:color w:val="2D3243"/>
        </w:rPr>
        <w:t>Questions And Answers</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354" w:lineRule="auto"/>
        <w:rPr>
          <w:sz w:val="20"/>
          <w:szCs w:val="20"/>
          <w:color w:val="auto"/>
        </w:rPr>
      </w:pPr>
      <w:r>
        <w:rPr>
          <w:rFonts w:ascii="Arial" w:cs="Arial" w:eastAsia="Arial" w:hAnsi="Arial"/>
          <w:sz w:val="16"/>
          <w:szCs w:val="16"/>
          <w:b w:val="1"/>
          <w:bCs w:val="1"/>
          <w:color w:val="2D3243"/>
        </w:rPr>
        <w:t xml:space="preserve">Proposal No. 3. </w:t>
      </w:r>
      <w:r>
        <w:rPr>
          <w:rFonts w:ascii="Arial" w:cs="Arial" w:eastAsia="Arial" w:hAnsi="Arial"/>
          <w:sz w:val="16"/>
          <w:szCs w:val="16"/>
          <w:color w:val="2D3243"/>
        </w:rPr>
        <w:t>The inspector of elections will count votes for the options of every “one year,” “two years” and “three years”. The option that receives the</w:t>
      </w:r>
      <w:r>
        <w:rPr>
          <w:rFonts w:ascii="Arial" w:cs="Arial" w:eastAsia="Arial" w:hAnsi="Arial"/>
          <w:sz w:val="16"/>
          <w:szCs w:val="16"/>
          <w:b w:val="1"/>
          <w:bCs w:val="1"/>
          <w:color w:val="2D3243"/>
        </w:rPr>
        <w:t xml:space="preserve"> </w:t>
      </w:r>
      <w:r>
        <w:rPr>
          <w:rFonts w:ascii="Arial" w:cs="Arial" w:eastAsia="Arial" w:hAnsi="Arial"/>
          <w:sz w:val="16"/>
          <w:szCs w:val="16"/>
          <w:color w:val="2D3243"/>
        </w:rPr>
        <w:t>greatest number of votes will be deemed to be the frequency selected by our stockholders. Abstentions and broker non-votes will not affect the outcome of Proposal No. 3.</w:t>
      </w:r>
    </w:p>
    <w:p>
      <w:pPr>
        <w:spacing w:after="0" w:line="131"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2D3243"/>
        </w:rPr>
        <w:t xml:space="preserve">Proposal No. 4. </w:t>
      </w:r>
      <w:r>
        <w:rPr>
          <w:rFonts w:ascii="Arial" w:cs="Arial" w:eastAsia="Arial" w:hAnsi="Arial"/>
          <w:sz w:val="16"/>
          <w:szCs w:val="16"/>
          <w:color w:val="2D3243"/>
        </w:rPr>
        <w:t>The inspector of elections will count “For” and “Against” votes. Abstentions will not affect the outcome of Proposal No. 4 as they are not</w:t>
      </w:r>
      <w:r>
        <w:rPr>
          <w:rFonts w:ascii="Arial" w:cs="Arial" w:eastAsia="Arial" w:hAnsi="Arial"/>
          <w:sz w:val="16"/>
          <w:szCs w:val="16"/>
          <w:b w:val="1"/>
          <w:bCs w:val="1"/>
          <w:color w:val="2D3243"/>
        </w:rPr>
        <w:t xml:space="preserve"> </w:t>
      </w:r>
      <w:r>
        <w:rPr>
          <w:rFonts w:ascii="Arial" w:cs="Arial" w:eastAsia="Arial" w:hAnsi="Arial"/>
          <w:sz w:val="16"/>
          <w:szCs w:val="16"/>
          <w:color w:val="2D3243"/>
        </w:rPr>
        <w:t>considered to be votes cast affirmatively or negatively on such matter. Brokers have discretionary voting authority to vote on Proposal No. 4 in the absence of voting instructions from their customers. As a result, there should be no broker non-votes with respect to this proposal, but if there are any such broker non-votes, they will not affect the outcome of Proposal 4.</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2D3243"/>
        </w:rPr>
        <w:t>See “How many votes are needed to approve each proposal?” for further details regarding the votes needed to approve each proposal.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is a “broker non-vote”?</w:t>
      </w:r>
    </w:p>
    <w:p>
      <w:pPr>
        <w:spacing w:after="0" w:line="257"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color w:val="2D3243"/>
        </w:rPr>
        <w:t>If your shares are held by your broker, bank or other similar organization as your nominee (that is, in “street name”), you will need to follow the voting instructions provided by that organization on how to vote your shares. If you do not provide voting instructions, your shares may constitute “broker non-votes.” Generally, broker non-votes occur on a matter when a broker, bank or other organization is not permitted to vote on that matter, including the election of directors or executive compensation matters, without instructions from the beneficial owner and instructions are not given.</w:t>
      </w:r>
    </w:p>
    <w:p>
      <w:pPr>
        <w:spacing w:after="0" w:line="124" w:lineRule="exact"/>
        <w:rPr>
          <w:sz w:val="20"/>
          <w:szCs w:val="20"/>
          <w:color w:val="auto"/>
        </w:rPr>
      </w:pPr>
    </w:p>
    <w:p>
      <w:pPr>
        <w:jc w:val="both"/>
        <w:ind w:right="180"/>
        <w:spacing w:after="0" w:line="363" w:lineRule="auto"/>
        <w:rPr>
          <w:sz w:val="20"/>
          <w:szCs w:val="20"/>
          <w:color w:val="auto"/>
        </w:rPr>
      </w:pPr>
      <w:r>
        <w:rPr>
          <w:rFonts w:ascii="Arial" w:cs="Arial" w:eastAsia="Arial" w:hAnsi="Arial"/>
          <w:sz w:val="16"/>
          <w:szCs w:val="16"/>
          <w:color w:val="2D3243"/>
        </w:rPr>
        <w:t>While broker non-votes will be counted as present for the purpose of determining the presence of a quorum at the meeting, broker non-votes will not affect the outcome of any matter being voted on at the meeting. See “How are votes counted?” for further details regarding the effect of broker non-votes on the proposals set forth in this Proxy Statement.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many votes are needed to approve each proposal?</w:t>
      </w:r>
    </w:p>
    <w:p>
      <w:pPr>
        <w:spacing w:after="0" w:line="257" w:lineRule="exact"/>
        <w:rPr>
          <w:sz w:val="20"/>
          <w:szCs w:val="20"/>
          <w:color w:val="auto"/>
        </w:rPr>
      </w:pPr>
    </w:p>
    <w:p>
      <w:pPr>
        <w:jc w:val="both"/>
        <w:ind w:right="180"/>
        <w:spacing w:after="0" w:line="374" w:lineRule="auto"/>
        <w:rPr>
          <w:sz w:val="20"/>
          <w:szCs w:val="20"/>
          <w:color w:val="auto"/>
        </w:rPr>
      </w:pPr>
      <w:r>
        <w:rPr>
          <w:rFonts w:ascii="Arial" w:cs="Arial" w:eastAsia="Arial" w:hAnsi="Arial"/>
          <w:sz w:val="16"/>
          <w:szCs w:val="16"/>
          <w:b w:val="1"/>
          <w:bCs w:val="1"/>
          <w:color w:val="2D3243"/>
        </w:rPr>
        <w:t xml:space="preserve">Proposal No. 1. </w:t>
      </w:r>
      <w:r>
        <w:rPr>
          <w:rFonts w:ascii="Arial" w:cs="Arial" w:eastAsia="Arial" w:hAnsi="Arial"/>
          <w:sz w:val="16"/>
          <w:szCs w:val="16"/>
          <w:color w:val="2D3243"/>
        </w:rPr>
        <w:t>Directors are elected by a plurality of the affirmative votes cast “For” a director nominee at the Annual Meeting. The nominees for director</w:t>
      </w:r>
      <w:r>
        <w:rPr>
          <w:rFonts w:ascii="Arial" w:cs="Arial" w:eastAsia="Arial" w:hAnsi="Arial"/>
          <w:sz w:val="16"/>
          <w:szCs w:val="16"/>
          <w:b w:val="1"/>
          <w:bCs w:val="1"/>
          <w:color w:val="2D3243"/>
        </w:rPr>
        <w:t xml:space="preserve"> </w:t>
      </w:r>
      <w:r>
        <w:rPr>
          <w:rFonts w:ascii="Arial" w:cs="Arial" w:eastAsia="Arial" w:hAnsi="Arial"/>
          <w:sz w:val="16"/>
          <w:szCs w:val="16"/>
          <w:color w:val="2D3243"/>
        </w:rPr>
        <w:t>receiving the highest number of affirmative “For” votes will be elected. Stockholders may not cumulate votes in the election of directors.</w:t>
      </w:r>
    </w:p>
    <w:p>
      <w:pPr>
        <w:spacing w:after="0" w:line="102" w:lineRule="exact"/>
        <w:rPr>
          <w:sz w:val="20"/>
          <w:szCs w:val="20"/>
          <w:color w:val="auto"/>
        </w:rPr>
      </w:pPr>
    </w:p>
    <w:p>
      <w:pPr>
        <w:ind w:right="100"/>
        <w:spacing w:after="0" w:line="363" w:lineRule="auto"/>
        <w:rPr>
          <w:sz w:val="20"/>
          <w:szCs w:val="20"/>
          <w:color w:val="auto"/>
        </w:rPr>
      </w:pPr>
      <w:r>
        <w:rPr>
          <w:rFonts w:ascii="Arial" w:cs="Arial" w:eastAsia="Arial" w:hAnsi="Arial"/>
          <w:sz w:val="16"/>
          <w:szCs w:val="16"/>
          <w:b w:val="1"/>
          <w:bCs w:val="1"/>
          <w:color w:val="2D3243"/>
        </w:rPr>
        <w:t xml:space="preserve">Proposal No. 2. </w:t>
      </w:r>
      <w:r>
        <w:rPr>
          <w:rFonts w:ascii="Arial" w:cs="Arial" w:eastAsia="Arial" w:hAnsi="Arial"/>
          <w:sz w:val="16"/>
          <w:szCs w:val="16"/>
          <w:color w:val="2D3243"/>
        </w:rPr>
        <w:t>Approval of, on a non-binding, advisory basis, the compensation of our named executive officers as disclosed in this Proxy Statement</w:t>
      </w:r>
      <w:r>
        <w:rPr>
          <w:rFonts w:ascii="Arial" w:cs="Arial" w:eastAsia="Arial" w:hAnsi="Arial"/>
          <w:sz w:val="16"/>
          <w:szCs w:val="16"/>
          <w:b w:val="1"/>
          <w:bCs w:val="1"/>
          <w:color w:val="2D3243"/>
        </w:rPr>
        <w:t xml:space="preserve"> </w:t>
      </w:r>
      <w:r>
        <w:rPr>
          <w:rFonts w:ascii="Arial" w:cs="Arial" w:eastAsia="Arial" w:hAnsi="Arial"/>
          <w:sz w:val="16"/>
          <w:szCs w:val="16"/>
          <w:color w:val="2D3243"/>
        </w:rPr>
        <w:t>requires the affirmative “For” vote of a majority in voting power of the votes cast by the holders of all shares present in person, or represented by proxy, and voting affirmatively or negatively on such matter.</w:t>
      </w:r>
    </w:p>
    <w:p>
      <w:pPr>
        <w:spacing w:after="0" w:line="110"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b w:val="1"/>
          <w:bCs w:val="1"/>
          <w:color w:val="2D3243"/>
        </w:rPr>
        <w:t xml:space="preserve">Proposal No. 3. </w:t>
      </w:r>
      <w:r>
        <w:rPr>
          <w:rFonts w:ascii="Arial" w:cs="Arial" w:eastAsia="Arial" w:hAnsi="Arial"/>
          <w:sz w:val="16"/>
          <w:szCs w:val="16"/>
          <w:color w:val="2D3243"/>
        </w:rPr>
        <w:t>The frequency (“one year,” “two years” or “three years’) that receives the greatest number of votes cast by those shares present in person,</w:t>
      </w:r>
      <w:r>
        <w:rPr>
          <w:rFonts w:ascii="Arial" w:cs="Arial" w:eastAsia="Arial" w:hAnsi="Arial"/>
          <w:sz w:val="16"/>
          <w:szCs w:val="16"/>
          <w:b w:val="1"/>
          <w:bCs w:val="1"/>
          <w:color w:val="2D3243"/>
        </w:rPr>
        <w:t xml:space="preserve"> </w:t>
      </w:r>
      <w:r>
        <w:rPr>
          <w:rFonts w:ascii="Arial" w:cs="Arial" w:eastAsia="Arial" w:hAnsi="Arial"/>
          <w:sz w:val="16"/>
          <w:szCs w:val="16"/>
          <w:color w:val="2D3243"/>
        </w:rPr>
        <w:t>or represented by proxy at the Annual Meeting will be deemed to be the frequency selected on a non-binding basis by our stockholders.</w:t>
      </w:r>
    </w:p>
    <w:p>
      <w:pPr>
        <w:spacing w:after="0" w:line="48" w:lineRule="exact"/>
        <w:rPr>
          <w:sz w:val="20"/>
          <w:szCs w:val="20"/>
          <w:color w:val="auto"/>
        </w:rPr>
      </w:pPr>
    </w:p>
    <w:p>
      <w:pPr>
        <w:ind w:right="300"/>
        <w:spacing w:after="0" w:line="363" w:lineRule="auto"/>
        <w:rPr>
          <w:sz w:val="20"/>
          <w:szCs w:val="20"/>
          <w:color w:val="auto"/>
        </w:rPr>
      </w:pPr>
      <w:r>
        <w:rPr>
          <w:rFonts w:ascii="Arial" w:cs="Arial" w:eastAsia="Arial" w:hAnsi="Arial"/>
          <w:sz w:val="16"/>
          <w:szCs w:val="16"/>
          <w:b w:val="1"/>
          <w:bCs w:val="1"/>
          <w:color w:val="2D3243"/>
        </w:rPr>
        <w:t>Proposal No. 4</w:t>
      </w:r>
      <w:r>
        <w:rPr>
          <w:rFonts w:ascii="Arial" w:cs="Arial" w:eastAsia="Arial" w:hAnsi="Arial"/>
          <w:sz w:val="16"/>
          <w:szCs w:val="16"/>
          <w:color w:val="2D3243"/>
        </w:rPr>
        <w:t>. Ratification of the appointment of KPMG LLP as the Company’s independent registered public accounting firm for the fiscal year ending</w:t>
      </w:r>
      <w:r>
        <w:rPr>
          <w:rFonts w:ascii="Arial" w:cs="Arial" w:eastAsia="Arial" w:hAnsi="Arial"/>
          <w:sz w:val="16"/>
          <w:szCs w:val="16"/>
          <w:b w:val="1"/>
          <w:bCs w:val="1"/>
          <w:color w:val="2D3243"/>
        </w:rPr>
        <w:t xml:space="preserve"> </w:t>
      </w:r>
      <w:r>
        <w:rPr>
          <w:rFonts w:ascii="Arial" w:cs="Arial" w:eastAsia="Arial" w:hAnsi="Arial"/>
          <w:sz w:val="16"/>
          <w:szCs w:val="16"/>
          <w:color w:val="2D3243"/>
        </w:rPr>
        <w:t>December 31, 2024 requires the affirmative “For” vote of a majority in voting power of the votes cast by the holders of all shares present in person, or represented by proxy, and voting affirmatively or negatively on such matter.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2D3243"/>
        </w:rPr>
        <w:t>See “How are votes counted?” for further details regarding the effect of abstentions and broker-non votes on the proposals set forth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00"/>
        <w:spacing w:after="0"/>
        <w:tabs>
          <w:tab w:leader="none" w:pos="556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3" w:name="page14"/>
    <w:bookmarkEnd w:id="13"/>
    <w:p>
      <w:pPr>
        <w:ind w:left="20"/>
        <w:spacing w:after="0"/>
        <w:tabs>
          <w:tab w:leader="none" w:pos="10060" w:val="left"/>
        </w:tabs>
        <w:rPr>
          <w:sz w:val="20"/>
          <w:szCs w:val="20"/>
          <w:color w:val="auto"/>
        </w:rPr>
      </w:pPr>
      <w:r>
        <w:rPr>
          <w:rFonts w:ascii="Arial" w:cs="Arial" w:eastAsia="Arial" w:hAnsi="Arial"/>
          <w:sz w:val="14"/>
          <w:szCs w:val="14"/>
          <w:color w:val="2D3243"/>
        </w:rPr>
        <w:t>Questions And Answers</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are the Board’s voting recommendations?</w:t>
      </w:r>
    </w:p>
    <w:p>
      <w:pPr>
        <w:spacing w:after="0" w:line="257"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Proposal No. 1. “For all” with respect to the nominees to the Board of Directors.</w:t>
      </w:r>
    </w:p>
    <w:p>
      <w:pPr>
        <w:spacing w:after="0" w:line="126" w:lineRule="exact"/>
        <w:rPr>
          <w:rFonts w:ascii="Arial" w:cs="Arial" w:eastAsia="Arial" w:hAnsi="Arial"/>
          <w:sz w:val="16"/>
          <w:szCs w:val="16"/>
          <w:color w:val="2D3243"/>
        </w:rPr>
      </w:pPr>
    </w:p>
    <w:p>
      <w:pPr>
        <w:ind w:left="660" w:right="40" w:hanging="328"/>
        <w:spacing w:after="0" w:line="374" w:lineRule="auto"/>
        <w:tabs>
          <w:tab w:leader="none" w:pos="622"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Proposal No. 2. “For” the approval of, on a non-binding, advisory basis, the compensation of our named executive officers as disclosed in this Proxy Statement.</w:t>
      </w:r>
    </w:p>
    <w:p>
      <w:pPr>
        <w:spacing w:after="0" w:line="7" w:lineRule="exact"/>
        <w:rPr>
          <w:rFonts w:ascii="Arial" w:cs="Arial" w:eastAsia="Arial" w:hAnsi="Arial"/>
          <w:sz w:val="16"/>
          <w:szCs w:val="16"/>
          <w:color w:val="2D3243"/>
        </w:rPr>
      </w:pPr>
    </w:p>
    <w:p>
      <w:pPr>
        <w:ind w:left="620" w:hanging="288"/>
        <w:spacing w:after="0"/>
        <w:tabs>
          <w:tab w:leader="none" w:pos="620"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Proposal No. 3. For the selection of "one year" to be the frequency with which stockholders vote to approve executive compensation.</w:t>
      </w:r>
    </w:p>
    <w:p>
      <w:pPr>
        <w:spacing w:after="0" w:line="126" w:lineRule="exact"/>
        <w:rPr>
          <w:rFonts w:ascii="Arial" w:cs="Arial" w:eastAsia="Arial" w:hAnsi="Arial"/>
          <w:sz w:val="16"/>
          <w:szCs w:val="16"/>
          <w:color w:val="2D3243"/>
        </w:rPr>
      </w:pPr>
    </w:p>
    <w:p>
      <w:pPr>
        <w:ind w:left="660" w:right="40" w:hanging="328"/>
        <w:spacing w:after="0" w:line="374" w:lineRule="auto"/>
        <w:tabs>
          <w:tab w:leader="none" w:pos="622"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Proposal No. 4. “For” the ratification of the appointment of KPMG LLP as the Company’s independent registered public accounting firm for the fiscal year ending December 31,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is the quorum requirement?</w:t>
      </w:r>
    </w:p>
    <w:p>
      <w:pPr>
        <w:spacing w:after="0" w:line="257" w:lineRule="exact"/>
        <w:rPr>
          <w:sz w:val="20"/>
          <w:szCs w:val="20"/>
          <w:color w:val="auto"/>
        </w:rPr>
      </w:pPr>
    </w:p>
    <w:p>
      <w:pPr>
        <w:spacing w:after="0" w:line="350" w:lineRule="auto"/>
        <w:rPr>
          <w:sz w:val="20"/>
          <w:szCs w:val="20"/>
          <w:color w:val="auto"/>
        </w:rPr>
      </w:pPr>
      <w:r>
        <w:rPr>
          <w:rFonts w:ascii="Arial" w:cs="Arial" w:eastAsia="Arial" w:hAnsi="Arial"/>
          <w:sz w:val="16"/>
          <w:szCs w:val="16"/>
          <w:color w:val="2D3243"/>
        </w:rPr>
        <w:t>A quorum of stockholders is necessary to hold a valid meeting. A quorum will be present if a majority of all outstanding shares is represented by stockholders at the Annual Meeting, in person, by means of remote communication or by proxy. On the Record Date, there were 73,844,927 shares of Common Stock outstanding and entitled to vote. Thus, 36,922,464 shares must be represented by stockholders present at the Annual Meeting or by proxy to have a quorum. Your shares will be counted towards the quorum if you submit a valid proxy or vote at the Annual Meeting. In addition, under the General Corporation Law of the State of Delaware, abstentions and broker non-votes will be counted as present for the purpose of determining the presence of a quorum.</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can I find out the results of the voting at the Annual Meeting?</w:t>
      </w:r>
    </w:p>
    <w:p>
      <w:pPr>
        <w:spacing w:after="0" w:line="257"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2D3243"/>
        </w:rPr>
        <w:t>Preliminary voting results will be announced at the Annual Meeting. Final voting results will be published in a Current Report on Form 8-K within four business days following the Annual Meeting. In the event we are unable to obtain the final voting results within four business days, we will file the preliminary voting results in a Current Report on Form 8-K within four business days following the Annual Meeting, and will file an amended Form 8-K with the final voting results within four business days after the final voting results are known.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can stockholders submit a proposal for inclusion in our proxy statement for the 2025 annual meeting of stockholders?</w:t>
      </w:r>
    </w:p>
    <w:p>
      <w:pPr>
        <w:spacing w:after="0" w:line="257" w:lineRule="exact"/>
        <w:rPr>
          <w:sz w:val="20"/>
          <w:szCs w:val="20"/>
          <w:color w:val="auto"/>
        </w:rPr>
      </w:pPr>
    </w:p>
    <w:p>
      <w:pPr>
        <w:ind w:right="100"/>
        <w:spacing w:after="0" w:line="354" w:lineRule="auto"/>
        <w:rPr>
          <w:sz w:val="20"/>
          <w:szCs w:val="20"/>
          <w:color w:val="auto"/>
        </w:rPr>
      </w:pPr>
      <w:r>
        <w:rPr>
          <w:rFonts w:ascii="Arial" w:cs="Arial" w:eastAsia="Arial" w:hAnsi="Arial"/>
          <w:sz w:val="16"/>
          <w:szCs w:val="16"/>
          <w:color w:val="2D3243"/>
        </w:rPr>
        <w:t>To be included in our proxy statement for the 2025 annual meeting of stockholders, stockholder proposals must comply with the requirements of Rule 14a-8 under the Securities Exchange Act of 1934, as amended (the “Exchange Act”). Except as provided below, stockholder proposals must be received by our Secretary at our principal executive offices no later than December 2, 2024.</w:t>
      </w:r>
    </w:p>
    <w:p>
      <w:pPr>
        <w:spacing w:after="0" w:line="131" w:lineRule="exact"/>
        <w:rPr>
          <w:sz w:val="20"/>
          <w:szCs w:val="20"/>
          <w:color w:val="auto"/>
        </w:rPr>
      </w:pPr>
    </w:p>
    <w:p>
      <w:pPr>
        <w:ind w:right="140"/>
        <w:spacing w:after="0" w:line="346" w:lineRule="auto"/>
        <w:rPr>
          <w:sz w:val="20"/>
          <w:szCs w:val="20"/>
          <w:color w:val="auto"/>
        </w:rPr>
      </w:pPr>
      <w:r>
        <w:rPr>
          <w:rFonts w:ascii="Arial" w:cs="Arial" w:eastAsia="Arial" w:hAnsi="Arial"/>
          <w:sz w:val="16"/>
          <w:szCs w:val="16"/>
          <w:color w:val="2D3243"/>
        </w:rPr>
        <w:t>In addition to satisfying the requirements under our amended and restated bylaws (the “Bylaws”), stockholders who intend to solicit proxies in support of director nominees, other than our nominees, must provide notice that sets forth the information required by Rule 14a-19 under the Exchange Act to comply with the universal proxy rules, which notice must be postmarked or transmitted electronically to us at our principal executive offices no later than March 15, 2025. However, if the date of the 2025 annual meeting is changed by more than 30 calendar days from the anniversary date of the 2024 annual meeting of stockholders, then notice must be provided by the later of 60 calendar days prior to the date of the 2025 annual meeting or the 10th calendar day following the day on which public announcement of the date of the 2025 annual meeting is first made by us.</w:t>
      </w:r>
    </w:p>
    <w:p>
      <w:pPr>
        <w:spacing w:after="0" w:line="91" w:lineRule="exact"/>
        <w:rPr>
          <w:sz w:val="20"/>
          <w:szCs w:val="20"/>
          <w:color w:val="auto"/>
        </w:rPr>
      </w:pPr>
    </w:p>
    <w:p>
      <w:pPr>
        <w:ind w:right="300"/>
        <w:spacing w:after="0" w:line="296" w:lineRule="auto"/>
        <w:rPr>
          <w:sz w:val="20"/>
          <w:szCs w:val="20"/>
          <w:color w:val="auto"/>
        </w:rPr>
      </w:pPr>
      <w:r>
        <w:rPr>
          <w:rFonts w:ascii="Arial" w:cs="Arial" w:eastAsia="Arial" w:hAnsi="Arial"/>
          <w:sz w:val="18"/>
          <w:szCs w:val="18"/>
          <w:b w:val="1"/>
          <w:bCs w:val="1"/>
          <w:color w:val="2D3243"/>
        </w:rPr>
        <w:t>How can stockholders submit proposals to be raised at the 2025 annual meeting of stockholders that will not be included in our proxy statement for the 2025 annual meeting of stockholders?</w:t>
      </w:r>
    </w:p>
    <w:p>
      <w:pPr>
        <w:spacing w:after="0" w:line="169"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color w:val="2D3243"/>
        </w:rPr>
        <w:t>To be raised at the 2025 annual meeting of stockholders, stockholder proposals must comply with our Bylaws. Under our Bylaws, a stockholder must give advance written notice to our Secretary of any business, including nominations of directors for our Board, which the stockholder wishes to raise at the 2025 annual meeting of stockholders. Except as provided below, a stockholder’s notice must be delivered to our Secretary at our principal executive offices no earlier than January 14, 2025 and no later than February 13,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500"/>
        <w:spacing w:after="0"/>
        <w:tabs>
          <w:tab w:leader="none" w:pos="556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4" w:name="page15"/>
    <w:bookmarkEnd w:id="14"/>
    <w:p>
      <w:pPr>
        <w:ind w:left="20"/>
        <w:spacing w:after="0"/>
        <w:tabs>
          <w:tab w:leader="none" w:pos="10060" w:val="left"/>
        </w:tabs>
        <w:rPr>
          <w:sz w:val="20"/>
          <w:szCs w:val="20"/>
          <w:color w:val="auto"/>
        </w:rPr>
      </w:pPr>
      <w:r>
        <w:rPr>
          <w:rFonts w:ascii="Arial" w:cs="Arial" w:eastAsia="Arial" w:hAnsi="Arial"/>
          <w:sz w:val="14"/>
          <w:szCs w:val="14"/>
          <w:color w:val="2D3243"/>
        </w:rPr>
        <w:t>Questions And Answers</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354" w:lineRule="auto"/>
        <w:rPr>
          <w:sz w:val="20"/>
          <w:szCs w:val="20"/>
          <w:color w:val="auto"/>
        </w:rPr>
      </w:pPr>
      <w:r>
        <w:rPr>
          <w:rFonts w:ascii="Arial" w:cs="Arial" w:eastAsia="Arial" w:hAnsi="Arial"/>
          <w:sz w:val="16"/>
          <w:szCs w:val="16"/>
          <w:color w:val="2D3243"/>
        </w:rPr>
        <w:t>2025, in order to be raised at our 2025 annual meeting of stockholders. If a stockholder wishes only to recommend a candidate for consideration by the Nominating and Governance Committee as a potential nominee for director, see the procedures discussed in “Corporate Governance — Nominating and Governance Committee.”</w:t>
      </w:r>
    </w:p>
    <w:p>
      <w:pPr>
        <w:spacing w:after="0" w:line="99"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2D3243"/>
        </w:rPr>
        <w:t>What if the date of the 2025 annual meeting of stockholders changes by more than 30 days from the anniversary of this year’s Annual Meeting?</w:t>
      </w:r>
    </w:p>
    <w:p>
      <w:pPr>
        <w:spacing w:after="0" w:line="169" w:lineRule="exact"/>
        <w:rPr>
          <w:sz w:val="20"/>
          <w:szCs w:val="20"/>
          <w:color w:val="auto"/>
        </w:rPr>
      </w:pPr>
    </w:p>
    <w:p>
      <w:pPr>
        <w:spacing w:after="0" w:line="344" w:lineRule="auto"/>
        <w:rPr>
          <w:sz w:val="20"/>
          <w:szCs w:val="20"/>
          <w:color w:val="auto"/>
        </w:rPr>
      </w:pPr>
      <w:r>
        <w:rPr>
          <w:rFonts w:ascii="Arial" w:cs="Arial" w:eastAsia="Arial" w:hAnsi="Arial"/>
          <w:sz w:val="16"/>
          <w:szCs w:val="16"/>
          <w:color w:val="2D3243"/>
        </w:rPr>
        <w:t>Under Rule 14a-8 of the Exchange Act, if the date of the 2025 annual meeting of stockholders changes by more than 30 days from the anniversary of this year’s Annual Meeting, to be included in our proxy statement for such meeting, stockholder proposals must be received by us within a reasonable time before our solicitation is made. Under our Bylaws, if the date of the 2025 annual meeting of stockholders is more than thirty (30) days before or more than seventy (70) days after the anniversary of the Annual Meeting, for stockholder proposals that will not be included in our proxy statement for such meeting, notice of such proposal must be delivered no earlier than the close of business on the one hundred twentieth (120) day prior to the 2025 annual meeting, nor later than the close of business on the later of (A) the ninetieth (90) day prior to the 2025 annual meeting or (B) the tenth (10) day following the day on which public announcement of the date of the 2025 annual meeting is first made by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Does a stockholder proposal require specific information?</w:t>
      </w:r>
    </w:p>
    <w:p>
      <w:pPr>
        <w:spacing w:after="0" w:line="257" w:lineRule="exact"/>
        <w:rPr>
          <w:sz w:val="20"/>
          <w:szCs w:val="20"/>
          <w:color w:val="auto"/>
        </w:rPr>
      </w:pPr>
    </w:p>
    <w:p>
      <w:pPr>
        <w:ind w:right="160"/>
        <w:spacing w:after="0" w:line="344" w:lineRule="auto"/>
        <w:rPr>
          <w:sz w:val="20"/>
          <w:szCs w:val="20"/>
          <w:color w:val="auto"/>
        </w:rPr>
      </w:pPr>
      <w:r>
        <w:rPr>
          <w:rFonts w:ascii="Arial" w:cs="Arial" w:eastAsia="Arial" w:hAnsi="Arial"/>
          <w:sz w:val="16"/>
          <w:szCs w:val="16"/>
          <w:color w:val="2D3243"/>
        </w:rPr>
        <w:t>To be included in our proxy statement, stockholder proposals must comply with the requirements of Rule 14a-8 under the Exchange Act. With respect to a stockholder’s nomination of a candidate for our Board, the stockholder notice to our Secretary must contain certain information required by our Bylaws regarding both the nominee and the stockholder making the nomination. With respect to any other business that the stockholder proposes, the stockholder notice must contain a brief description of such business and the reasons for conducting such business at the meeting, as well as certain other information required by our Bylaws. If you wish to bring a stockholder proposal or nominate a candidate for director, you are advised to review Rule 14a-8 under the Exchange Act and our Bylaws, as applicable, which contain additional requirements about advance notice of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500"/>
        <w:spacing w:after="0"/>
        <w:tabs>
          <w:tab w:leader="none" w:pos="556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8</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5" w:name="page16"/>
    <w:bookmarkEnd w:id="15"/>
    <w:p>
      <w:pPr>
        <w:ind w:left="1010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58"/>
          <w:szCs w:val="58"/>
          <w:color w:val="2D3243"/>
        </w:rPr>
        <w:t>Proposal No. 1</w:t>
      </w:r>
    </w:p>
    <w:p>
      <w:pPr>
        <w:spacing w:after="0" w:line="80" w:lineRule="exact"/>
        <w:rPr>
          <w:sz w:val="20"/>
          <w:szCs w:val="20"/>
          <w:color w:val="auto"/>
        </w:rPr>
      </w:pPr>
    </w:p>
    <w:p>
      <w:pPr>
        <w:spacing w:after="0"/>
        <w:rPr>
          <w:sz w:val="20"/>
          <w:szCs w:val="20"/>
          <w:color w:val="auto"/>
        </w:rPr>
      </w:pPr>
      <w:r>
        <w:rPr>
          <w:rFonts w:ascii="Arial" w:cs="Arial" w:eastAsia="Arial" w:hAnsi="Arial"/>
          <w:sz w:val="58"/>
          <w:szCs w:val="58"/>
          <w:color w:val="2D3243"/>
        </w:rPr>
        <w:t>Election of Directors</w:t>
      </w:r>
    </w:p>
    <w:p>
      <w:pPr>
        <w:spacing w:after="0" w:line="394"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color w:val="2D3243"/>
        </w:rPr>
        <w:t>The Company’s amended and restated certificate of incorporation (the “Charter”) and Bylaws provide for a classified Board of Directors. There are three classes of directors, with each class of directors serving three-year terms that end in successive years. Five9 currently has authorized nine directors. Mr. DeWalt, a current Class I director, will serve the remainder of his term, which will end with the Annual Meeting. As of the Annual Meeting, the authorized number of directors will be reduced to eight directors and the authorized number of Class I directors will be reduced to two directors. Two Class I directors are standing for election at the Annual Meeting, to serve until the 2027 annual meeting of stockholders or until their successors are duly elected and qualified. The directors being nominated for election to the Board of Directors (each, a “Nominee”), their ages as of April 1, 2024, the date of this Proxy Statement, their positions and offices held with Five9 and certain biographical information are set forth below.</w:t>
      </w:r>
    </w:p>
    <w:p>
      <w:pPr>
        <w:spacing w:after="0" w:line="122"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color w:val="2D3243"/>
        </w:rPr>
        <w:t>The proxy holders intend to vote all proxies received by them "FOR" the Nominees listed below unless otherwise instructed. In the event that any Nominee is unable or declines to serve as a director at the time of the Annual Meeting, the proxies will be voted for any nominee who may be designated by the current Board of Directors to fill the vacancy. As of the date of this Proxy Statement, the Board of Directors is not aware that any Nominee is unable or will decline to serve as a director. The two Nominees receiving the highest number of affirmative votes of the shares entitled to vote at the Annual Meeting will be elected directors of Five9. Proxies cannot be voted for more than two individuals. For further information about how votes will be counted, please refer to “How many votes are needed to approve each proposal.” in the Questions and Answers about this Proxy Material and Voting section above.</w:t>
      </w:r>
    </w:p>
    <w:p>
      <w:pPr>
        <w:spacing w:after="0" w:line="123" w:lineRule="exact"/>
        <w:rPr>
          <w:sz w:val="20"/>
          <w:szCs w:val="20"/>
          <w:color w:val="auto"/>
        </w:rPr>
      </w:pPr>
    </w:p>
    <w:p>
      <w:pPr>
        <w:ind w:right="200"/>
        <w:spacing w:after="0" w:line="374" w:lineRule="auto"/>
        <w:rPr>
          <w:sz w:val="20"/>
          <w:szCs w:val="20"/>
          <w:color w:val="auto"/>
        </w:rPr>
      </w:pPr>
      <w:r>
        <w:rPr>
          <w:rFonts w:ascii="Arial" w:cs="Arial" w:eastAsia="Arial" w:hAnsi="Arial"/>
          <w:sz w:val="16"/>
          <w:szCs w:val="16"/>
          <w:color w:val="2D3243"/>
        </w:rPr>
        <w:t>The following table sets forth, for the Class I nominees and our other current directors who will continue in office after the Annual Meeting, information with respect to their ages and positions held with Five9 as of April 1, 2024, the date of this Proxy Statement.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1580" w:type="dxa"/>
            <w:vAlign w:val="bottom"/>
            <w:shd w:val="clear" w:color="auto" w:fill="0336FF"/>
          </w:tcPr>
          <w:p>
            <w:pPr>
              <w:ind w:left="920"/>
              <w:spacing w:after="0"/>
              <w:rPr>
                <w:sz w:val="20"/>
                <w:szCs w:val="20"/>
                <w:color w:val="auto"/>
              </w:rPr>
            </w:pPr>
            <w:r>
              <w:rPr>
                <w:rFonts w:ascii="Arial" w:cs="Arial" w:eastAsia="Arial" w:hAnsi="Arial"/>
                <w:sz w:val="14"/>
                <w:szCs w:val="14"/>
                <w:b w:val="1"/>
                <w:bCs w:val="1"/>
                <w:color w:val="FFFFFF"/>
              </w:rPr>
              <w:t>Age</w:t>
            </w:r>
          </w:p>
        </w:tc>
        <w:tc>
          <w:tcPr>
            <w:tcW w:w="3460" w:type="dxa"/>
            <w:vAlign w:val="bottom"/>
            <w:shd w:val="clear" w:color="auto" w:fill="0336FF"/>
          </w:tcPr>
          <w:p>
            <w:pPr>
              <w:ind w:left="380"/>
              <w:spacing w:after="0"/>
              <w:rPr>
                <w:sz w:val="20"/>
                <w:szCs w:val="20"/>
                <w:color w:val="auto"/>
              </w:rPr>
            </w:pPr>
            <w:r>
              <w:rPr>
                <w:rFonts w:ascii="Arial" w:cs="Arial" w:eastAsia="Arial" w:hAnsi="Arial"/>
                <w:sz w:val="14"/>
                <w:szCs w:val="14"/>
                <w:b w:val="1"/>
                <w:bCs w:val="1"/>
                <w:color w:val="FFFFFF"/>
              </w:rPr>
              <w:t>Positions Held with the Company</w:t>
            </w:r>
          </w:p>
        </w:tc>
      </w:tr>
      <w:tr>
        <w:trPr>
          <w:trHeight w:val="67"/>
        </w:trPr>
        <w:tc>
          <w:tcPr>
            <w:tcW w:w="6200" w:type="dxa"/>
            <w:vAlign w:val="bottom"/>
            <w:shd w:val="clear" w:color="auto" w:fill="0336FF"/>
          </w:tcPr>
          <w:p>
            <w:pPr>
              <w:spacing w:after="0"/>
              <w:rPr>
                <w:sz w:val="5"/>
                <w:szCs w:val="5"/>
                <w:color w:val="auto"/>
              </w:rPr>
            </w:pPr>
          </w:p>
        </w:tc>
        <w:tc>
          <w:tcPr>
            <w:tcW w:w="1580" w:type="dxa"/>
            <w:vAlign w:val="bottom"/>
            <w:shd w:val="clear" w:color="auto" w:fill="0336FF"/>
          </w:tcPr>
          <w:p>
            <w:pPr>
              <w:spacing w:after="0"/>
              <w:rPr>
                <w:sz w:val="5"/>
                <w:szCs w:val="5"/>
                <w:color w:val="auto"/>
              </w:rPr>
            </w:pPr>
          </w:p>
        </w:tc>
        <w:tc>
          <w:tcPr>
            <w:tcW w:w="3460" w:type="dxa"/>
            <w:vAlign w:val="bottom"/>
            <w:shd w:val="clear" w:color="auto" w:fill="0336FF"/>
          </w:tcPr>
          <w:p>
            <w:pPr>
              <w:spacing w:after="0"/>
              <w:rPr>
                <w:sz w:val="5"/>
                <w:szCs w:val="5"/>
                <w:color w:val="auto"/>
              </w:rPr>
            </w:pPr>
          </w:p>
        </w:tc>
      </w:tr>
      <w:tr>
        <w:trPr>
          <w:trHeight w:val="235"/>
        </w:trPr>
        <w:tc>
          <w:tcPr>
            <w:tcW w:w="620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i w:val="1"/>
                <w:iCs w:val="1"/>
                <w:color w:val="2D3243"/>
              </w:rPr>
              <w:t>Class I Director Nominee:</w:t>
            </w:r>
          </w:p>
        </w:tc>
        <w:tc>
          <w:tcPr>
            <w:tcW w:w="1580" w:type="dxa"/>
            <w:vAlign w:val="bottom"/>
            <w:tcBorders>
              <w:bottom w:val="single" w:sz="8" w:color="F0F1F2"/>
            </w:tcBorders>
            <w:shd w:val="clear" w:color="auto" w:fill="F0F1F2"/>
          </w:tcPr>
          <w:p>
            <w:pPr>
              <w:spacing w:after="0"/>
              <w:rPr>
                <w:sz w:val="19"/>
                <w:szCs w:val="19"/>
                <w:color w:val="auto"/>
              </w:rPr>
            </w:pPr>
          </w:p>
        </w:tc>
        <w:tc>
          <w:tcPr>
            <w:tcW w:w="3460" w:type="dxa"/>
            <w:vAlign w:val="bottom"/>
            <w:tcBorders>
              <w:bottom w:val="single" w:sz="8" w:color="F0F1F2"/>
            </w:tcBorders>
            <w:shd w:val="clear" w:color="auto" w:fill="F0F1F2"/>
          </w:tcPr>
          <w:p>
            <w:pPr>
              <w:spacing w:after="0"/>
              <w:rPr>
                <w:sz w:val="19"/>
                <w:szCs w:val="19"/>
                <w:color w:val="auto"/>
              </w:rPr>
            </w:pPr>
          </w:p>
        </w:tc>
      </w:tr>
      <w:tr>
        <w:trPr>
          <w:trHeight w:val="215"/>
        </w:trPr>
        <w:tc>
          <w:tcPr>
            <w:tcW w:w="6200" w:type="dxa"/>
            <w:vAlign w:val="bottom"/>
            <w:tcBorders>
              <w:top w:val="single" w:sz="8" w:color="0336FF"/>
            </w:tcBorders>
          </w:tcPr>
          <w:p>
            <w:pPr>
              <w:ind w:left="260"/>
              <w:spacing w:after="0"/>
              <w:rPr>
                <w:sz w:val="20"/>
                <w:szCs w:val="20"/>
                <w:color w:val="auto"/>
              </w:rPr>
            </w:pPr>
            <w:r>
              <w:rPr>
                <w:rFonts w:ascii="Arial" w:cs="Arial" w:eastAsia="Arial" w:hAnsi="Arial"/>
                <w:sz w:val="14"/>
                <w:szCs w:val="14"/>
                <w:b w:val="1"/>
                <w:bCs w:val="1"/>
                <w:color w:val="2D3243"/>
              </w:rPr>
              <w:t>Michael Burdiek</w:t>
            </w:r>
          </w:p>
        </w:tc>
        <w:tc>
          <w:tcPr>
            <w:tcW w:w="1580" w:type="dxa"/>
            <w:vAlign w:val="bottom"/>
            <w:tcBorders>
              <w:top w:val="single" w:sz="8" w:color="0336FF"/>
            </w:tcBorders>
          </w:tcPr>
          <w:p>
            <w:pPr>
              <w:ind w:left="920"/>
              <w:spacing w:after="0"/>
              <w:rPr>
                <w:sz w:val="20"/>
                <w:szCs w:val="20"/>
                <w:color w:val="auto"/>
              </w:rPr>
            </w:pPr>
            <w:r>
              <w:rPr>
                <w:rFonts w:ascii="Arial" w:cs="Arial" w:eastAsia="Arial" w:hAnsi="Arial"/>
                <w:sz w:val="14"/>
                <w:szCs w:val="14"/>
                <w:color w:val="2D3243"/>
              </w:rPr>
              <w:t>64</w:t>
            </w:r>
          </w:p>
        </w:tc>
        <w:tc>
          <w:tcPr>
            <w:tcW w:w="3460" w:type="dxa"/>
            <w:vAlign w:val="bottom"/>
            <w:tcBorders>
              <w:top w:val="single" w:sz="8" w:color="0336FF"/>
            </w:tcBorders>
          </w:tcPr>
          <w:p>
            <w:pPr>
              <w:ind w:left="380"/>
              <w:spacing w:after="0"/>
              <w:rPr>
                <w:sz w:val="20"/>
                <w:szCs w:val="20"/>
                <w:color w:val="auto"/>
              </w:rPr>
            </w:pPr>
            <w:r>
              <w:rPr>
                <w:rFonts w:ascii="Arial" w:cs="Arial" w:eastAsia="Arial" w:hAnsi="Arial"/>
                <w:sz w:val="14"/>
                <w:szCs w:val="14"/>
                <w:color w:val="2D3243"/>
              </w:rPr>
              <w:t>Director</w:t>
            </w:r>
          </w:p>
        </w:tc>
      </w:tr>
      <w:tr>
        <w:trPr>
          <w:trHeight w:val="237"/>
        </w:trPr>
        <w:tc>
          <w:tcPr>
            <w:tcW w:w="6200" w:type="dxa"/>
            <w:vAlign w:val="bottom"/>
            <w:shd w:val="clear" w:color="auto" w:fill="F0F1F2"/>
          </w:tcPr>
          <w:p>
            <w:pPr>
              <w:ind w:left="260"/>
              <w:spacing w:after="0"/>
              <w:rPr>
                <w:sz w:val="20"/>
                <w:szCs w:val="20"/>
                <w:color w:val="auto"/>
              </w:rPr>
            </w:pPr>
            <w:r>
              <w:rPr>
                <w:rFonts w:ascii="Arial" w:cs="Arial" w:eastAsia="Arial" w:hAnsi="Arial"/>
                <w:sz w:val="14"/>
                <w:szCs w:val="14"/>
                <w:b w:val="1"/>
                <w:bCs w:val="1"/>
                <w:color w:val="2D3243"/>
              </w:rPr>
              <w:t>Julie Iskow</w:t>
            </w:r>
          </w:p>
        </w:tc>
        <w:tc>
          <w:tcPr>
            <w:tcW w:w="1580" w:type="dxa"/>
            <w:vAlign w:val="bottom"/>
            <w:shd w:val="clear" w:color="auto" w:fill="F0F1F2"/>
          </w:tcPr>
          <w:p>
            <w:pPr>
              <w:ind w:left="920"/>
              <w:spacing w:after="0"/>
              <w:rPr>
                <w:sz w:val="20"/>
                <w:szCs w:val="20"/>
                <w:color w:val="auto"/>
              </w:rPr>
            </w:pPr>
            <w:r>
              <w:rPr>
                <w:rFonts w:ascii="Arial" w:cs="Arial" w:eastAsia="Arial" w:hAnsi="Arial"/>
                <w:sz w:val="14"/>
                <w:szCs w:val="14"/>
                <w:color w:val="2D3243"/>
              </w:rPr>
              <w:t>62</w:t>
            </w:r>
          </w:p>
        </w:tc>
        <w:tc>
          <w:tcPr>
            <w:tcW w:w="3460" w:type="dxa"/>
            <w:vAlign w:val="bottom"/>
            <w:shd w:val="clear" w:color="auto" w:fill="F0F1F2"/>
          </w:tcPr>
          <w:p>
            <w:pPr>
              <w:ind w:left="380"/>
              <w:spacing w:after="0"/>
              <w:rPr>
                <w:sz w:val="20"/>
                <w:szCs w:val="20"/>
                <w:color w:val="auto"/>
              </w:rPr>
            </w:pPr>
            <w:r>
              <w:rPr>
                <w:rFonts w:ascii="Arial" w:cs="Arial" w:eastAsia="Arial" w:hAnsi="Arial"/>
                <w:sz w:val="14"/>
                <w:szCs w:val="14"/>
                <w:color w:val="2D3243"/>
              </w:rPr>
              <w:t>Director</w:t>
            </w:r>
          </w:p>
        </w:tc>
      </w:tr>
      <w:tr>
        <w:trPr>
          <w:trHeight w:val="208"/>
        </w:trPr>
        <w:tc>
          <w:tcPr>
            <w:tcW w:w="6200" w:type="dxa"/>
            <w:vAlign w:val="bottom"/>
          </w:tcPr>
          <w:p>
            <w:pPr>
              <w:ind w:left="260"/>
              <w:spacing w:after="0"/>
              <w:rPr>
                <w:sz w:val="20"/>
                <w:szCs w:val="20"/>
                <w:color w:val="auto"/>
              </w:rPr>
            </w:pPr>
            <w:r>
              <w:rPr>
                <w:rFonts w:ascii="Arial" w:cs="Arial" w:eastAsia="Arial" w:hAnsi="Arial"/>
                <w:sz w:val="14"/>
                <w:szCs w:val="14"/>
                <w:i w:val="1"/>
                <w:iCs w:val="1"/>
                <w:color w:val="2D3243"/>
              </w:rPr>
              <w:t>Other Continuing Directors:</w:t>
            </w:r>
          </w:p>
        </w:tc>
        <w:tc>
          <w:tcPr>
            <w:tcW w:w="158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2"/>
        </w:trPr>
        <w:tc>
          <w:tcPr>
            <w:tcW w:w="6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34"/>
        </w:trPr>
        <w:tc>
          <w:tcPr>
            <w:tcW w:w="620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i w:val="1"/>
                <w:iCs w:val="1"/>
                <w:color w:val="2D3243"/>
              </w:rPr>
              <w:t>Class II Directors whose terms expire at the 2025 annual meeting of stockholders</w:t>
            </w:r>
          </w:p>
        </w:tc>
        <w:tc>
          <w:tcPr>
            <w:tcW w:w="1580" w:type="dxa"/>
            <w:vAlign w:val="bottom"/>
            <w:tcBorders>
              <w:bottom w:val="single" w:sz="8" w:color="F0F1F2"/>
            </w:tcBorders>
            <w:shd w:val="clear" w:color="auto" w:fill="F0F1F2"/>
          </w:tcPr>
          <w:p>
            <w:pPr>
              <w:spacing w:after="0"/>
              <w:rPr>
                <w:sz w:val="19"/>
                <w:szCs w:val="19"/>
                <w:color w:val="auto"/>
              </w:rPr>
            </w:pPr>
          </w:p>
        </w:tc>
        <w:tc>
          <w:tcPr>
            <w:tcW w:w="3460" w:type="dxa"/>
            <w:vAlign w:val="bottom"/>
            <w:tcBorders>
              <w:bottom w:val="single" w:sz="8" w:color="F0F1F2"/>
            </w:tcBorders>
            <w:shd w:val="clear" w:color="auto" w:fill="F0F1F2"/>
          </w:tcPr>
          <w:p>
            <w:pPr>
              <w:spacing w:after="0"/>
              <w:rPr>
                <w:sz w:val="19"/>
                <w:szCs w:val="19"/>
                <w:color w:val="auto"/>
              </w:rPr>
            </w:pPr>
          </w:p>
        </w:tc>
      </w:tr>
      <w:tr>
        <w:trPr>
          <w:trHeight w:val="215"/>
        </w:trPr>
        <w:tc>
          <w:tcPr>
            <w:tcW w:w="6200" w:type="dxa"/>
            <w:vAlign w:val="bottom"/>
            <w:tcBorders>
              <w:top w:val="single" w:sz="8" w:color="0336FF"/>
            </w:tcBorders>
          </w:tcPr>
          <w:p>
            <w:pPr>
              <w:ind w:left="260"/>
              <w:spacing w:after="0"/>
              <w:rPr>
                <w:sz w:val="20"/>
                <w:szCs w:val="20"/>
                <w:color w:val="auto"/>
              </w:rPr>
            </w:pPr>
            <w:r>
              <w:rPr>
                <w:rFonts w:ascii="Arial" w:cs="Arial" w:eastAsia="Arial" w:hAnsi="Arial"/>
                <w:sz w:val="14"/>
                <w:szCs w:val="14"/>
                <w:b w:val="1"/>
                <w:bCs w:val="1"/>
                <w:color w:val="2D3243"/>
              </w:rPr>
              <w:t>Jack Acosta</w:t>
            </w:r>
          </w:p>
        </w:tc>
        <w:tc>
          <w:tcPr>
            <w:tcW w:w="1580" w:type="dxa"/>
            <w:vAlign w:val="bottom"/>
            <w:tcBorders>
              <w:top w:val="single" w:sz="8" w:color="0336FF"/>
            </w:tcBorders>
          </w:tcPr>
          <w:p>
            <w:pPr>
              <w:ind w:left="920"/>
              <w:spacing w:after="0"/>
              <w:rPr>
                <w:sz w:val="20"/>
                <w:szCs w:val="20"/>
                <w:color w:val="auto"/>
              </w:rPr>
            </w:pPr>
            <w:r>
              <w:rPr>
                <w:rFonts w:ascii="Arial" w:cs="Arial" w:eastAsia="Arial" w:hAnsi="Arial"/>
                <w:sz w:val="14"/>
                <w:szCs w:val="14"/>
                <w:color w:val="2D3243"/>
              </w:rPr>
              <w:t>76</w:t>
            </w:r>
          </w:p>
        </w:tc>
        <w:tc>
          <w:tcPr>
            <w:tcW w:w="3460" w:type="dxa"/>
            <w:vAlign w:val="bottom"/>
            <w:tcBorders>
              <w:top w:val="single" w:sz="8" w:color="0336FF"/>
            </w:tcBorders>
          </w:tcPr>
          <w:p>
            <w:pPr>
              <w:ind w:left="380"/>
              <w:spacing w:after="0"/>
              <w:rPr>
                <w:sz w:val="20"/>
                <w:szCs w:val="20"/>
                <w:color w:val="auto"/>
              </w:rPr>
            </w:pPr>
            <w:r>
              <w:rPr>
                <w:rFonts w:ascii="Arial" w:cs="Arial" w:eastAsia="Arial" w:hAnsi="Arial"/>
                <w:sz w:val="14"/>
                <w:szCs w:val="14"/>
                <w:color w:val="2D3243"/>
              </w:rPr>
              <w:t>Director</w:t>
            </w:r>
          </w:p>
        </w:tc>
      </w:tr>
      <w:tr>
        <w:trPr>
          <w:trHeight w:val="237"/>
        </w:trPr>
        <w:tc>
          <w:tcPr>
            <w:tcW w:w="6200" w:type="dxa"/>
            <w:vAlign w:val="bottom"/>
            <w:shd w:val="clear" w:color="auto" w:fill="F0F1F2"/>
          </w:tcPr>
          <w:p>
            <w:pPr>
              <w:ind w:left="260"/>
              <w:spacing w:after="0"/>
              <w:rPr>
                <w:sz w:val="20"/>
                <w:szCs w:val="20"/>
                <w:color w:val="auto"/>
              </w:rPr>
            </w:pPr>
            <w:r>
              <w:rPr>
                <w:rFonts w:ascii="Arial" w:cs="Arial" w:eastAsia="Arial" w:hAnsi="Arial"/>
                <w:sz w:val="14"/>
                <w:szCs w:val="14"/>
                <w:b w:val="1"/>
                <w:bCs w:val="1"/>
                <w:color w:val="2D3243"/>
              </w:rPr>
              <w:t>Susan Barsamian</w:t>
            </w:r>
          </w:p>
        </w:tc>
        <w:tc>
          <w:tcPr>
            <w:tcW w:w="1580" w:type="dxa"/>
            <w:vAlign w:val="bottom"/>
            <w:shd w:val="clear" w:color="auto" w:fill="F0F1F2"/>
          </w:tcPr>
          <w:p>
            <w:pPr>
              <w:ind w:left="920"/>
              <w:spacing w:after="0"/>
              <w:rPr>
                <w:sz w:val="20"/>
                <w:szCs w:val="20"/>
                <w:color w:val="auto"/>
              </w:rPr>
            </w:pPr>
            <w:r>
              <w:rPr>
                <w:rFonts w:ascii="Arial" w:cs="Arial" w:eastAsia="Arial" w:hAnsi="Arial"/>
                <w:sz w:val="14"/>
                <w:szCs w:val="14"/>
                <w:color w:val="2D3243"/>
              </w:rPr>
              <w:t>64</w:t>
            </w:r>
          </w:p>
        </w:tc>
        <w:tc>
          <w:tcPr>
            <w:tcW w:w="3460" w:type="dxa"/>
            <w:vAlign w:val="bottom"/>
            <w:shd w:val="clear" w:color="auto" w:fill="F0F1F2"/>
          </w:tcPr>
          <w:p>
            <w:pPr>
              <w:ind w:left="380"/>
              <w:spacing w:after="0"/>
              <w:rPr>
                <w:sz w:val="20"/>
                <w:szCs w:val="20"/>
                <w:color w:val="auto"/>
              </w:rPr>
            </w:pPr>
            <w:r>
              <w:rPr>
                <w:rFonts w:ascii="Arial" w:cs="Arial" w:eastAsia="Arial" w:hAnsi="Arial"/>
                <w:sz w:val="14"/>
                <w:szCs w:val="14"/>
                <w:color w:val="2D3243"/>
              </w:rPr>
              <w:t>Director</w:t>
            </w:r>
          </w:p>
        </w:tc>
      </w:tr>
      <w:tr>
        <w:trPr>
          <w:trHeight w:val="222"/>
        </w:trPr>
        <w:tc>
          <w:tcPr>
            <w:tcW w:w="6200" w:type="dxa"/>
            <w:vAlign w:val="bottom"/>
          </w:tcPr>
          <w:p>
            <w:pPr>
              <w:ind w:left="260"/>
              <w:spacing w:after="0"/>
              <w:rPr>
                <w:sz w:val="20"/>
                <w:szCs w:val="20"/>
                <w:color w:val="auto"/>
              </w:rPr>
            </w:pPr>
            <w:r>
              <w:rPr>
                <w:rFonts w:ascii="Arial" w:cs="Arial" w:eastAsia="Arial" w:hAnsi="Arial"/>
                <w:sz w:val="14"/>
                <w:szCs w:val="14"/>
                <w:b w:val="1"/>
                <w:bCs w:val="1"/>
                <w:color w:val="2D3243"/>
              </w:rPr>
              <w:t>David Welsh</w:t>
            </w:r>
          </w:p>
        </w:tc>
        <w:tc>
          <w:tcPr>
            <w:tcW w:w="1580" w:type="dxa"/>
            <w:vAlign w:val="bottom"/>
          </w:tcPr>
          <w:p>
            <w:pPr>
              <w:ind w:left="920"/>
              <w:spacing w:after="0"/>
              <w:rPr>
                <w:sz w:val="20"/>
                <w:szCs w:val="20"/>
                <w:color w:val="auto"/>
              </w:rPr>
            </w:pPr>
            <w:r>
              <w:rPr>
                <w:rFonts w:ascii="Arial" w:cs="Arial" w:eastAsia="Arial" w:hAnsi="Arial"/>
                <w:sz w:val="14"/>
                <w:szCs w:val="14"/>
                <w:color w:val="2D3243"/>
              </w:rPr>
              <w:t>56</w:t>
            </w:r>
          </w:p>
        </w:tc>
        <w:tc>
          <w:tcPr>
            <w:tcW w:w="3460" w:type="dxa"/>
            <w:vAlign w:val="bottom"/>
          </w:tcPr>
          <w:p>
            <w:pPr>
              <w:ind w:left="380"/>
              <w:spacing w:after="0"/>
              <w:rPr>
                <w:sz w:val="20"/>
                <w:szCs w:val="20"/>
                <w:color w:val="auto"/>
              </w:rPr>
            </w:pPr>
            <w:r>
              <w:rPr>
                <w:rFonts w:ascii="Arial" w:cs="Arial" w:eastAsia="Arial" w:hAnsi="Arial"/>
                <w:sz w:val="14"/>
                <w:szCs w:val="14"/>
                <w:color w:val="2D3243"/>
              </w:rPr>
              <w:t>Director, Lead Independent Director</w:t>
            </w:r>
          </w:p>
        </w:tc>
      </w:tr>
      <w:tr>
        <w:trPr>
          <w:trHeight w:val="242"/>
        </w:trPr>
        <w:tc>
          <w:tcPr>
            <w:tcW w:w="620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i w:val="1"/>
                <w:iCs w:val="1"/>
                <w:color w:val="2D3243"/>
              </w:rPr>
              <w:t>Class III Directors whose terms expire at the 2026 annual meeting of stockholders</w:t>
            </w:r>
          </w:p>
        </w:tc>
        <w:tc>
          <w:tcPr>
            <w:tcW w:w="1580" w:type="dxa"/>
            <w:vAlign w:val="bottom"/>
            <w:tcBorders>
              <w:bottom w:val="single" w:sz="8" w:color="F0F1F2"/>
            </w:tcBorders>
            <w:shd w:val="clear" w:color="auto" w:fill="F0F1F2"/>
          </w:tcPr>
          <w:p>
            <w:pPr>
              <w:spacing w:after="0"/>
              <w:rPr>
                <w:sz w:val="20"/>
                <w:szCs w:val="20"/>
                <w:color w:val="auto"/>
              </w:rPr>
            </w:pPr>
          </w:p>
        </w:tc>
        <w:tc>
          <w:tcPr>
            <w:tcW w:w="3460" w:type="dxa"/>
            <w:vAlign w:val="bottom"/>
            <w:tcBorders>
              <w:bottom w:val="single" w:sz="8" w:color="F0F1F2"/>
            </w:tcBorders>
            <w:shd w:val="clear" w:color="auto" w:fill="F0F1F2"/>
          </w:tcPr>
          <w:p>
            <w:pPr>
              <w:spacing w:after="0"/>
              <w:rPr>
                <w:sz w:val="20"/>
                <w:szCs w:val="20"/>
                <w:color w:val="auto"/>
              </w:rPr>
            </w:pPr>
          </w:p>
        </w:tc>
      </w:tr>
      <w:tr>
        <w:trPr>
          <w:trHeight w:val="215"/>
        </w:trPr>
        <w:tc>
          <w:tcPr>
            <w:tcW w:w="6200" w:type="dxa"/>
            <w:vAlign w:val="bottom"/>
            <w:tcBorders>
              <w:top w:val="single" w:sz="8" w:color="0336FF"/>
            </w:tcBorders>
          </w:tcPr>
          <w:p>
            <w:pPr>
              <w:ind w:left="260"/>
              <w:spacing w:after="0"/>
              <w:rPr>
                <w:sz w:val="20"/>
                <w:szCs w:val="20"/>
                <w:color w:val="auto"/>
              </w:rPr>
            </w:pPr>
            <w:r>
              <w:rPr>
                <w:rFonts w:ascii="Arial" w:cs="Arial" w:eastAsia="Arial" w:hAnsi="Arial"/>
                <w:sz w:val="14"/>
                <w:szCs w:val="14"/>
                <w:b w:val="1"/>
                <w:bCs w:val="1"/>
                <w:color w:val="2D3243"/>
              </w:rPr>
              <w:t>Michael Burkland</w:t>
            </w:r>
          </w:p>
        </w:tc>
        <w:tc>
          <w:tcPr>
            <w:tcW w:w="1580" w:type="dxa"/>
            <w:vAlign w:val="bottom"/>
            <w:tcBorders>
              <w:top w:val="single" w:sz="8" w:color="0336FF"/>
            </w:tcBorders>
          </w:tcPr>
          <w:p>
            <w:pPr>
              <w:ind w:left="920"/>
              <w:spacing w:after="0"/>
              <w:rPr>
                <w:sz w:val="20"/>
                <w:szCs w:val="20"/>
                <w:color w:val="auto"/>
              </w:rPr>
            </w:pPr>
            <w:r>
              <w:rPr>
                <w:rFonts w:ascii="Arial" w:cs="Arial" w:eastAsia="Arial" w:hAnsi="Arial"/>
                <w:sz w:val="14"/>
                <w:szCs w:val="14"/>
                <w:color w:val="2D3243"/>
              </w:rPr>
              <w:t>61</w:t>
            </w:r>
          </w:p>
        </w:tc>
        <w:tc>
          <w:tcPr>
            <w:tcW w:w="3460" w:type="dxa"/>
            <w:vAlign w:val="bottom"/>
            <w:tcBorders>
              <w:top w:val="single" w:sz="8" w:color="0336FF"/>
            </w:tcBorders>
          </w:tcPr>
          <w:p>
            <w:pPr>
              <w:ind w:left="380"/>
              <w:spacing w:after="0"/>
              <w:rPr>
                <w:sz w:val="20"/>
                <w:szCs w:val="20"/>
                <w:color w:val="auto"/>
              </w:rPr>
            </w:pPr>
            <w:r>
              <w:rPr>
                <w:rFonts w:ascii="Arial" w:cs="Arial" w:eastAsia="Arial" w:hAnsi="Arial"/>
                <w:sz w:val="14"/>
                <w:szCs w:val="14"/>
                <w:color w:val="2D3243"/>
              </w:rPr>
              <w:t>Director, Chief Executive Officer</w:t>
            </w:r>
          </w:p>
        </w:tc>
      </w:tr>
      <w:tr>
        <w:trPr>
          <w:trHeight w:val="237"/>
        </w:trPr>
        <w:tc>
          <w:tcPr>
            <w:tcW w:w="6200" w:type="dxa"/>
            <w:vAlign w:val="bottom"/>
            <w:shd w:val="clear" w:color="auto" w:fill="F0F1F2"/>
          </w:tcPr>
          <w:p>
            <w:pPr>
              <w:ind w:left="260"/>
              <w:spacing w:after="0"/>
              <w:rPr>
                <w:sz w:val="20"/>
                <w:szCs w:val="20"/>
                <w:color w:val="auto"/>
              </w:rPr>
            </w:pPr>
            <w:r>
              <w:rPr>
                <w:rFonts w:ascii="Arial" w:cs="Arial" w:eastAsia="Arial" w:hAnsi="Arial"/>
                <w:sz w:val="14"/>
                <w:szCs w:val="14"/>
                <w:b w:val="1"/>
                <w:bCs w:val="1"/>
                <w:color w:val="2D3243"/>
              </w:rPr>
              <w:t>Jonathan Mariner</w:t>
            </w:r>
          </w:p>
        </w:tc>
        <w:tc>
          <w:tcPr>
            <w:tcW w:w="1580" w:type="dxa"/>
            <w:vAlign w:val="bottom"/>
            <w:shd w:val="clear" w:color="auto" w:fill="F0F1F2"/>
          </w:tcPr>
          <w:p>
            <w:pPr>
              <w:ind w:left="920"/>
              <w:spacing w:after="0"/>
              <w:rPr>
                <w:sz w:val="20"/>
                <w:szCs w:val="20"/>
                <w:color w:val="auto"/>
              </w:rPr>
            </w:pPr>
            <w:r>
              <w:rPr>
                <w:rFonts w:ascii="Arial" w:cs="Arial" w:eastAsia="Arial" w:hAnsi="Arial"/>
                <w:sz w:val="14"/>
                <w:szCs w:val="14"/>
                <w:color w:val="2D3243"/>
              </w:rPr>
              <w:t>69</w:t>
            </w:r>
          </w:p>
        </w:tc>
        <w:tc>
          <w:tcPr>
            <w:tcW w:w="3460" w:type="dxa"/>
            <w:vAlign w:val="bottom"/>
            <w:shd w:val="clear" w:color="auto" w:fill="F0F1F2"/>
          </w:tcPr>
          <w:p>
            <w:pPr>
              <w:ind w:left="380"/>
              <w:spacing w:after="0"/>
              <w:rPr>
                <w:sz w:val="20"/>
                <w:szCs w:val="20"/>
                <w:color w:val="auto"/>
              </w:rPr>
            </w:pPr>
            <w:r>
              <w:rPr>
                <w:rFonts w:ascii="Arial" w:cs="Arial" w:eastAsia="Arial" w:hAnsi="Arial"/>
                <w:sz w:val="14"/>
                <w:szCs w:val="14"/>
                <w:color w:val="2D3243"/>
              </w:rPr>
              <w:t>Director</w:t>
            </w:r>
          </w:p>
        </w:tc>
      </w:tr>
      <w:tr>
        <w:trPr>
          <w:trHeight w:val="223"/>
        </w:trPr>
        <w:tc>
          <w:tcPr>
            <w:tcW w:w="6200" w:type="dxa"/>
            <w:vAlign w:val="bottom"/>
            <w:tcBorders>
              <w:bottom w:val="single" w:sz="8" w:color="0336FF"/>
            </w:tcBorders>
          </w:tcPr>
          <w:p>
            <w:pPr>
              <w:ind w:left="260"/>
              <w:spacing w:after="0"/>
              <w:rPr>
                <w:sz w:val="20"/>
                <w:szCs w:val="20"/>
                <w:color w:val="auto"/>
              </w:rPr>
            </w:pPr>
            <w:r>
              <w:rPr>
                <w:rFonts w:ascii="Arial" w:cs="Arial" w:eastAsia="Arial" w:hAnsi="Arial"/>
                <w:sz w:val="14"/>
                <w:szCs w:val="14"/>
                <w:b w:val="1"/>
                <w:bCs w:val="1"/>
                <w:color w:val="2D3243"/>
              </w:rPr>
              <w:t>Robert Zollars</w:t>
            </w:r>
          </w:p>
        </w:tc>
        <w:tc>
          <w:tcPr>
            <w:tcW w:w="1580" w:type="dxa"/>
            <w:vAlign w:val="bottom"/>
            <w:tcBorders>
              <w:bottom w:val="single" w:sz="8" w:color="0336FF"/>
            </w:tcBorders>
          </w:tcPr>
          <w:p>
            <w:pPr>
              <w:ind w:left="920"/>
              <w:spacing w:after="0"/>
              <w:rPr>
                <w:sz w:val="20"/>
                <w:szCs w:val="20"/>
                <w:color w:val="auto"/>
              </w:rPr>
            </w:pPr>
            <w:r>
              <w:rPr>
                <w:rFonts w:ascii="Arial" w:cs="Arial" w:eastAsia="Arial" w:hAnsi="Arial"/>
                <w:sz w:val="14"/>
                <w:szCs w:val="14"/>
                <w:color w:val="2D3243"/>
              </w:rPr>
              <w:t>66</w:t>
            </w:r>
          </w:p>
        </w:tc>
        <w:tc>
          <w:tcPr>
            <w:tcW w:w="3460" w:type="dxa"/>
            <w:vAlign w:val="bottom"/>
            <w:tcBorders>
              <w:bottom w:val="single" w:sz="8" w:color="0336FF"/>
            </w:tcBorders>
          </w:tcPr>
          <w:p>
            <w:pPr>
              <w:ind w:left="380"/>
              <w:spacing w:after="0"/>
              <w:rPr>
                <w:sz w:val="20"/>
                <w:szCs w:val="20"/>
                <w:color w:val="auto"/>
              </w:rPr>
            </w:pPr>
            <w:r>
              <w:rPr>
                <w:rFonts w:ascii="Arial" w:cs="Arial" w:eastAsia="Arial" w:hAnsi="Arial"/>
                <w:sz w:val="14"/>
                <w:szCs w:val="14"/>
                <w:color w:val="2D3243"/>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00"/>
        <w:spacing w:after="0"/>
        <w:tabs>
          <w:tab w:leader="none" w:pos="556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9</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6" w:name="page17"/>
    <w:bookmarkEnd w:id="16"/>
    <w:p>
      <w:pPr>
        <w:ind w:left="20"/>
        <w:spacing w:after="0"/>
        <w:tabs>
          <w:tab w:leader="none" w:pos="10060" w:val="left"/>
        </w:tabs>
        <w:rPr>
          <w:sz w:val="20"/>
          <w:szCs w:val="20"/>
          <w:color w:val="auto"/>
        </w:rPr>
      </w:pPr>
      <w:r>
        <w:rPr>
          <w:rFonts w:ascii="Arial" w:cs="Arial" w:eastAsia="Arial" w:hAnsi="Arial"/>
          <w:sz w:val="14"/>
          <w:szCs w:val="14"/>
          <w:color w:val="2D3243"/>
        </w:rPr>
        <w:t>Proposal No. 1</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Information Regarding the Nominees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336FF"/>
        </w:rPr>
        <w:t>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-1134745</wp:posOffset>
            </wp:positionV>
            <wp:extent cx="822960" cy="822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336FF"/>
        </w:rPr>
        <w:t>Burdiek</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Age: 64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Director Since: 2015</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980"/>
        <w:spacing w:after="0" w:line="342" w:lineRule="auto"/>
        <w:rPr>
          <w:sz w:val="20"/>
          <w:szCs w:val="20"/>
          <w:color w:val="auto"/>
        </w:rPr>
      </w:pPr>
      <w:r>
        <w:rPr>
          <w:rFonts w:ascii="Arial" w:cs="Arial" w:eastAsia="Arial" w:hAnsi="Arial"/>
          <w:sz w:val="16"/>
          <w:szCs w:val="16"/>
          <w:b w:val="1"/>
          <w:bCs w:val="1"/>
          <w:color w:val="2D3243"/>
        </w:rPr>
        <w:t>Michael Burdiek</w:t>
      </w:r>
      <w:r>
        <w:rPr>
          <w:rFonts w:ascii="Arial" w:cs="Arial" w:eastAsia="Arial" w:hAnsi="Arial"/>
          <w:sz w:val="16"/>
          <w:szCs w:val="16"/>
          <w:color w:val="2D3243"/>
        </w:rPr>
        <w:t>, age 64, has served as a member of our Board of Directors since September 2015.</w:t>
      </w:r>
      <w:r>
        <w:rPr>
          <w:rFonts w:ascii="Arial" w:cs="Arial" w:eastAsia="Arial" w:hAnsi="Arial"/>
          <w:sz w:val="16"/>
          <w:szCs w:val="16"/>
          <w:b w:val="1"/>
          <w:bCs w:val="1"/>
          <w:color w:val="2D3243"/>
        </w:rPr>
        <w:t xml:space="preserve"> </w:t>
      </w:r>
      <w:r>
        <w:rPr>
          <w:rFonts w:ascii="Arial" w:cs="Arial" w:eastAsia="Arial" w:hAnsi="Arial"/>
          <w:sz w:val="16"/>
          <w:szCs w:val="16"/>
          <w:color w:val="2D3243"/>
        </w:rPr>
        <w:t>Mr. Burdiek served as the Chief Executive Officer and also as a member of the board of directors of Motion Acquisition Corp. ("Motion"), a special purpose acquisition company, from 2020 until its business combination with DocGo, Inc. in November 2021. Since November 2021, Mr. Burdiek has served on the board of directors of DocGo. From June 2011 to March 2020, Mr. Burdiek served as President and Chief Executive Officer and as a member of the board of directors of CalAmp Corp., a global provider of telematics software and technologies. Prior to CalAmp, Mr. Burdiek was President and Chief Executive Officer of Telenetics Corporation, a provider of networking and communications products. Mr. Burdiek holds an M.B.A. and an M.S. degree in electrical engineering from California State University, Fullerton, and a B.S. degree in electrical engineering from Kansas State University.</w:t>
      </w:r>
    </w:p>
    <w:p>
      <w:pPr>
        <w:spacing w:after="0" w:line="119" w:lineRule="exact"/>
        <w:rPr>
          <w:sz w:val="20"/>
          <w:szCs w:val="20"/>
          <w:color w:val="auto"/>
        </w:rPr>
      </w:pPr>
    </w:p>
    <w:p>
      <w:pPr>
        <w:ind w:right="1900"/>
        <w:spacing w:after="0" w:line="324" w:lineRule="auto"/>
        <w:rPr>
          <w:sz w:val="20"/>
          <w:szCs w:val="20"/>
          <w:color w:val="auto"/>
        </w:rPr>
      </w:pPr>
      <w:r>
        <w:rPr>
          <w:rFonts w:ascii="Arial" w:cs="Arial" w:eastAsia="Arial" w:hAnsi="Arial"/>
          <w:sz w:val="16"/>
          <w:szCs w:val="16"/>
          <w:b w:val="1"/>
          <w:bCs w:val="1"/>
          <w:color w:val="0336FF"/>
        </w:rPr>
        <w:t>Mr. Burdiek shall continue to serve on our Board of Directors because of his strategic and operational experience, experience as Chief Executive Officer of publicly traded companies, as well as his deep understanding of technology and go-to-market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281305</wp:posOffset>
            </wp:positionV>
            <wp:extent cx="59664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440"/>
            <w:col w:w="920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336FF"/>
        </w:rPr>
        <w:t>Julie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-1151890</wp:posOffset>
            </wp:positionV>
            <wp:extent cx="822960" cy="822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336FF"/>
        </w:rPr>
        <w:t>Iskow</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Age: 62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1941195</wp:posOffset>
            </wp:positionV>
            <wp:extent cx="51435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60"/>
        <w:spacing w:after="0" w:line="340" w:lineRule="auto"/>
        <w:rPr>
          <w:sz w:val="20"/>
          <w:szCs w:val="20"/>
          <w:color w:val="auto"/>
        </w:rPr>
      </w:pPr>
      <w:r>
        <w:rPr>
          <w:rFonts w:ascii="Arial" w:cs="Arial" w:eastAsia="Arial" w:hAnsi="Arial"/>
          <w:sz w:val="16"/>
          <w:szCs w:val="16"/>
          <w:b w:val="1"/>
          <w:bCs w:val="1"/>
          <w:color w:val="2D3243"/>
        </w:rPr>
        <w:t xml:space="preserve">Julie Iskow, </w:t>
      </w:r>
      <w:r>
        <w:rPr>
          <w:rFonts w:ascii="Arial" w:cs="Arial" w:eastAsia="Arial" w:hAnsi="Arial"/>
          <w:sz w:val="16"/>
          <w:szCs w:val="16"/>
          <w:color w:val="2D3243"/>
        </w:rPr>
        <w:t>age 62, has served as a member of our Board of Directors since February 2023. Ms.</w:t>
      </w:r>
      <w:r>
        <w:rPr>
          <w:rFonts w:ascii="Arial" w:cs="Arial" w:eastAsia="Arial" w:hAnsi="Arial"/>
          <w:sz w:val="16"/>
          <w:szCs w:val="16"/>
          <w:b w:val="1"/>
          <w:bCs w:val="1"/>
          <w:color w:val="2D3243"/>
        </w:rPr>
        <w:t xml:space="preserve"> </w:t>
      </w:r>
      <w:r>
        <w:rPr>
          <w:rFonts w:ascii="Arial" w:cs="Arial" w:eastAsia="Arial" w:hAnsi="Arial"/>
          <w:sz w:val="16"/>
          <w:szCs w:val="16"/>
          <w:color w:val="2D3243"/>
        </w:rPr>
        <w:t>Iskow serves as the President and Chief Executive Officer of Workiva Inc., a position she has held since April 2023. She was previously the Executive Vice President and Chief Operating Officer of Workiva Inc. from October 2019 to March 2022, and the President and Chief Operating Officer from March 2022 to April 2023. Prior to joining Workiva, Ms. Iskow served as Chief Technology Officer of Medidata Solutions, Inc. from April 2015 to October 2019, and was also its Executive Vice President of Product Development from July 2016 to October 2019. From December 2013 to March 2015, Ms. Iskow served as Chief Information Officer and Senior Vice President at WageWorks, Inc., and prior to that as its Senior Vice President of Product Development and Vice President of Product Development. Ms. Iskow has also served as Vice President of Engineering at Asyst Technologies and GW Associates, Inc. Ms. Iskow has served as a member of the board of directors of Workiva since January 2021. Ms. Iskow also previously served as a member of the board of directors of Vocera Communications, Inc. from May 2019 until its acquisition in February 2022 and as a member of the board of directors of Cvent Holding Corp. from May 2022 to July 2022. Ms. Iskow earned a B.S. degree from the University of California, Berkeley and an M.S. degree from University of California, Davis.</w:t>
      </w:r>
    </w:p>
    <w:p>
      <w:pPr>
        <w:spacing w:after="0" w:line="383" w:lineRule="exact"/>
        <w:rPr>
          <w:sz w:val="20"/>
          <w:szCs w:val="20"/>
          <w:color w:val="auto"/>
        </w:rPr>
      </w:pPr>
    </w:p>
    <w:p>
      <w:pPr>
        <w:ind w:right="2100"/>
        <w:spacing w:after="0" w:line="315" w:lineRule="auto"/>
        <w:rPr>
          <w:sz w:val="20"/>
          <w:szCs w:val="20"/>
          <w:color w:val="auto"/>
        </w:rPr>
      </w:pPr>
      <w:r>
        <w:rPr>
          <w:rFonts w:ascii="Arial" w:cs="Arial" w:eastAsia="Arial" w:hAnsi="Arial"/>
          <w:sz w:val="16"/>
          <w:szCs w:val="16"/>
          <w:b w:val="1"/>
          <w:bCs w:val="1"/>
          <w:color w:val="0336FF"/>
        </w:rPr>
        <w:t>Ms. Iskow shall continue to serve on our Board of Directors because of her extensive leadership experience in the technology industry and service on the boards of directors and other leadership positions with numerous other companies and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294640</wp:posOffset>
            </wp:positionV>
            <wp:extent cx="59664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440"/>
            <w:col w:w="920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0336FF"/>
        </w:rPr>
        <w:t>VOTE</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D3243"/>
        </w:rPr>
        <w:t xml:space="preserve">The Board of Directors Recommends a Vote </w:t>
      </w:r>
      <w:r>
        <w:rPr>
          <w:rFonts w:ascii="Arial" w:cs="Arial" w:eastAsia="Arial" w:hAnsi="Arial"/>
          <w:sz w:val="20"/>
          <w:szCs w:val="20"/>
          <w:b w:val="1"/>
          <w:bCs w:val="1"/>
          <w:color w:val="0336FF"/>
        </w:rPr>
        <w:t>“FOR”</w:t>
      </w:r>
      <w:r>
        <w:rPr>
          <w:rFonts w:ascii="Arial" w:cs="Arial" w:eastAsia="Arial" w:hAnsi="Arial"/>
          <w:sz w:val="19"/>
          <w:szCs w:val="19"/>
          <w:b w:val="1"/>
          <w:bCs w:val="1"/>
          <w:color w:val="2D3243"/>
        </w:rPr>
        <w:t xml:space="preserve"> Each Named Nominee.</w:t>
      </w:r>
    </w:p>
    <w:p>
      <w:pPr>
        <w:sectPr>
          <w:pgSz w:w="11900" w:h="16838" w:orient="portrait"/>
          <w:cols w:equalWidth="0" w:num="1">
            <w:col w:w="1122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10</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7" w:name="page18"/>
    <w:bookmarkEnd w:id="17"/>
    <w:p>
      <w:pPr>
        <w:ind w:left="20"/>
        <w:spacing w:after="0"/>
        <w:tabs>
          <w:tab w:leader="none" w:pos="10060" w:val="left"/>
        </w:tabs>
        <w:rPr>
          <w:sz w:val="20"/>
          <w:szCs w:val="20"/>
          <w:color w:val="auto"/>
        </w:rPr>
      </w:pPr>
      <w:r>
        <w:rPr>
          <w:rFonts w:ascii="Arial" w:cs="Arial" w:eastAsia="Arial" w:hAnsi="Arial"/>
          <w:sz w:val="14"/>
          <w:szCs w:val="14"/>
          <w:color w:val="2D3243"/>
        </w:rPr>
        <w:t>Proposal No. 1</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Information Regarding Other Directors Continuing in Office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Class II Directors — Term ending at the 2025 annual meeting of stockholders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336FF"/>
        </w:rPr>
        <w:t>Jack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-1134745</wp:posOffset>
            </wp:positionV>
            <wp:extent cx="822960" cy="8229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336FF"/>
        </w:rPr>
        <w:t>Acosta</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Age: 76</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Director Since: 2011</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1860"/>
        <w:spacing w:after="0" w:line="343" w:lineRule="auto"/>
        <w:rPr>
          <w:sz w:val="20"/>
          <w:szCs w:val="20"/>
          <w:color w:val="auto"/>
        </w:rPr>
      </w:pPr>
      <w:r>
        <w:rPr>
          <w:rFonts w:ascii="Arial" w:cs="Arial" w:eastAsia="Arial" w:hAnsi="Arial"/>
          <w:sz w:val="16"/>
          <w:szCs w:val="16"/>
          <w:b w:val="1"/>
          <w:bCs w:val="1"/>
          <w:color w:val="2D3243"/>
        </w:rPr>
        <w:t>Jack Acosta</w:t>
      </w:r>
      <w:r>
        <w:rPr>
          <w:rFonts w:ascii="Arial" w:cs="Arial" w:eastAsia="Arial" w:hAnsi="Arial"/>
          <w:sz w:val="16"/>
          <w:szCs w:val="16"/>
          <w:color w:val="2D3243"/>
        </w:rPr>
        <w:t>, age 76, has served as a member of our Board of Directors since April 2011. Since</w:t>
      </w:r>
      <w:r>
        <w:rPr>
          <w:rFonts w:ascii="Arial" w:cs="Arial" w:eastAsia="Arial" w:hAnsi="Arial"/>
          <w:sz w:val="16"/>
          <w:szCs w:val="16"/>
          <w:b w:val="1"/>
          <w:bCs w:val="1"/>
          <w:color w:val="2D3243"/>
        </w:rPr>
        <w:t xml:space="preserve"> </w:t>
      </w:r>
      <w:r>
        <w:rPr>
          <w:rFonts w:ascii="Arial" w:cs="Arial" w:eastAsia="Arial" w:hAnsi="Arial"/>
          <w:sz w:val="16"/>
          <w:szCs w:val="16"/>
          <w:color w:val="2D3243"/>
        </w:rPr>
        <w:t>October, 2013, Mr. Acosta has served on the board of directors of Rimini Street, Inc., an enterprise software support services company. From February 1999 to September 2001, Mr. Acosta served as Chief Financial Officer and Vice President, Finance of Portal Software, a software company acquired by Oracle Corporation in 2006. From July 1996 to January 1999, Mr. Acosta served as Executive Vice President and Chief Financial Officer of Sybase, Inc., a database company acquired by SAP. Mr. Acosta holds a B.S. degree in Industrial Relations from California State University East Bay, an M.B.A. degree in Management Sciences from California State University East Bay and an Honorary Doctor of Humane Letters degree from California State University East Bay.</w:t>
      </w:r>
    </w:p>
    <w:p>
      <w:pPr>
        <w:spacing w:after="0" w:line="117" w:lineRule="exact"/>
        <w:rPr>
          <w:sz w:val="20"/>
          <w:szCs w:val="20"/>
          <w:color w:val="auto"/>
        </w:rPr>
      </w:pPr>
    </w:p>
    <w:p>
      <w:pPr>
        <w:ind w:right="1920"/>
        <w:spacing w:after="0" w:line="310" w:lineRule="auto"/>
        <w:rPr>
          <w:sz w:val="20"/>
          <w:szCs w:val="20"/>
          <w:color w:val="auto"/>
        </w:rPr>
      </w:pPr>
      <w:r>
        <w:rPr>
          <w:rFonts w:ascii="Arial" w:cs="Arial" w:eastAsia="Arial" w:hAnsi="Arial"/>
          <w:sz w:val="16"/>
          <w:szCs w:val="16"/>
          <w:b w:val="1"/>
          <w:bCs w:val="1"/>
          <w:color w:val="0336FF"/>
        </w:rPr>
        <w:t>Mr. Acosta shall continue to serve on our Board of Directors because of his accounting, financial, operating and management experience, service on the boards of directors of numerous other companies, financial expertise through his service as chief financial officer of public software companies, and experience in overseeing auditors and financial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297180</wp:posOffset>
            </wp:positionV>
            <wp:extent cx="59664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460"/>
            <w:col w:w="918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right="260"/>
        <w:spacing w:after="0" w:line="298" w:lineRule="auto"/>
        <w:rPr>
          <w:sz w:val="20"/>
          <w:szCs w:val="20"/>
          <w:color w:val="auto"/>
        </w:rPr>
      </w:pPr>
      <w:r>
        <w:rPr>
          <w:rFonts w:ascii="Arial" w:cs="Arial" w:eastAsia="Arial" w:hAnsi="Arial"/>
          <w:sz w:val="25"/>
          <w:szCs w:val="25"/>
          <w:b w:val="1"/>
          <w:bCs w:val="1"/>
          <w:color w:val="0336FF"/>
        </w:rPr>
        <w:t>Susan Barsamian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-1405890</wp:posOffset>
            </wp:positionV>
            <wp:extent cx="822960" cy="822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Age: 64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Director Since: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840"/>
        <w:spacing w:after="0" w:line="340" w:lineRule="auto"/>
        <w:rPr>
          <w:sz w:val="20"/>
          <w:szCs w:val="20"/>
          <w:color w:val="auto"/>
        </w:rPr>
      </w:pPr>
      <w:r>
        <w:rPr>
          <w:rFonts w:ascii="Arial" w:cs="Arial" w:eastAsia="Arial" w:hAnsi="Arial"/>
          <w:sz w:val="16"/>
          <w:szCs w:val="16"/>
          <w:b w:val="1"/>
          <w:bCs w:val="1"/>
          <w:color w:val="2D3243"/>
        </w:rPr>
        <w:t>Susan Barsamian</w:t>
      </w:r>
      <w:r>
        <w:rPr>
          <w:rFonts w:ascii="Arial" w:cs="Arial" w:eastAsia="Arial" w:hAnsi="Arial"/>
          <w:sz w:val="16"/>
          <w:szCs w:val="16"/>
          <w:color w:val="2D3243"/>
        </w:rPr>
        <w:t>, age 64, has served as a member of our Board of Directors since January 2021.</w:t>
      </w:r>
      <w:r>
        <w:rPr>
          <w:rFonts w:ascii="Arial" w:cs="Arial" w:eastAsia="Arial" w:hAnsi="Arial"/>
          <w:sz w:val="16"/>
          <w:szCs w:val="16"/>
          <w:b w:val="1"/>
          <w:bCs w:val="1"/>
          <w:color w:val="2D3243"/>
        </w:rPr>
        <w:t xml:space="preserve"> </w:t>
      </w:r>
      <w:r>
        <w:rPr>
          <w:rFonts w:ascii="Arial" w:cs="Arial" w:eastAsia="Arial" w:hAnsi="Arial"/>
          <w:sz w:val="16"/>
          <w:szCs w:val="16"/>
          <w:color w:val="2D3243"/>
        </w:rPr>
        <w:t>Ms. Barsamian served as Chief Sales and Marketing Officer for Hewlett Packard Enterprise Software (“HPE”) from November 2016 to September 2017 through its merger with Micro Focus International plc in September 2017. From August 2015 to November 2016, she served as General Manager of Enterprise Security Products at HPE. From 2006 to 2015, she served in various roles at Hewlett Packard. Earlier in her career, she held leadership positions at Mercury Interactive and Verity, Inc. Since August 2020, she has served on the Board of Directors for Kansas State University Foundation. Ms. Barsamian currently serves on the Board of Directors of GEN Digital, Inc., a consumer cyber safety company, and Box, Inc., a cloud content management company. From 2012 to 2017, Ms. Barsamian served on the board of the National Action Council for Minorities in Engineering (NACME), and she served as Chairman of the Board of NACME from 2016 to 2017. Ms. Barsamian holds a B.S. with honors in electrical engineering from Kansas State University. She completed post-graduate studies at the Swiss Federal Institute of Technology in Zurich, Switzerland.</w:t>
      </w:r>
    </w:p>
    <w:p>
      <w:pPr>
        <w:spacing w:after="0" w:line="122" w:lineRule="exact"/>
        <w:rPr>
          <w:sz w:val="20"/>
          <w:szCs w:val="20"/>
          <w:color w:val="auto"/>
        </w:rPr>
      </w:pPr>
    </w:p>
    <w:p>
      <w:pPr>
        <w:jc w:val="both"/>
        <w:ind w:right="2200"/>
        <w:spacing w:after="0" w:line="324" w:lineRule="auto"/>
        <w:rPr>
          <w:sz w:val="20"/>
          <w:szCs w:val="20"/>
          <w:color w:val="auto"/>
        </w:rPr>
      </w:pPr>
      <w:r>
        <w:rPr>
          <w:rFonts w:ascii="Arial" w:cs="Arial" w:eastAsia="Arial" w:hAnsi="Arial"/>
          <w:sz w:val="16"/>
          <w:szCs w:val="16"/>
          <w:b w:val="1"/>
          <w:bCs w:val="1"/>
          <w:color w:val="0336FF"/>
        </w:rPr>
        <w:t>Ms. Barsamian shall continue to serve on our Board of Directors because of her extensive product and leadership experience in the technology industry and service on the boards of directors of numerous other companies and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290195</wp:posOffset>
            </wp:positionV>
            <wp:extent cx="59664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440"/>
            <w:col w:w="920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11</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8" w:name="page19"/>
    <w:bookmarkEnd w:id="18"/>
    <w:p>
      <w:pPr>
        <w:ind w:left="20"/>
        <w:spacing w:after="0"/>
        <w:tabs>
          <w:tab w:leader="none" w:pos="10060" w:val="left"/>
        </w:tabs>
        <w:rPr>
          <w:sz w:val="20"/>
          <w:szCs w:val="20"/>
          <w:color w:val="auto"/>
        </w:rPr>
      </w:pPr>
      <w:r>
        <w:rPr>
          <w:rFonts w:ascii="Arial" w:cs="Arial" w:eastAsia="Arial" w:hAnsi="Arial"/>
          <w:sz w:val="14"/>
          <w:szCs w:val="14"/>
          <w:color w:val="2D3243"/>
        </w:rPr>
        <w:t>Proposal No. 1</w:t>
      </w:r>
      <w:r>
        <w:rPr>
          <w:sz w:val="20"/>
          <w:szCs w:val="20"/>
          <w:color w:val="auto"/>
        </w:rPr>
        <w:tab/>
      </w:r>
      <w:r>
        <w:rPr>
          <w:rFonts w:ascii="Arial" w:cs="Arial" w:eastAsia="Arial" w:hAnsi="Arial"/>
          <w:sz w:val="14"/>
          <w:szCs w:val="14"/>
          <w:color w:val="2D3243"/>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336FF"/>
        </w:rPr>
        <w:t>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-1169035</wp:posOffset>
            </wp:positionV>
            <wp:extent cx="822960" cy="822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336FF"/>
        </w:rPr>
        <w:t>Welsh</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Age: 56</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Director Since: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60"/>
        <w:spacing w:after="0" w:line="341" w:lineRule="auto"/>
        <w:rPr>
          <w:sz w:val="20"/>
          <w:szCs w:val="20"/>
          <w:color w:val="auto"/>
        </w:rPr>
      </w:pPr>
      <w:r>
        <w:rPr>
          <w:rFonts w:ascii="Arial" w:cs="Arial" w:eastAsia="Arial" w:hAnsi="Arial"/>
          <w:sz w:val="16"/>
          <w:szCs w:val="16"/>
          <w:b w:val="1"/>
          <w:bCs w:val="1"/>
          <w:color w:val="2D3243"/>
        </w:rPr>
        <w:t xml:space="preserve">David Welsh, </w:t>
      </w:r>
      <w:r>
        <w:rPr>
          <w:rFonts w:ascii="Arial" w:cs="Arial" w:eastAsia="Arial" w:hAnsi="Arial"/>
          <w:sz w:val="16"/>
          <w:szCs w:val="16"/>
          <w:color w:val="2D3243"/>
        </w:rPr>
        <w:t>age 56, has served as a member of our Board of Directors since January 2011 and has</w:t>
      </w:r>
      <w:r>
        <w:rPr>
          <w:rFonts w:ascii="Arial" w:cs="Arial" w:eastAsia="Arial" w:hAnsi="Arial"/>
          <w:sz w:val="16"/>
          <w:szCs w:val="16"/>
          <w:b w:val="1"/>
          <w:bCs w:val="1"/>
          <w:color w:val="2D3243"/>
        </w:rPr>
        <w:t xml:space="preserve"> </w:t>
      </w:r>
      <w:r>
        <w:rPr>
          <w:rFonts w:ascii="Arial" w:cs="Arial" w:eastAsia="Arial" w:hAnsi="Arial"/>
          <w:sz w:val="16"/>
          <w:szCs w:val="16"/>
          <w:color w:val="2D3243"/>
        </w:rPr>
        <w:t>served as our Lead Independent Director since February 2014. Mr. Welsh also served as a member of our Board of Directors from May 2005 to March 2007. Mr. Welsh is a Partner and is Head of Tech Growth Equity within KKR’s Private Equity platform, where he serves on the Tech Growth Equity investment committee. Prior to joining KKR in October 2016, Mr. Welsh was a Partner with Adams Street Partners, a venture capital firm, from April 2008 to September 2016. From March 2007 to April 2008, Mr. Welsh served as Executive Vice President of Corporate Strategy and Business Development of McAfee, Inc. From June 2000 to March 2007, Mr. Welsh served as a General Partner of Partech International, LLC, a venture capital firm. From August 2017 to August 2023, Mr. Welsh served on the board of directors of ForgeRock, Inc., a digital identity company, that was acquired by Thoma Bravo in August 2023. Mr. Welsh holds a J.D. degree from the University of California, Berkeley, School of Law and a B.A. degree in International Relations from the University of California, Los Angeles.</w:t>
      </w:r>
    </w:p>
    <w:p>
      <w:pPr>
        <w:spacing w:after="0" w:line="373" w:lineRule="exact"/>
        <w:rPr>
          <w:sz w:val="20"/>
          <w:szCs w:val="20"/>
          <w:color w:val="auto"/>
        </w:rPr>
      </w:pPr>
    </w:p>
    <w:p>
      <w:pPr>
        <w:ind w:right="2000"/>
        <w:spacing w:after="0" w:line="324" w:lineRule="auto"/>
        <w:rPr>
          <w:sz w:val="20"/>
          <w:szCs w:val="20"/>
          <w:color w:val="auto"/>
        </w:rPr>
      </w:pPr>
      <w:r>
        <w:rPr>
          <w:rFonts w:ascii="Arial" w:cs="Arial" w:eastAsia="Arial" w:hAnsi="Arial"/>
          <w:sz w:val="16"/>
          <w:szCs w:val="16"/>
          <w:b w:val="1"/>
          <w:bCs w:val="1"/>
          <w:color w:val="0336FF"/>
        </w:rPr>
        <w:t>Mr. Welsh was selected to serve on our Board of Directors because of his experience as a venture capitalist, his corporate strategy and business development expertise and service on the boards of directors of numerous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290195</wp:posOffset>
            </wp:positionV>
            <wp:extent cx="59664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460"/>
            <w:col w:w="918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D3243"/>
        </w:rPr>
        <w:t>Class III Directors — Term ending at the 2026 annual meeting of stockholders</w:t>
      </w:r>
    </w:p>
    <w:p>
      <w:pPr>
        <w:sectPr>
          <w:pgSz w:w="11900" w:h="16838" w:orient="portrait"/>
          <w:cols w:equalWidth="0" w:num="1">
            <w:col w:w="1122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right="460"/>
        <w:spacing w:after="0" w:line="309" w:lineRule="auto"/>
        <w:rPr>
          <w:sz w:val="20"/>
          <w:szCs w:val="20"/>
          <w:color w:val="auto"/>
        </w:rPr>
      </w:pPr>
      <w:r>
        <w:rPr>
          <w:rFonts w:ascii="Arial" w:cs="Arial" w:eastAsia="Arial" w:hAnsi="Arial"/>
          <w:sz w:val="25"/>
          <w:szCs w:val="25"/>
          <w:b w:val="1"/>
          <w:bCs w:val="1"/>
          <w:color w:val="0336FF"/>
        </w:rPr>
        <w:t>Michael Burkland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-1439545</wp:posOffset>
            </wp:positionV>
            <wp:extent cx="822960" cy="8229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Age: 61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Director Since: 2008</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1860"/>
        <w:spacing w:after="0" w:line="341" w:lineRule="auto"/>
        <w:rPr>
          <w:sz w:val="20"/>
          <w:szCs w:val="20"/>
          <w:color w:val="auto"/>
        </w:rPr>
      </w:pPr>
      <w:r>
        <w:rPr>
          <w:rFonts w:ascii="Arial" w:cs="Arial" w:eastAsia="Arial" w:hAnsi="Arial"/>
          <w:sz w:val="16"/>
          <w:szCs w:val="16"/>
          <w:b w:val="1"/>
          <w:bCs w:val="1"/>
          <w:color w:val="2D3243"/>
        </w:rPr>
        <w:t>Michael Burkland</w:t>
      </w:r>
      <w:r>
        <w:rPr>
          <w:rFonts w:ascii="Arial" w:cs="Arial" w:eastAsia="Arial" w:hAnsi="Arial"/>
          <w:sz w:val="16"/>
          <w:szCs w:val="16"/>
          <w:color w:val="2D3243"/>
        </w:rPr>
        <w:t>, age 61, has been a member of our Board of Directors since January 2008 and has</w:t>
      </w:r>
      <w:r>
        <w:rPr>
          <w:rFonts w:ascii="Arial" w:cs="Arial" w:eastAsia="Arial" w:hAnsi="Arial"/>
          <w:sz w:val="16"/>
          <w:szCs w:val="16"/>
          <w:b w:val="1"/>
          <w:bCs w:val="1"/>
          <w:color w:val="2D3243"/>
        </w:rPr>
        <w:t xml:space="preserve"> </w:t>
      </w:r>
      <w:r>
        <w:rPr>
          <w:rFonts w:ascii="Arial" w:cs="Arial" w:eastAsia="Arial" w:hAnsi="Arial"/>
          <w:sz w:val="16"/>
          <w:szCs w:val="16"/>
          <w:color w:val="2D3243"/>
        </w:rPr>
        <w:t>served as Chairman or Executive Chairman of the Board of Directors since February 2014. Mr. Burkland has served as our Chief Executive Officer from January 2008 to December 2017, and again since November 2022. He was also our President from January 2012 to December 2017. From 2002 to 2007, Mr. Burkland worked with the Interim CEO Network, serving as an interim CEO for venture-backed technology companies, as well as heading up the firm’s strategic advisory practice. From 2000 to 2001, Mr. Burkland served as Chief Executive Officer of Omniva Policy Systems Inc., a pioneer in enterprise policy management and e-mail security, where he built and implemented the company’s initial go-to-market strategy for the enterprise market. From 1994 to 1998, Mr. Burkland served as Chief Executive Officer of Eventus Software, Inc., a leading developer of web content management software, which was acquired by Segue Software, Inc. in 1998. Earlier in his career, he held various positions at Oracle Corporation, Patrol Software and BMC Software, Inc. Mr. Burkland served on the board of directors of Vocera Communications, Inc. from 2016 to 2022 when the company was sold to Stryker. Mr. Burkland holds M.B.A. and B.A. degrees from the University of California, Berkeley. Mr. Burkland is the brother of Daniel Burkland, the President of the Company.</w:t>
      </w:r>
    </w:p>
    <w:p>
      <w:pPr>
        <w:spacing w:after="0" w:line="115" w:lineRule="exact"/>
        <w:rPr>
          <w:sz w:val="20"/>
          <w:szCs w:val="20"/>
          <w:color w:val="auto"/>
        </w:rPr>
      </w:pPr>
    </w:p>
    <w:p>
      <w:pPr>
        <w:ind w:right="1940"/>
        <w:spacing w:after="0" w:line="316" w:lineRule="auto"/>
        <w:rPr>
          <w:sz w:val="20"/>
          <w:szCs w:val="20"/>
          <w:color w:val="auto"/>
        </w:rPr>
      </w:pPr>
      <w:r>
        <w:rPr>
          <w:rFonts w:ascii="Arial" w:cs="Arial" w:eastAsia="Arial" w:hAnsi="Arial"/>
          <w:sz w:val="16"/>
          <w:szCs w:val="16"/>
          <w:b w:val="1"/>
          <w:bCs w:val="1"/>
          <w:color w:val="0336FF"/>
        </w:rPr>
        <w:t>Mr. Burkland shall continue to serve on our Board of Directors because of his perspective and experience as our Chief Executive Officer, and Chairman and board member and his extensive experience as a chief executive officer and board member of companies in the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285115</wp:posOffset>
            </wp:positionV>
            <wp:extent cx="59664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440"/>
            <w:col w:w="920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12</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9" w:name="page20"/>
    <w:bookmarkEnd w:id="19"/>
    <w:p>
      <w:pPr>
        <w:spacing w:after="0"/>
        <w:tabs>
          <w:tab w:leader="none" w:pos="10040" w:val="left"/>
        </w:tabs>
        <w:rPr>
          <w:sz w:val="20"/>
          <w:szCs w:val="20"/>
          <w:color w:val="auto"/>
        </w:rPr>
      </w:pPr>
      <w:r>
        <w:rPr>
          <w:rFonts w:ascii="Arial" w:cs="Arial" w:eastAsia="Arial" w:hAnsi="Arial"/>
          <w:sz w:val="14"/>
          <w:szCs w:val="14"/>
          <w:color w:val="2D3243"/>
        </w:rPr>
        <w:t>Proposal No. 1</w:t>
      </w:r>
      <w:r>
        <w:rPr>
          <w:sz w:val="20"/>
          <w:szCs w:val="20"/>
          <w:color w:val="auto"/>
        </w:rPr>
        <w:tab/>
      </w:r>
      <w:r>
        <w:rPr>
          <w:rFonts w:ascii="Arial" w:cs="Arial" w:eastAsia="Arial" w:hAnsi="Arial"/>
          <w:sz w:val="14"/>
          <w:szCs w:val="14"/>
          <w:color w:val="2D3243"/>
        </w:rPr>
        <w:t>Table of Contents</w:t>
      </w:r>
    </w:p>
    <w:p>
      <w:pPr>
        <w:sectPr>
          <w:pgSz w:w="11900" w:h="16838" w:orient="portrait"/>
          <w:cols w:equalWidth="0" w:num="1">
            <w:col w:w="1120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40"/>
        <w:spacing w:after="0" w:line="298" w:lineRule="auto"/>
        <w:rPr>
          <w:sz w:val="20"/>
          <w:szCs w:val="20"/>
          <w:color w:val="auto"/>
        </w:rPr>
      </w:pPr>
      <w:r>
        <w:rPr>
          <w:rFonts w:ascii="Arial" w:cs="Arial" w:eastAsia="Arial" w:hAnsi="Arial"/>
          <w:sz w:val="25"/>
          <w:szCs w:val="25"/>
          <w:b w:val="1"/>
          <w:bCs w:val="1"/>
          <w:color w:val="0336FF"/>
        </w:rPr>
        <w:t>Jonathan Mariner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-1414145</wp:posOffset>
            </wp:positionV>
            <wp:extent cx="822960" cy="8229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336FF"/>
        </w:rPr>
        <w:t>Age: 69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336FF"/>
        </w:rPr>
        <w:t>Director Since: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40"/>
        <w:spacing w:after="0" w:line="340" w:lineRule="auto"/>
        <w:rPr>
          <w:sz w:val="20"/>
          <w:szCs w:val="20"/>
          <w:color w:val="auto"/>
        </w:rPr>
      </w:pPr>
      <w:r>
        <w:rPr>
          <w:rFonts w:ascii="Arial" w:cs="Arial" w:eastAsia="Arial" w:hAnsi="Arial"/>
          <w:sz w:val="16"/>
          <w:szCs w:val="16"/>
          <w:b w:val="1"/>
          <w:bCs w:val="1"/>
          <w:color w:val="2D3243"/>
        </w:rPr>
        <w:t>Jonathan Mariner</w:t>
      </w:r>
      <w:r>
        <w:rPr>
          <w:rFonts w:ascii="Arial" w:cs="Arial" w:eastAsia="Arial" w:hAnsi="Arial"/>
          <w:sz w:val="16"/>
          <w:szCs w:val="16"/>
          <w:color w:val="2D3243"/>
        </w:rPr>
        <w:t>, age 69, has served as a member of our Board of Directors since May 2023. Mr.</w:t>
      </w:r>
      <w:r>
        <w:rPr>
          <w:rFonts w:ascii="Arial" w:cs="Arial" w:eastAsia="Arial" w:hAnsi="Arial"/>
          <w:sz w:val="16"/>
          <w:szCs w:val="16"/>
          <w:b w:val="1"/>
          <w:bCs w:val="1"/>
          <w:color w:val="2D3243"/>
        </w:rPr>
        <w:t xml:space="preserve"> </w:t>
      </w:r>
      <w:r>
        <w:rPr>
          <w:rFonts w:ascii="Arial" w:cs="Arial" w:eastAsia="Arial" w:hAnsi="Arial"/>
          <w:sz w:val="16"/>
          <w:szCs w:val="16"/>
          <w:color w:val="2D3243"/>
        </w:rPr>
        <w:t>Mariner is the founder and has served as president of TaxDay, LLC, a private software firm, since April 2016. Mr. Mariner previously served as the Chief Administrative Officer of Enjoy Technologies, a premium home delivery company that operated mobile retail stores for major consumer technology companies in North America and the U.K., from December 1, 2020 to September 30, 2022, and was a member of its board of directors. He also served, on an interim basis, from February 2019 to August 2019, as the Head of Regional Sports Networks for the Walt Disney Company. He spent the majority of his professional career as an executive in professional sports, serving as Executive Vice President and Chief Financial Officer for Major League Baseball from 2002 to 2014, where he led the league’s accounting, treasury and budgeting functions, completed more than a dozen franchise purchase and sale transactions, and helped create the league’s strategic investment fund, and as Chief Investment Officer from 2015 to 2016. Prior to his position at Major League Baseball, Jonathan was the CFO for the Florida Marlins Baseball Club, Florida Panthers Hockey Club and Dolphins Stadium. Mr. Mariner serves on the board of directors of Tyson Foods, Inc., one of the world’s largest food companies, where he also serves as the chair of the audit committee, and Rocket Companies, Inc., a technology-driven real estate, mortgage and financial services business, where he also serves as the chair of its audit committee. He also serves on audit committees of private companies, including OneStream Software, IEX Stock Exchange, and Little League Baseball International. He previously served as a director for Ultimate Software, a software company engaged in research, development, and delivery of human capital management technology, from 2017 to 2019, where he served as the chair of its audit committee and on the compensation committee and chaired the audit committee of McGraw Hill Education.</w:t>
      </w:r>
    </w:p>
    <w:p>
      <w:pPr>
        <w:spacing w:after="0" w:line="372" w:lineRule="exact"/>
        <w:rPr>
          <w:sz w:val="20"/>
          <w:szCs w:val="20"/>
          <w:color w:val="auto"/>
        </w:rPr>
      </w:pPr>
    </w:p>
    <w:p>
      <w:pPr>
        <w:ind w:right="2020"/>
        <w:spacing w:after="0" w:line="307" w:lineRule="auto"/>
        <w:rPr>
          <w:sz w:val="20"/>
          <w:szCs w:val="20"/>
          <w:color w:val="auto"/>
        </w:rPr>
      </w:pPr>
      <w:r>
        <w:rPr>
          <w:rFonts w:ascii="Arial" w:cs="Arial" w:eastAsia="Arial" w:hAnsi="Arial"/>
          <w:sz w:val="16"/>
          <w:szCs w:val="16"/>
          <w:b w:val="1"/>
          <w:bCs w:val="1"/>
          <w:color w:val="0336FF"/>
        </w:rPr>
        <w:t>Mr. Mariner shall continue to serve on our Board of Directors because of his extensive accounting, financial, operating and management experience, financial expertise through his service as chief financial officer of several companies, and experience in overseeing auditors and financial audits, as well as his service on the boards of directors and other leadership positions with numerous other companies and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299085</wp:posOffset>
            </wp:positionV>
            <wp:extent cx="59664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440"/>
            <w:col w:w="9200"/>
          </w:cols>
          <w:pgMar w:left="34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80"/>
        <w:spacing w:after="0"/>
        <w:tabs>
          <w:tab w:leader="none" w:pos="550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13</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139700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type w:val="continuous"/>
        </w:sectPr>
      </w:pPr>
    </w:p>
    <w:bookmarkStart w:id="20" w:name="page21"/>
    <w:bookmarkEnd w:id="20"/>
    <w:p>
      <w:pPr>
        <w:ind w:left="20"/>
        <w:spacing w:after="0"/>
        <w:tabs>
          <w:tab w:leader="none" w:pos="10060" w:val="left"/>
        </w:tabs>
        <w:rPr>
          <w:sz w:val="20"/>
          <w:szCs w:val="20"/>
          <w:color w:val="auto"/>
        </w:rPr>
      </w:pPr>
      <w:r>
        <w:rPr>
          <w:rFonts w:ascii="Arial" w:cs="Arial" w:eastAsia="Arial" w:hAnsi="Arial"/>
          <w:sz w:val="14"/>
          <w:szCs w:val="14"/>
          <w:color w:val="2D3243"/>
        </w:rPr>
        <w:t>Proposal No. 1</w:t>
      </w:r>
      <w:r>
        <w:rPr>
          <w:sz w:val="20"/>
          <w:szCs w:val="20"/>
          <w:color w:val="auto"/>
        </w:rPr>
        <w:tab/>
      </w:r>
      <w:r>
        <w:rPr>
          <w:rFonts w:ascii="Arial" w:cs="Arial" w:eastAsia="Arial" w:hAnsi="Arial"/>
          <w:sz w:val="14"/>
          <w:szCs w:val="14"/>
          <w:color w:val="2D3243"/>
        </w:rPr>
        <w:t>Table of Contents</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336FF"/>
        </w:rPr>
        <w:t>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-1126490</wp:posOffset>
            </wp:positionV>
            <wp:extent cx="822960" cy="8229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336FF"/>
        </w:rPr>
        <w:t>Zollars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Age: 66</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36FF"/>
        </w:rPr>
        <w:t>Director Since: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60"/>
        <w:spacing w:after="0" w:line="341" w:lineRule="auto"/>
        <w:rPr>
          <w:sz w:val="20"/>
          <w:szCs w:val="20"/>
          <w:color w:val="auto"/>
        </w:rPr>
      </w:pPr>
      <w:r>
        <w:rPr>
          <w:rFonts w:ascii="Arial" w:cs="Arial" w:eastAsia="Arial" w:hAnsi="Arial"/>
          <w:sz w:val="16"/>
          <w:szCs w:val="16"/>
          <w:b w:val="1"/>
          <w:bCs w:val="1"/>
          <w:color w:val="2D3243"/>
        </w:rPr>
        <w:t xml:space="preserve">Robert Zollars, </w:t>
      </w:r>
      <w:r>
        <w:rPr>
          <w:rFonts w:ascii="Arial" w:cs="Arial" w:eastAsia="Arial" w:hAnsi="Arial"/>
          <w:sz w:val="16"/>
          <w:szCs w:val="16"/>
          <w:color w:val="2D3243"/>
        </w:rPr>
        <w:t>age 66, has served as a member of our Board of Directors since December 2013. Mr.</w:t>
      </w:r>
      <w:r>
        <w:rPr>
          <w:rFonts w:ascii="Arial" w:cs="Arial" w:eastAsia="Arial" w:hAnsi="Arial"/>
          <w:sz w:val="16"/>
          <w:szCs w:val="16"/>
          <w:b w:val="1"/>
          <w:bCs w:val="1"/>
          <w:color w:val="2D3243"/>
        </w:rPr>
        <w:t xml:space="preserve"> </w:t>
      </w:r>
      <w:r>
        <w:rPr>
          <w:rFonts w:ascii="Arial" w:cs="Arial" w:eastAsia="Arial" w:hAnsi="Arial"/>
          <w:sz w:val="16"/>
          <w:szCs w:val="16"/>
          <w:color w:val="2D3243"/>
        </w:rPr>
        <w:t>Zollars served as Chairman and CEO of Vocera Communications, Inc. from 2007 to 2013, then executive chairman until May 2014 and as Vocera’s chairman until June 2015. Mr. Zollars served on the board of directors of Change Healthcare Inc., a technology provider to the healthcare industry from 2017 to 2022, when it was sold to United Healthcare. Since November 2014, Mr. Zollars has served in various roles at Frazier Healthcare Partners, a private growth equity firm, including currently as a senior advisor and previously as an operating partner. He served as executive chairman of Parata, a Frazier portfolio company, from 2015 to 2022 when it was sold to Becton Dickinson. From February 2005 to February 2016, Mr. Zollars served on the board of directors of Diamond Foods, Inc., a packaged foods company that was acquired by Snyder’s-Lance, Inc. in February 2016, and as chairman of its board of directors from February 2012 to February 2016. From May 2004 to November 2017, Mr. Zollars served as a member of the board of directors of VWR International, LLC, a global supplier to the life sciences industry. Mr. Zollars holds a B.S. degree in Marketing from Arizona State University, where he is currently a Trustee, and an M.B.A. degree in Finance from John F. Kennedy University. Mr. Zollars is a board leadership fellow with the National Association of Corporate Directors.</w:t>
      </w:r>
    </w:p>
    <w:p>
      <w:pPr>
        <w:spacing w:after="0" w:line="61" w:lineRule="exact"/>
        <w:rPr>
          <w:sz w:val="20"/>
          <w:szCs w:val="20"/>
          <w:color w:val="auto"/>
        </w:rPr>
      </w:pPr>
    </w:p>
    <w:p>
      <w:pPr>
        <w:ind w:right="2040"/>
        <w:spacing w:after="0" w:line="349" w:lineRule="auto"/>
        <w:rPr>
          <w:sz w:val="20"/>
          <w:szCs w:val="20"/>
          <w:color w:val="auto"/>
        </w:rPr>
      </w:pPr>
      <w:r>
        <w:rPr>
          <w:rFonts w:ascii="Arial" w:cs="Arial" w:eastAsia="Arial" w:hAnsi="Arial"/>
          <w:sz w:val="16"/>
          <w:szCs w:val="16"/>
          <w:b w:val="1"/>
          <w:bCs w:val="1"/>
          <w:color w:val="0336FF"/>
        </w:rPr>
        <w:t>Mr. Zollars shall continue to serve on our Board of Directors because of his experience as a Chief Executive Officer and service on the boards of directors of numerous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269240</wp:posOffset>
            </wp:positionV>
            <wp:extent cx="59664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440"/>
            <w:col w:w="922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Director Skills Matrix</w:t>
      </w:r>
      <w:r>
        <w:rPr>
          <w:rFonts w:ascii="Arial" w:cs="Arial" w:eastAsia="Arial" w:hAnsi="Arial"/>
          <w:sz w:val="23"/>
          <w:szCs w:val="23"/>
          <w:b w:val="1"/>
          <w:bCs w:val="1"/>
          <w:color w:val="2D3243"/>
          <w:vertAlign w:val="superscript"/>
        </w:rPr>
        <w:t>(1)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60" w:type="dxa"/>
            <w:vAlign w:val="bottom"/>
            <w:shd w:val="clear" w:color="auto" w:fill="0336FF"/>
          </w:tcPr>
          <w:p>
            <w:pPr>
              <w:spacing w:after="0"/>
              <w:rPr>
                <w:sz w:val="16"/>
                <w:szCs w:val="16"/>
                <w:color w:val="auto"/>
              </w:rPr>
            </w:pPr>
          </w:p>
        </w:tc>
        <w:tc>
          <w:tcPr>
            <w:tcW w:w="1100" w:type="dxa"/>
            <w:vAlign w:val="bottom"/>
            <w:shd w:val="clear" w:color="auto" w:fill="0336FF"/>
          </w:tcPr>
          <w:p>
            <w:pPr>
              <w:spacing w:after="0"/>
              <w:rPr>
                <w:sz w:val="16"/>
                <w:szCs w:val="16"/>
                <w:color w:val="auto"/>
              </w:rPr>
            </w:pPr>
          </w:p>
        </w:tc>
        <w:tc>
          <w:tcPr>
            <w:tcW w:w="1300" w:type="dxa"/>
            <w:vAlign w:val="bottom"/>
            <w:shd w:val="clear" w:color="auto" w:fill="0336FF"/>
          </w:tcPr>
          <w:p>
            <w:pPr>
              <w:spacing w:after="0"/>
              <w:rPr>
                <w:sz w:val="16"/>
                <w:szCs w:val="16"/>
                <w:color w:val="auto"/>
              </w:rPr>
            </w:pPr>
          </w:p>
        </w:tc>
        <w:tc>
          <w:tcPr>
            <w:tcW w:w="1160" w:type="dxa"/>
            <w:vAlign w:val="bottom"/>
            <w:shd w:val="clear" w:color="auto" w:fill="0336FF"/>
          </w:tcPr>
          <w:p>
            <w:pPr>
              <w:spacing w:after="0"/>
              <w:rPr>
                <w:sz w:val="16"/>
                <w:szCs w:val="16"/>
                <w:color w:val="auto"/>
              </w:rPr>
            </w:pPr>
          </w:p>
        </w:tc>
        <w:tc>
          <w:tcPr>
            <w:tcW w:w="980" w:type="dxa"/>
            <w:vAlign w:val="bottom"/>
            <w:shd w:val="clear" w:color="auto" w:fill="0336FF"/>
          </w:tcPr>
          <w:p>
            <w:pPr>
              <w:spacing w:after="0"/>
              <w:rPr>
                <w:sz w:val="16"/>
                <w:szCs w:val="16"/>
                <w:color w:val="auto"/>
              </w:rPr>
            </w:pPr>
          </w:p>
        </w:tc>
        <w:tc>
          <w:tcPr>
            <w:tcW w:w="1580" w:type="dxa"/>
            <w:vAlign w:val="bottom"/>
            <w:shd w:val="clear" w:color="auto" w:fill="0336FF"/>
          </w:tcPr>
          <w:p>
            <w:pPr>
              <w:spacing w:after="0"/>
              <w:rPr>
                <w:sz w:val="16"/>
                <w:szCs w:val="16"/>
                <w:color w:val="auto"/>
              </w:rPr>
            </w:pPr>
          </w:p>
        </w:tc>
        <w:tc>
          <w:tcPr>
            <w:tcW w:w="2360" w:type="dxa"/>
            <w:vAlign w:val="bottom"/>
            <w:shd w:val="clear" w:color="auto" w:fill="0336FF"/>
          </w:tcPr>
          <w:p>
            <w:pPr>
              <w:spacing w:after="0"/>
              <w:rPr>
                <w:sz w:val="16"/>
                <w:szCs w:val="16"/>
                <w:color w:val="auto"/>
              </w:rPr>
            </w:pPr>
          </w:p>
        </w:tc>
        <w:tc>
          <w:tcPr>
            <w:tcW w:w="1200" w:type="dxa"/>
            <w:vAlign w:val="bottom"/>
            <w:shd w:val="clear" w:color="auto" w:fill="0336FF"/>
          </w:tcPr>
          <w:p>
            <w:pPr>
              <w:jc w:val="center"/>
              <w:spacing w:after="0"/>
              <w:rPr>
                <w:sz w:val="20"/>
                <w:szCs w:val="20"/>
                <w:color w:val="auto"/>
              </w:rPr>
            </w:pPr>
            <w:r>
              <w:rPr>
                <w:rFonts w:ascii="Arial" w:cs="Arial" w:eastAsia="Arial" w:hAnsi="Arial"/>
                <w:sz w:val="14"/>
                <w:szCs w:val="14"/>
                <w:b w:val="1"/>
                <w:bCs w:val="1"/>
                <w:color w:val="FFFFFF"/>
              </w:rPr>
              <w:t>Cybersecurity,</w:t>
            </w:r>
          </w:p>
        </w:tc>
        <w:tc>
          <w:tcPr>
            <w:tcW w:w="0" w:type="dxa"/>
            <w:vAlign w:val="bottom"/>
          </w:tcPr>
          <w:p>
            <w:pPr>
              <w:spacing w:after="0"/>
              <w:rPr>
                <w:sz w:val="1"/>
                <w:szCs w:val="1"/>
                <w:color w:val="auto"/>
              </w:rPr>
            </w:pPr>
          </w:p>
        </w:tc>
      </w:tr>
      <w:tr>
        <w:trPr>
          <w:trHeight w:val="175"/>
        </w:trPr>
        <w:tc>
          <w:tcPr>
            <w:tcW w:w="1560" w:type="dxa"/>
            <w:vAlign w:val="bottom"/>
            <w:shd w:val="clear" w:color="auto" w:fill="0336FF"/>
          </w:tcPr>
          <w:p>
            <w:pPr>
              <w:spacing w:after="0"/>
              <w:rPr>
                <w:sz w:val="15"/>
                <w:szCs w:val="15"/>
                <w:color w:val="auto"/>
              </w:rPr>
            </w:pPr>
          </w:p>
        </w:tc>
        <w:tc>
          <w:tcPr>
            <w:tcW w:w="1100" w:type="dxa"/>
            <w:vAlign w:val="bottom"/>
            <w:vMerge w:val="restart"/>
            <w:shd w:val="clear" w:color="auto" w:fill="0336FF"/>
          </w:tcPr>
          <w:p>
            <w:pPr>
              <w:jc w:val="center"/>
              <w:ind w:left="8"/>
              <w:spacing w:after="0"/>
              <w:rPr>
                <w:sz w:val="20"/>
                <w:szCs w:val="20"/>
                <w:color w:val="auto"/>
              </w:rPr>
            </w:pPr>
            <w:r>
              <w:rPr>
                <w:rFonts w:ascii="Arial" w:cs="Arial" w:eastAsia="Arial" w:hAnsi="Arial"/>
                <w:sz w:val="14"/>
                <w:szCs w:val="14"/>
                <w:b w:val="1"/>
                <w:bCs w:val="1"/>
                <w:color w:val="FFFFFF"/>
              </w:rPr>
              <w:t>Executive</w:t>
            </w:r>
          </w:p>
        </w:tc>
        <w:tc>
          <w:tcPr>
            <w:tcW w:w="1300" w:type="dxa"/>
            <w:vAlign w:val="bottom"/>
            <w:vMerge w:val="restart"/>
            <w:shd w:val="clear" w:color="auto" w:fill="0336FF"/>
          </w:tcPr>
          <w:p>
            <w:pPr>
              <w:jc w:val="center"/>
              <w:spacing w:after="0"/>
              <w:rPr>
                <w:sz w:val="20"/>
                <w:szCs w:val="20"/>
                <w:color w:val="auto"/>
              </w:rPr>
            </w:pPr>
            <w:r>
              <w:rPr>
                <w:rFonts w:ascii="Arial" w:cs="Arial" w:eastAsia="Arial" w:hAnsi="Arial"/>
                <w:sz w:val="14"/>
                <w:szCs w:val="14"/>
                <w:b w:val="1"/>
                <w:bCs w:val="1"/>
                <w:color w:val="FFFFFF"/>
              </w:rPr>
              <w:t>Other public</w:t>
            </w:r>
          </w:p>
        </w:tc>
        <w:tc>
          <w:tcPr>
            <w:tcW w:w="1160" w:type="dxa"/>
            <w:vAlign w:val="bottom"/>
            <w:vMerge w:val="restart"/>
            <w:shd w:val="clear" w:color="auto" w:fill="0336FF"/>
          </w:tcPr>
          <w:p>
            <w:pPr>
              <w:jc w:val="center"/>
              <w:ind w:right="48"/>
              <w:spacing w:after="0"/>
              <w:rPr>
                <w:sz w:val="20"/>
                <w:szCs w:val="20"/>
                <w:color w:val="auto"/>
              </w:rPr>
            </w:pPr>
            <w:r>
              <w:rPr>
                <w:rFonts w:ascii="Arial" w:cs="Arial" w:eastAsia="Arial" w:hAnsi="Arial"/>
                <w:sz w:val="14"/>
                <w:szCs w:val="14"/>
                <w:b w:val="1"/>
                <w:bCs w:val="1"/>
                <w:color w:val="FFFFFF"/>
              </w:rPr>
              <w:t>Technology</w:t>
            </w:r>
          </w:p>
        </w:tc>
        <w:tc>
          <w:tcPr>
            <w:tcW w:w="980" w:type="dxa"/>
            <w:vAlign w:val="bottom"/>
            <w:shd w:val="clear" w:color="auto" w:fill="0336FF"/>
          </w:tcPr>
          <w:p>
            <w:pPr>
              <w:spacing w:after="0"/>
              <w:rPr>
                <w:sz w:val="15"/>
                <w:szCs w:val="15"/>
                <w:color w:val="auto"/>
              </w:rPr>
            </w:pPr>
          </w:p>
        </w:tc>
        <w:tc>
          <w:tcPr>
            <w:tcW w:w="1580" w:type="dxa"/>
            <w:vAlign w:val="bottom"/>
            <w:vMerge w:val="restart"/>
            <w:shd w:val="clear" w:color="auto" w:fill="0336FF"/>
          </w:tcPr>
          <w:p>
            <w:pPr>
              <w:jc w:val="center"/>
              <w:ind w:left="28"/>
              <w:spacing w:after="0"/>
              <w:rPr>
                <w:sz w:val="20"/>
                <w:szCs w:val="20"/>
                <w:color w:val="auto"/>
              </w:rPr>
            </w:pPr>
            <w:r>
              <w:rPr>
                <w:rFonts w:ascii="Arial" w:cs="Arial" w:eastAsia="Arial" w:hAnsi="Arial"/>
                <w:sz w:val="14"/>
                <w:szCs w:val="14"/>
                <w:b w:val="1"/>
                <w:bCs w:val="1"/>
                <w:color w:val="FFFFFF"/>
              </w:rPr>
              <w:t>Sales/marketing.go-</w:t>
            </w:r>
          </w:p>
        </w:tc>
        <w:tc>
          <w:tcPr>
            <w:tcW w:w="2360" w:type="dxa"/>
            <w:vAlign w:val="bottom"/>
            <w:vMerge w:val="restart"/>
            <w:shd w:val="clear" w:color="auto" w:fill="0336FF"/>
          </w:tcPr>
          <w:p>
            <w:pPr>
              <w:ind w:left="40"/>
              <w:spacing w:after="0"/>
              <w:rPr>
                <w:sz w:val="20"/>
                <w:szCs w:val="20"/>
                <w:color w:val="auto"/>
              </w:rPr>
            </w:pPr>
            <w:r>
              <w:rPr>
                <w:rFonts w:ascii="Arial" w:cs="Arial" w:eastAsia="Arial" w:hAnsi="Arial"/>
                <w:sz w:val="14"/>
                <w:szCs w:val="14"/>
                <w:b w:val="1"/>
                <w:bCs w:val="1"/>
                <w:color w:val="FFFFFF"/>
              </w:rPr>
              <w:t>Enterprise risk</w:t>
            </w:r>
          </w:p>
        </w:tc>
        <w:tc>
          <w:tcPr>
            <w:tcW w:w="1200" w:type="dxa"/>
            <w:vAlign w:val="bottom"/>
            <w:shd w:val="clear" w:color="auto" w:fill="0336FF"/>
          </w:tcPr>
          <w:p>
            <w:pPr>
              <w:jc w:val="center"/>
              <w:spacing w:after="0"/>
              <w:rPr>
                <w:sz w:val="20"/>
                <w:szCs w:val="20"/>
                <w:color w:val="auto"/>
              </w:rPr>
            </w:pPr>
            <w:r>
              <w:rPr>
                <w:rFonts w:ascii="Arial" w:cs="Arial" w:eastAsia="Arial" w:hAnsi="Arial"/>
                <w:sz w:val="14"/>
                <w:szCs w:val="14"/>
                <w:b w:val="1"/>
                <w:bCs w:val="1"/>
                <w:color w:val="FFFFFF"/>
              </w:rPr>
              <w:t>privacy and</w:t>
            </w:r>
          </w:p>
        </w:tc>
        <w:tc>
          <w:tcPr>
            <w:tcW w:w="0" w:type="dxa"/>
            <w:vAlign w:val="bottom"/>
          </w:tcPr>
          <w:p>
            <w:pPr>
              <w:spacing w:after="0"/>
              <w:rPr>
                <w:sz w:val="1"/>
                <w:szCs w:val="1"/>
                <w:color w:val="auto"/>
              </w:rPr>
            </w:pPr>
          </w:p>
        </w:tc>
      </w:tr>
      <w:tr>
        <w:trPr>
          <w:trHeight w:val="162"/>
        </w:trPr>
        <w:tc>
          <w:tcPr>
            <w:tcW w:w="1560" w:type="dxa"/>
            <w:vAlign w:val="bottom"/>
            <w:shd w:val="clear" w:color="auto" w:fill="0336FF"/>
          </w:tcPr>
          <w:p>
            <w:pPr>
              <w:spacing w:after="0"/>
              <w:rPr>
                <w:sz w:val="14"/>
                <w:szCs w:val="14"/>
                <w:color w:val="auto"/>
              </w:rPr>
            </w:pPr>
          </w:p>
        </w:tc>
        <w:tc>
          <w:tcPr>
            <w:tcW w:w="1100" w:type="dxa"/>
            <w:vAlign w:val="bottom"/>
            <w:vMerge w:val="continue"/>
            <w:shd w:val="clear" w:color="auto" w:fill="0336FF"/>
          </w:tcPr>
          <w:p>
            <w:pPr>
              <w:spacing w:after="0"/>
              <w:rPr>
                <w:sz w:val="14"/>
                <w:szCs w:val="14"/>
                <w:color w:val="auto"/>
              </w:rPr>
            </w:pPr>
          </w:p>
        </w:tc>
        <w:tc>
          <w:tcPr>
            <w:tcW w:w="1300" w:type="dxa"/>
            <w:vAlign w:val="bottom"/>
            <w:vMerge w:val="continue"/>
            <w:shd w:val="clear" w:color="auto" w:fill="0336FF"/>
          </w:tcPr>
          <w:p>
            <w:pPr>
              <w:spacing w:after="0"/>
              <w:rPr>
                <w:sz w:val="14"/>
                <w:szCs w:val="14"/>
                <w:color w:val="auto"/>
              </w:rPr>
            </w:pPr>
          </w:p>
        </w:tc>
        <w:tc>
          <w:tcPr>
            <w:tcW w:w="1160" w:type="dxa"/>
            <w:vAlign w:val="bottom"/>
            <w:vMerge w:val="continue"/>
            <w:shd w:val="clear" w:color="auto" w:fill="0336FF"/>
          </w:tcPr>
          <w:p>
            <w:pPr>
              <w:spacing w:after="0"/>
              <w:rPr>
                <w:sz w:val="14"/>
                <w:szCs w:val="14"/>
                <w:color w:val="auto"/>
              </w:rPr>
            </w:pPr>
          </w:p>
        </w:tc>
        <w:tc>
          <w:tcPr>
            <w:tcW w:w="980" w:type="dxa"/>
            <w:vAlign w:val="bottom"/>
            <w:shd w:val="clear" w:color="auto" w:fill="0336FF"/>
          </w:tcPr>
          <w:p>
            <w:pPr>
              <w:spacing w:after="0"/>
              <w:rPr>
                <w:sz w:val="14"/>
                <w:szCs w:val="14"/>
                <w:color w:val="auto"/>
              </w:rPr>
            </w:pPr>
          </w:p>
        </w:tc>
        <w:tc>
          <w:tcPr>
            <w:tcW w:w="1580" w:type="dxa"/>
            <w:vAlign w:val="bottom"/>
            <w:vMerge w:val="continue"/>
            <w:shd w:val="clear" w:color="auto" w:fill="0336FF"/>
          </w:tcPr>
          <w:p>
            <w:pPr>
              <w:spacing w:after="0"/>
              <w:rPr>
                <w:sz w:val="14"/>
                <w:szCs w:val="14"/>
                <w:color w:val="auto"/>
              </w:rPr>
            </w:pPr>
          </w:p>
        </w:tc>
        <w:tc>
          <w:tcPr>
            <w:tcW w:w="2360" w:type="dxa"/>
            <w:vAlign w:val="bottom"/>
            <w:vMerge w:val="continue"/>
            <w:shd w:val="clear" w:color="auto" w:fill="0336FF"/>
          </w:tcPr>
          <w:p>
            <w:pPr>
              <w:spacing w:after="0"/>
              <w:rPr>
                <w:sz w:val="14"/>
                <w:szCs w:val="14"/>
                <w:color w:val="auto"/>
              </w:rPr>
            </w:pPr>
          </w:p>
        </w:tc>
        <w:tc>
          <w:tcPr>
            <w:tcW w:w="1200" w:type="dxa"/>
            <w:vAlign w:val="bottom"/>
            <w:shd w:val="clear" w:color="auto" w:fill="0336FF"/>
          </w:tcPr>
          <w:p>
            <w:pPr>
              <w:jc w:val="center"/>
              <w:spacing w:after="0"/>
              <w:rPr>
                <w:sz w:val="20"/>
                <w:szCs w:val="20"/>
                <w:color w:val="auto"/>
              </w:rPr>
            </w:pPr>
            <w:r>
              <w:rPr>
                <w:rFonts w:ascii="Arial" w:cs="Arial" w:eastAsia="Arial" w:hAnsi="Arial"/>
                <w:sz w:val="14"/>
                <w:szCs w:val="14"/>
                <w:b w:val="1"/>
                <w:bCs w:val="1"/>
                <w:color w:val="FFFFFF"/>
              </w:rPr>
              <w:t>information</w:t>
            </w:r>
          </w:p>
        </w:tc>
        <w:tc>
          <w:tcPr>
            <w:tcW w:w="0" w:type="dxa"/>
            <w:vAlign w:val="bottom"/>
          </w:tcPr>
          <w:p>
            <w:pPr>
              <w:spacing w:after="0"/>
              <w:rPr>
                <w:sz w:val="1"/>
                <w:szCs w:val="1"/>
                <w:color w:val="auto"/>
              </w:rPr>
            </w:pPr>
          </w:p>
        </w:tc>
      </w:tr>
      <w:tr>
        <w:trPr>
          <w:trHeight w:val="210"/>
        </w:trPr>
        <w:tc>
          <w:tcPr>
            <w:tcW w:w="156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1100" w:type="dxa"/>
            <w:vAlign w:val="bottom"/>
            <w:shd w:val="clear" w:color="auto" w:fill="0336FF"/>
          </w:tcPr>
          <w:p>
            <w:pPr>
              <w:jc w:val="center"/>
              <w:ind w:left="8"/>
              <w:spacing w:after="0"/>
              <w:rPr>
                <w:sz w:val="20"/>
                <w:szCs w:val="20"/>
                <w:color w:val="auto"/>
              </w:rPr>
            </w:pPr>
            <w:r>
              <w:rPr>
                <w:rFonts w:ascii="Arial" w:cs="Arial" w:eastAsia="Arial" w:hAnsi="Arial"/>
                <w:sz w:val="14"/>
                <w:szCs w:val="14"/>
                <w:b w:val="1"/>
                <w:bCs w:val="1"/>
                <w:color w:val="FFFFFF"/>
              </w:rPr>
              <w:t>Leadership</w:t>
            </w:r>
          </w:p>
        </w:tc>
        <w:tc>
          <w:tcPr>
            <w:tcW w:w="1300" w:type="dxa"/>
            <w:vAlign w:val="bottom"/>
            <w:shd w:val="clear" w:color="auto" w:fill="0336FF"/>
          </w:tcPr>
          <w:p>
            <w:pPr>
              <w:jc w:val="center"/>
              <w:spacing w:after="0"/>
              <w:rPr>
                <w:sz w:val="20"/>
                <w:szCs w:val="20"/>
                <w:color w:val="auto"/>
              </w:rPr>
            </w:pPr>
            <w:r>
              <w:rPr>
                <w:rFonts w:ascii="Arial" w:cs="Arial" w:eastAsia="Arial" w:hAnsi="Arial"/>
                <w:sz w:val="14"/>
                <w:szCs w:val="14"/>
                <w:b w:val="1"/>
                <w:bCs w:val="1"/>
                <w:color w:val="FFFFFF"/>
              </w:rPr>
              <w:t>company board</w:t>
            </w:r>
          </w:p>
        </w:tc>
        <w:tc>
          <w:tcPr>
            <w:tcW w:w="1160" w:type="dxa"/>
            <w:vAlign w:val="bottom"/>
            <w:shd w:val="clear" w:color="auto" w:fill="0336FF"/>
          </w:tcPr>
          <w:p>
            <w:pPr>
              <w:jc w:val="center"/>
              <w:ind w:right="48"/>
              <w:spacing w:after="0"/>
              <w:rPr>
                <w:sz w:val="20"/>
                <w:szCs w:val="20"/>
                <w:color w:val="auto"/>
              </w:rPr>
            </w:pPr>
            <w:r>
              <w:rPr>
                <w:rFonts w:ascii="Arial" w:cs="Arial" w:eastAsia="Arial" w:hAnsi="Arial"/>
                <w:sz w:val="14"/>
                <w:szCs w:val="14"/>
                <w:b w:val="1"/>
                <w:bCs w:val="1"/>
                <w:color w:val="FFFFFF"/>
              </w:rPr>
              <w:t>Industry</w:t>
            </w:r>
          </w:p>
        </w:tc>
        <w:tc>
          <w:tcPr>
            <w:tcW w:w="980" w:type="dxa"/>
            <w:vAlign w:val="bottom"/>
            <w:shd w:val="clear" w:color="auto" w:fill="0336FF"/>
          </w:tcPr>
          <w:p>
            <w:pPr>
              <w:ind w:left="220"/>
              <w:spacing w:after="0"/>
              <w:rPr>
                <w:sz w:val="20"/>
                <w:szCs w:val="20"/>
                <w:color w:val="auto"/>
              </w:rPr>
            </w:pPr>
            <w:r>
              <w:rPr>
                <w:rFonts w:ascii="Arial" w:cs="Arial" w:eastAsia="Arial" w:hAnsi="Arial"/>
                <w:sz w:val="14"/>
                <w:szCs w:val="14"/>
                <w:b w:val="1"/>
                <w:bCs w:val="1"/>
                <w:color w:val="FFFFFF"/>
              </w:rPr>
              <w:t>Financial</w:t>
            </w:r>
          </w:p>
        </w:tc>
        <w:tc>
          <w:tcPr>
            <w:tcW w:w="1580" w:type="dxa"/>
            <w:vAlign w:val="bottom"/>
            <w:shd w:val="clear" w:color="auto" w:fill="0336FF"/>
          </w:tcPr>
          <w:p>
            <w:pPr>
              <w:jc w:val="center"/>
              <w:ind w:left="8"/>
              <w:spacing w:after="0"/>
              <w:rPr>
                <w:sz w:val="20"/>
                <w:szCs w:val="20"/>
                <w:color w:val="auto"/>
              </w:rPr>
            </w:pPr>
            <w:r>
              <w:rPr>
                <w:rFonts w:ascii="Arial" w:cs="Arial" w:eastAsia="Arial" w:hAnsi="Arial"/>
                <w:sz w:val="14"/>
                <w:szCs w:val="14"/>
                <w:b w:val="1"/>
                <w:bCs w:val="1"/>
                <w:color w:val="FFFFFF"/>
              </w:rPr>
              <w:t>to-market</w:t>
            </w:r>
          </w:p>
        </w:tc>
        <w:tc>
          <w:tcPr>
            <w:tcW w:w="236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management   Cloud business</w:t>
            </w:r>
          </w:p>
        </w:tc>
        <w:tc>
          <w:tcPr>
            <w:tcW w:w="1200" w:type="dxa"/>
            <w:vAlign w:val="bottom"/>
            <w:shd w:val="clear" w:color="auto" w:fill="0336FF"/>
          </w:tcPr>
          <w:p>
            <w:pPr>
              <w:jc w:val="center"/>
              <w:spacing w:after="0"/>
              <w:rPr>
                <w:sz w:val="20"/>
                <w:szCs w:val="20"/>
                <w:color w:val="auto"/>
              </w:rPr>
            </w:pPr>
            <w:r>
              <w:rPr>
                <w:rFonts w:ascii="Arial" w:cs="Arial" w:eastAsia="Arial" w:hAnsi="Arial"/>
                <w:sz w:val="14"/>
                <w:szCs w:val="14"/>
                <w:b w:val="1"/>
                <w:bCs w:val="1"/>
                <w:color w:val="FFFFFF"/>
              </w:rPr>
              <w:t>security</w:t>
            </w:r>
          </w:p>
        </w:tc>
        <w:tc>
          <w:tcPr>
            <w:tcW w:w="0" w:type="dxa"/>
            <w:vAlign w:val="bottom"/>
          </w:tcPr>
          <w:p>
            <w:pPr>
              <w:spacing w:after="0"/>
              <w:rPr>
                <w:sz w:val="1"/>
                <w:szCs w:val="1"/>
                <w:color w:val="auto"/>
              </w:rPr>
            </w:pPr>
          </w:p>
        </w:tc>
      </w:tr>
      <w:tr>
        <w:trPr>
          <w:trHeight w:val="96"/>
        </w:trPr>
        <w:tc>
          <w:tcPr>
            <w:tcW w:w="1560" w:type="dxa"/>
            <w:vAlign w:val="bottom"/>
            <w:shd w:val="clear" w:color="auto" w:fill="0336FF"/>
          </w:tcPr>
          <w:p>
            <w:pPr>
              <w:spacing w:after="0"/>
              <w:rPr>
                <w:sz w:val="8"/>
                <w:szCs w:val="8"/>
                <w:color w:val="auto"/>
              </w:rPr>
            </w:pPr>
          </w:p>
        </w:tc>
        <w:tc>
          <w:tcPr>
            <w:tcW w:w="1100" w:type="dxa"/>
            <w:vAlign w:val="bottom"/>
            <w:shd w:val="clear" w:color="auto" w:fill="0336FF"/>
          </w:tcPr>
          <w:p>
            <w:pPr>
              <w:spacing w:after="0"/>
              <w:rPr>
                <w:sz w:val="8"/>
                <w:szCs w:val="8"/>
                <w:color w:val="auto"/>
              </w:rPr>
            </w:pPr>
          </w:p>
        </w:tc>
        <w:tc>
          <w:tcPr>
            <w:tcW w:w="1300" w:type="dxa"/>
            <w:vAlign w:val="bottom"/>
            <w:shd w:val="clear" w:color="auto" w:fill="0336FF"/>
          </w:tcPr>
          <w:p>
            <w:pPr>
              <w:spacing w:after="0"/>
              <w:rPr>
                <w:sz w:val="8"/>
                <w:szCs w:val="8"/>
                <w:color w:val="auto"/>
              </w:rPr>
            </w:pPr>
          </w:p>
        </w:tc>
        <w:tc>
          <w:tcPr>
            <w:tcW w:w="1160" w:type="dxa"/>
            <w:vAlign w:val="bottom"/>
            <w:shd w:val="clear" w:color="auto" w:fill="0336FF"/>
          </w:tcPr>
          <w:p>
            <w:pPr>
              <w:spacing w:after="0"/>
              <w:rPr>
                <w:sz w:val="8"/>
                <w:szCs w:val="8"/>
                <w:color w:val="auto"/>
              </w:rPr>
            </w:pPr>
          </w:p>
        </w:tc>
        <w:tc>
          <w:tcPr>
            <w:tcW w:w="980" w:type="dxa"/>
            <w:vAlign w:val="bottom"/>
            <w:shd w:val="clear" w:color="auto" w:fill="0336FF"/>
          </w:tcPr>
          <w:p>
            <w:pPr>
              <w:spacing w:after="0"/>
              <w:rPr>
                <w:sz w:val="8"/>
                <w:szCs w:val="8"/>
                <w:color w:val="auto"/>
              </w:rPr>
            </w:pPr>
          </w:p>
        </w:tc>
        <w:tc>
          <w:tcPr>
            <w:tcW w:w="1580" w:type="dxa"/>
            <w:vAlign w:val="bottom"/>
            <w:shd w:val="clear" w:color="auto" w:fill="0336FF"/>
          </w:tcPr>
          <w:p>
            <w:pPr>
              <w:spacing w:after="0"/>
              <w:rPr>
                <w:sz w:val="8"/>
                <w:szCs w:val="8"/>
                <w:color w:val="auto"/>
              </w:rPr>
            </w:pPr>
          </w:p>
        </w:tc>
        <w:tc>
          <w:tcPr>
            <w:tcW w:w="2360" w:type="dxa"/>
            <w:vAlign w:val="bottom"/>
            <w:shd w:val="clear" w:color="auto" w:fill="0336FF"/>
          </w:tcPr>
          <w:p>
            <w:pPr>
              <w:spacing w:after="0"/>
              <w:rPr>
                <w:sz w:val="8"/>
                <w:szCs w:val="8"/>
                <w:color w:val="auto"/>
              </w:rPr>
            </w:pPr>
          </w:p>
        </w:tc>
        <w:tc>
          <w:tcPr>
            <w:tcW w:w="1200" w:type="dxa"/>
            <w:vAlign w:val="bottom"/>
            <w:shd w:val="clear" w:color="auto" w:fill="0336FF"/>
          </w:tcPr>
          <w:p>
            <w:pPr>
              <w:spacing w:after="0"/>
              <w:rPr>
                <w:sz w:val="8"/>
                <w:szCs w:val="8"/>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1">
            <w:col w:w="11240"/>
          </w:cols>
          <w:pgMar w:left="320" w:top="184" w:right="339" w:bottom="1440" w:gutter="0" w:footer="0" w:header="0"/>
          <w:type w:val="continuous"/>
        </w:sectPr>
      </w:pP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Michael Burkland</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Jack Acosta</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Susan Barsamian</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Michael Burdiek</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David DeWalt</w:t>
      </w:r>
      <w:r>
        <w:rPr>
          <w:rFonts w:ascii="Arial" w:cs="Arial" w:eastAsia="Arial" w:hAnsi="Arial"/>
          <w:sz w:val="9"/>
          <w:szCs w:val="9"/>
          <w:b w:val="1"/>
          <w:bCs w:val="1"/>
          <w:color w:val="2D3243"/>
        </w:rPr>
        <w:t>(2)</w:t>
      </w:r>
    </w:p>
    <w:p>
      <w:pPr>
        <w:spacing w:after="0" w:line="177" w:lineRule="exact"/>
        <w:rPr>
          <w:sz w:val="20"/>
          <w:szCs w:val="20"/>
          <w:color w:val="auto"/>
        </w:rPr>
      </w:pPr>
    </w:p>
    <w:p>
      <w:pPr>
        <w:ind w:left="100" w:right="40"/>
        <w:spacing w:after="0" w:line="472" w:lineRule="auto"/>
        <w:rPr>
          <w:sz w:val="20"/>
          <w:szCs w:val="20"/>
          <w:color w:val="auto"/>
        </w:rPr>
      </w:pPr>
      <w:r>
        <w:rPr>
          <w:rFonts w:ascii="Arial" w:cs="Arial" w:eastAsia="Arial" w:hAnsi="Arial"/>
          <w:sz w:val="14"/>
          <w:szCs w:val="14"/>
          <w:b w:val="1"/>
          <w:bCs w:val="1"/>
          <w:color w:val="2D3243"/>
        </w:rPr>
        <w:t>Julie Iskow Jonathan Mariner David Welsh Robert Zollars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80" w:type="dxa"/>
            <w:vAlign w:val="bottom"/>
          </w:tcPr>
          <w:p>
            <w:pPr>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128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0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680" w:type="dxa"/>
            <w:vAlign w:val="bottom"/>
          </w:tcPr>
          <w:p>
            <w:pPr>
              <w:spacing w:after="0"/>
              <w:rPr>
                <w:sz w:val="21"/>
                <w:szCs w:val="21"/>
                <w:color w:val="auto"/>
              </w:rPr>
            </w:pPr>
          </w:p>
        </w:tc>
      </w:tr>
      <w:tr>
        <w:trPr>
          <w:trHeight w:val="310"/>
        </w:trPr>
        <w:tc>
          <w:tcPr>
            <w:tcW w:w="680" w:type="dxa"/>
            <w:vAlign w:val="bottom"/>
          </w:tcPr>
          <w:p>
            <w:pPr>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1280" w:type="dxa"/>
            <w:vAlign w:val="bottom"/>
          </w:tcPr>
          <w:p>
            <w:pPr>
              <w:spacing w:after="0"/>
              <w:rPr>
                <w:sz w:val="24"/>
                <w:szCs w:val="24"/>
                <w:color w:val="auto"/>
              </w:rPr>
            </w:pPr>
          </w:p>
        </w:tc>
        <w:tc>
          <w:tcPr>
            <w:tcW w:w="124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0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680" w:type="dxa"/>
            <w:vAlign w:val="bottom"/>
          </w:tcPr>
          <w:p>
            <w:pPr>
              <w:ind w:left="520"/>
              <w:spacing w:after="0"/>
              <w:rPr>
                <w:sz w:val="20"/>
                <w:szCs w:val="20"/>
                <w:color w:val="auto"/>
              </w:rPr>
            </w:pPr>
            <w:r>
              <w:rPr>
                <w:rFonts w:ascii="Wingdings" w:cs="Wingdings" w:eastAsia="Wingdings" w:hAnsi="Wingdings"/>
                <w:sz w:val="22"/>
                <w:szCs w:val="22"/>
                <w:b w:val="1"/>
                <w:bCs w:val="1"/>
                <w:color w:val="0336FF"/>
                <w:w w:val="84"/>
              </w:rPr>
              <w:t>l</w:t>
            </w:r>
          </w:p>
        </w:tc>
      </w:tr>
      <w:tr>
        <w:trPr>
          <w:trHeight w:val="310"/>
        </w:trPr>
        <w:tc>
          <w:tcPr>
            <w:tcW w:w="680" w:type="dxa"/>
            <w:vAlign w:val="bottom"/>
          </w:tcPr>
          <w:p>
            <w:pPr>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128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0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680" w:type="dxa"/>
            <w:vAlign w:val="bottom"/>
          </w:tcPr>
          <w:p>
            <w:pPr>
              <w:ind w:left="520"/>
              <w:spacing w:after="0"/>
              <w:rPr>
                <w:sz w:val="20"/>
                <w:szCs w:val="20"/>
                <w:color w:val="auto"/>
              </w:rPr>
            </w:pPr>
            <w:r>
              <w:rPr>
                <w:rFonts w:ascii="Wingdings" w:cs="Wingdings" w:eastAsia="Wingdings" w:hAnsi="Wingdings"/>
                <w:sz w:val="22"/>
                <w:szCs w:val="22"/>
                <w:b w:val="1"/>
                <w:bCs w:val="1"/>
                <w:color w:val="0336FF"/>
                <w:w w:val="84"/>
              </w:rPr>
              <w:t>l</w:t>
            </w:r>
          </w:p>
        </w:tc>
      </w:tr>
      <w:tr>
        <w:trPr>
          <w:trHeight w:val="310"/>
        </w:trPr>
        <w:tc>
          <w:tcPr>
            <w:tcW w:w="680" w:type="dxa"/>
            <w:vAlign w:val="bottom"/>
          </w:tcPr>
          <w:p>
            <w:pPr>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128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0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680" w:type="dxa"/>
            <w:vAlign w:val="bottom"/>
          </w:tcPr>
          <w:p>
            <w:pPr>
              <w:ind w:left="520"/>
              <w:spacing w:after="0"/>
              <w:rPr>
                <w:sz w:val="20"/>
                <w:szCs w:val="20"/>
                <w:color w:val="auto"/>
              </w:rPr>
            </w:pPr>
            <w:r>
              <w:rPr>
                <w:rFonts w:ascii="Wingdings" w:cs="Wingdings" w:eastAsia="Wingdings" w:hAnsi="Wingdings"/>
                <w:sz w:val="22"/>
                <w:szCs w:val="22"/>
                <w:b w:val="1"/>
                <w:bCs w:val="1"/>
                <w:color w:val="0336FF"/>
                <w:w w:val="84"/>
              </w:rPr>
              <w:t>l</w:t>
            </w:r>
          </w:p>
        </w:tc>
      </w:tr>
      <w:tr>
        <w:trPr>
          <w:trHeight w:val="310"/>
        </w:trPr>
        <w:tc>
          <w:tcPr>
            <w:tcW w:w="680" w:type="dxa"/>
            <w:vAlign w:val="bottom"/>
          </w:tcPr>
          <w:p>
            <w:pPr>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128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0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680" w:type="dxa"/>
            <w:vAlign w:val="bottom"/>
          </w:tcPr>
          <w:p>
            <w:pPr>
              <w:ind w:left="520"/>
              <w:spacing w:after="0"/>
              <w:rPr>
                <w:sz w:val="20"/>
                <w:szCs w:val="20"/>
                <w:color w:val="auto"/>
              </w:rPr>
            </w:pPr>
            <w:r>
              <w:rPr>
                <w:rFonts w:ascii="Wingdings" w:cs="Wingdings" w:eastAsia="Wingdings" w:hAnsi="Wingdings"/>
                <w:sz w:val="22"/>
                <w:szCs w:val="22"/>
                <w:b w:val="1"/>
                <w:bCs w:val="1"/>
                <w:color w:val="0336FF"/>
                <w:w w:val="84"/>
              </w:rPr>
              <w:t>l</w:t>
            </w:r>
          </w:p>
        </w:tc>
      </w:tr>
      <w:tr>
        <w:trPr>
          <w:trHeight w:val="311"/>
        </w:trPr>
        <w:tc>
          <w:tcPr>
            <w:tcW w:w="680" w:type="dxa"/>
            <w:vAlign w:val="bottom"/>
          </w:tcPr>
          <w:p>
            <w:pPr>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spacing w:after="0"/>
              <w:rPr>
                <w:sz w:val="24"/>
                <w:szCs w:val="24"/>
                <w:color w:val="auto"/>
              </w:rPr>
            </w:pPr>
          </w:p>
        </w:tc>
        <w:tc>
          <w:tcPr>
            <w:tcW w:w="128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0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680" w:type="dxa"/>
            <w:vAlign w:val="bottom"/>
          </w:tcPr>
          <w:p>
            <w:pPr>
              <w:ind w:left="520"/>
              <w:spacing w:after="0"/>
              <w:rPr>
                <w:sz w:val="20"/>
                <w:szCs w:val="20"/>
                <w:color w:val="auto"/>
              </w:rPr>
            </w:pPr>
            <w:r>
              <w:rPr>
                <w:rFonts w:ascii="Wingdings" w:cs="Wingdings" w:eastAsia="Wingdings" w:hAnsi="Wingdings"/>
                <w:sz w:val="22"/>
                <w:szCs w:val="22"/>
                <w:b w:val="1"/>
                <w:bCs w:val="1"/>
                <w:color w:val="0336FF"/>
                <w:w w:val="84"/>
              </w:rPr>
              <w:t>l</w:t>
            </w:r>
          </w:p>
        </w:tc>
      </w:tr>
      <w:tr>
        <w:trPr>
          <w:trHeight w:val="310"/>
        </w:trPr>
        <w:tc>
          <w:tcPr>
            <w:tcW w:w="680" w:type="dxa"/>
            <w:vAlign w:val="bottom"/>
          </w:tcPr>
          <w:p>
            <w:pPr>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spacing w:after="0"/>
              <w:rPr>
                <w:sz w:val="24"/>
                <w:szCs w:val="24"/>
                <w:color w:val="auto"/>
              </w:rPr>
            </w:pPr>
          </w:p>
        </w:tc>
        <w:tc>
          <w:tcPr>
            <w:tcW w:w="124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1280" w:type="dxa"/>
            <w:vAlign w:val="bottom"/>
          </w:tcPr>
          <w:p>
            <w:pPr>
              <w:spacing w:after="0"/>
              <w:rPr>
                <w:sz w:val="24"/>
                <w:szCs w:val="24"/>
                <w:color w:val="auto"/>
              </w:rPr>
            </w:pPr>
          </w:p>
        </w:tc>
        <w:tc>
          <w:tcPr>
            <w:tcW w:w="124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10"/>
        </w:trPr>
        <w:tc>
          <w:tcPr>
            <w:tcW w:w="680" w:type="dxa"/>
            <w:vAlign w:val="bottom"/>
          </w:tcPr>
          <w:p>
            <w:pPr>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1280" w:type="dxa"/>
            <w:vAlign w:val="bottom"/>
          </w:tcPr>
          <w:p>
            <w:pPr>
              <w:spacing w:after="0"/>
              <w:rPr>
                <w:sz w:val="24"/>
                <w:szCs w:val="24"/>
                <w:color w:val="auto"/>
              </w:rPr>
            </w:pPr>
          </w:p>
        </w:tc>
        <w:tc>
          <w:tcPr>
            <w:tcW w:w="124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0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680" w:type="dxa"/>
            <w:vAlign w:val="bottom"/>
          </w:tcPr>
          <w:p>
            <w:pPr>
              <w:ind w:left="520"/>
              <w:spacing w:after="0"/>
              <w:rPr>
                <w:sz w:val="20"/>
                <w:szCs w:val="20"/>
                <w:color w:val="auto"/>
              </w:rPr>
            </w:pPr>
            <w:r>
              <w:rPr>
                <w:rFonts w:ascii="Wingdings" w:cs="Wingdings" w:eastAsia="Wingdings" w:hAnsi="Wingdings"/>
                <w:sz w:val="22"/>
                <w:szCs w:val="22"/>
                <w:b w:val="1"/>
                <w:bCs w:val="1"/>
                <w:color w:val="0336FF"/>
                <w:w w:val="84"/>
              </w:rPr>
              <w:t>l</w:t>
            </w:r>
          </w:p>
        </w:tc>
      </w:tr>
      <w:tr>
        <w:trPr>
          <w:trHeight w:val="310"/>
        </w:trPr>
        <w:tc>
          <w:tcPr>
            <w:tcW w:w="680" w:type="dxa"/>
            <w:vAlign w:val="bottom"/>
          </w:tcPr>
          <w:p>
            <w:pPr>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160" w:type="dxa"/>
            <w:vAlign w:val="bottom"/>
          </w:tcPr>
          <w:p>
            <w:pPr>
              <w:ind w:left="50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128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40" w:type="dxa"/>
            <w:vAlign w:val="bottom"/>
          </w:tcPr>
          <w:p>
            <w:pPr>
              <w:ind w:left="560"/>
              <w:spacing w:after="0"/>
              <w:rPr>
                <w:sz w:val="20"/>
                <w:szCs w:val="20"/>
                <w:color w:val="auto"/>
              </w:rPr>
            </w:pPr>
            <w:r>
              <w:rPr>
                <w:rFonts w:ascii="Wingdings" w:cs="Wingdings" w:eastAsia="Wingdings" w:hAnsi="Wingdings"/>
                <w:sz w:val="22"/>
                <w:szCs w:val="22"/>
                <w:b w:val="1"/>
                <w:bCs w:val="1"/>
                <w:color w:val="0336FF"/>
              </w:rPr>
              <w:t>l</w:t>
            </w:r>
          </w:p>
        </w:tc>
        <w:tc>
          <w:tcPr>
            <w:tcW w:w="1200" w:type="dxa"/>
            <w:vAlign w:val="bottom"/>
          </w:tcPr>
          <w:p>
            <w:pPr>
              <w:ind w:left="520"/>
              <w:spacing w:after="0"/>
              <w:rPr>
                <w:sz w:val="20"/>
                <w:szCs w:val="20"/>
                <w:color w:val="auto"/>
              </w:rPr>
            </w:pPr>
            <w:r>
              <w:rPr>
                <w:rFonts w:ascii="Wingdings" w:cs="Wingdings" w:eastAsia="Wingdings" w:hAnsi="Wingdings"/>
                <w:sz w:val="22"/>
                <w:szCs w:val="22"/>
                <w:b w:val="1"/>
                <w:bCs w:val="1"/>
                <w:color w:val="0336FF"/>
              </w:rPr>
              <w:t>l</w:t>
            </w: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23495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1340" w:space="720"/>
            <w:col w:w="9180"/>
          </w:cols>
          <w:pgMar w:left="320" w:top="1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00"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2D3243"/>
          <w:vertAlign w:val="superscript"/>
        </w:rPr>
      </w:pPr>
      <w:r>
        <w:rPr>
          <w:rFonts w:ascii="Arial" w:cs="Arial" w:eastAsia="Arial" w:hAnsi="Arial"/>
          <w:sz w:val="12"/>
          <w:szCs w:val="12"/>
          <w:color w:val="2D3243"/>
        </w:rPr>
        <w:t>As of the date of this proxy statement.</w:t>
      </w:r>
    </w:p>
    <w:p>
      <w:pPr>
        <w:spacing w:after="0" w:line="184" w:lineRule="exact"/>
        <w:rPr>
          <w:rFonts w:ascii="Arial" w:cs="Arial" w:eastAsia="Arial" w:hAnsi="Arial"/>
          <w:sz w:val="18"/>
          <w:szCs w:val="18"/>
          <w:color w:val="2D3243"/>
          <w:vertAlign w:val="superscript"/>
        </w:rPr>
      </w:pPr>
    </w:p>
    <w:p>
      <w:pPr>
        <w:ind w:left="160" w:hanging="152"/>
        <w:spacing w:after="0"/>
        <w:tabs>
          <w:tab w:leader="none" w:pos="160" w:val="left"/>
        </w:tabs>
        <w:numPr>
          <w:ilvl w:val="0"/>
          <w:numId w:val="10"/>
        </w:numPr>
        <w:rPr>
          <w:rFonts w:ascii="Arial" w:cs="Arial" w:eastAsia="Arial" w:hAnsi="Arial"/>
          <w:sz w:val="18"/>
          <w:szCs w:val="18"/>
          <w:color w:val="2D3243"/>
          <w:vertAlign w:val="superscript"/>
        </w:rPr>
      </w:pPr>
      <w:r>
        <w:rPr>
          <w:rFonts w:ascii="Arial" w:cs="Arial" w:eastAsia="Arial" w:hAnsi="Arial"/>
          <w:sz w:val="12"/>
          <w:szCs w:val="12"/>
          <w:color w:val="2D3243"/>
        </w:rPr>
        <w:t>Mr. DeWalt, a current Class I director, will serve the remainder of his term, which will end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3820"/>
        <w:spacing w:after="0"/>
        <w:tabs>
          <w:tab w:leader="none" w:pos="1860" w:val="left"/>
          <w:tab w:leader="none" w:pos="136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14</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1" w:name="page22"/>
    <w:bookmarkEnd w:id="21"/>
    <w:p>
      <w:pPr>
        <w:ind w:left="1010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58"/>
          <w:szCs w:val="58"/>
          <w:color w:val="2D3243"/>
        </w:rPr>
        <w:t>Corporate Governance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Director Independence</w:t>
      </w:r>
    </w:p>
    <w:p>
      <w:pPr>
        <w:spacing w:after="0" w:line="193" w:lineRule="exact"/>
        <w:rPr>
          <w:sz w:val="20"/>
          <w:szCs w:val="20"/>
          <w:color w:val="auto"/>
        </w:rPr>
      </w:pPr>
    </w:p>
    <w:p>
      <w:pPr>
        <w:ind w:right="60"/>
        <w:spacing w:after="0" w:line="348" w:lineRule="auto"/>
        <w:rPr>
          <w:sz w:val="20"/>
          <w:szCs w:val="20"/>
          <w:color w:val="auto"/>
        </w:rPr>
      </w:pPr>
      <w:r>
        <w:rPr>
          <w:rFonts w:ascii="Arial" w:cs="Arial" w:eastAsia="Arial" w:hAnsi="Arial"/>
          <w:sz w:val="16"/>
          <w:szCs w:val="16"/>
          <w:color w:val="2D3243"/>
        </w:rPr>
        <w:t>Our Board of Directors reviews at least annually the independence of each director. During these reviews, our Board of Directors considers transactions and relationships between each director (and his or her immediate family and affiliates) and our company and its management to determine whether any such transactions or relationships are inconsistent with a determination that the director is independent. This review is based primarily on responses of the directors to questions in a directors’ and officers’ questionnaire regarding employment, business, familial, compensation and other relationships with us and our management.</w:t>
      </w:r>
    </w:p>
    <w:p>
      <w:pPr>
        <w:spacing w:after="0" w:line="124" w:lineRule="exact"/>
        <w:rPr>
          <w:sz w:val="20"/>
          <w:szCs w:val="20"/>
          <w:color w:val="auto"/>
        </w:rPr>
      </w:pPr>
    </w:p>
    <w:p>
      <w:pPr>
        <w:ind w:right="220"/>
        <w:spacing w:after="0" w:line="392" w:lineRule="auto"/>
        <w:rPr>
          <w:sz w:val="20"/>
          <w:szCs w:val="20"/>
          <w:color w:val="auto"/>
        </w:rPr>
      </w:pPr>
      <w:r>
        <w:rPr>
          <w:rFonts w:ascii="Arial" w:cs="Arial" w:eastAsia="Arial" w:hAnsi="Arial"/>
          <w:sz w:val="16"/>
          <w:szCs w:val="16"/>
          <w:color w:val="2D3243"/>
        </w:rPr>
        <w:t>The Board of Directors has determined that each of Jack Acosta, Susan Barsamian, Michael Burdiek, David DeWalt, Julie Iskow, Jonathan Mariner, David Welsh and Robert Zollars are independent under the applicable listing standards of NASDAQ.</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2D3243"/>
        </w:rPr>
        <w:t>As required by NASDAQ, our independent directors meet in regularly scheduled executive sessions at which only independent directors are present.</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Board Leadership Structure</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2D3243"/>
        </w:rPr>
        <w:t>Our Board of Directors does not have a policy requiring that the positions of Chairman and Chief Executive Officer be separate or be occupied by the same individual. Michael Burkland has been serving as the Chairman or Executive Chairman of the Board of Directors since February 2014. Until November 28, 2022, when Michael Burkland was appointed as our Chief Executive Officer, the roles were separate. Our Board of Directors believes that this leadership structure is appropriate for us at this time because it promotes the efficient and effective development and execution of our strategy and facilitates information flow between management and our Board of Directors, which are essential to effective governance. Michael Burkland is the director most familiar with our business and industry, and most capable of effectively identifying strategic priorities and leading the discussion and execution of strategy. Our Board of Directors periodically reviews its leadership structure and may separate the positions of Chairman and Chief Executive Officer in the future if it believes that would be in the best interests of the Company and its stockholders.</w:t>
      </w:r>
    </w:p>
    <w:p>
      <w:pPr>
        <w:spacing w:after="0" w:line="144" w:lineRule="exact"/>
        <w:rPr>
          <w:sz w:val="20"/>
          <w:szCs w:val="20"/>
          <w:color w:val="auto"/>
        </w:rPr>
      </w:pPr>
    </w:p>
    <w:p>
      <w:pPr>
        <w:ind w:right="20"/>
        <w:spacing w:after="0" w:line="344" w:lineRule="auto"/>
        <w:rPr>
          <w:sz w:val="20"/>
          <w:szCs w:val="20"/>
          <w:color w:val="auto"/>
        </w:rPr>
      </w:pPr>
      <w:r>
        <w:rPr>
          <w:rFonts w:ascii="Arial" w:cs="Arial" w:eastAsia="Arial" w:hAnsi="Arial"/>
          <w:sz w:val="16"/>
          <w:szCs w:val="16"/>
          <w:color w:val="2D3243"/>
        </w:rPr>
        <w:t>Our corporate governance guidelines provide that one of our independent directors shall serve as our Lead Independent Director at any time when our Chief Executive Officer serves as the Chairman of our Board of Directors or if the Chairman is not otherwise independent. Our Lead Independent Director presides over regular meetings of our independent directors, serves as a liaison between our Chairman/Chief Executive Officer and our independent directors, and performs such additional duties as our Board of Directors may otherwise determine and delegate. Mr. Welsh has served as our Lead Independent Director since February 2014.</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Risk Oversight Management</w:t>
      </w:r>
    </w:p>
    <w:p>
      <w:pPr>
        <w:spacing w:after="0" w:line="19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2D3243"/>
        </w:rPr>
        <w:t>Risk is inherent with every business and we face a number of risks, including strategic, financial, cybersecurity, operational, legal/compliance, environmental, social, governance and reputational risks. Our management is responsible for the day-to-day management of the risks that we face. Our Board of Directors as a whole has responsibility for the oversight of enterprise risk management, including cybersecurity. Our Audit Committee is responsible for overseeing the process by which management assesses and manages our exposure to risk, as well as our major financial risk exposures and the steps management takes to monitor and control such exposures, based on consultation with our management, independent auditors and our internal auditors. The Compensation Committee reviews processes, and steps taken to mitigate material risks related to our compensation programs. The Nominating and Governance Committee is responsible for overseeing risks related to corporate governance as well as environmental, social and governance matters ("ESG"). The oversight roles of the Board of Directors and the committees are supported by management reporting processes that are designed to provide the Board, the Audit Committee, the Compensation Committee and the Nominating and Governance Committee visibility into the identification, assessment and management of critical risks.</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15</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2" w:name="page23"/>
    <w:bookmarkEnd w:id="22"/>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Information Regarding the Board of Directors and Its Committees</w:t>
      </w:r>
    </w:p>
    <w:p>
      <w:pPr>
        <w:spacing w:after="0" w:line="193" w:lineRule="exact"/>
        <w:rPr>
          <w:sz w:val="20"/>
          <w:szCs w:val="20"/>
          <w:color w:val="auto"/>
        </w:rPr>
      </w:pPr>
    </w:p>
    <w:p>
      <w:pPr>
        <w:ind w:right="860"/>
        <w:spacing w:after="0" w:line="374" w:lineRule="auto"/>
        <w:rPr>
          <w:sz w:val="20"/>
          <w:szCs w:val="20"/>
          <w:color w:val="auto"/>
        </w:rPr>
      </w:pPr>
      <w:r>
        <w:rPr>
          <w:rFonts w:ascii="Arial" w:cs="Arial" w:eastAsia="Arial" w:hAnsi="Arial"/>
          <w:sz w:val="16"/>
          <w:szCs w:val="16"/>
          <w:color w:val="2D3243"/>
        </w:rPr>
        <w:t>The Board of Directors has three standing committees: the Audit Committee, the Compensation Committee and the Nominating and Governance Committee. The following table provides membership information for each of these committees as of April 1,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60" w:type="dxa"/>
            <w:vAlign w:val="bottom"/>
            <w:shd w:val="clear" w:color="auto" w:fill="0336FF"/>
          </w:tcPr>
          <w:p>
            <w:pPr>
              <w:spacing w:after="0"/>
              <w:rPr>
                <w:sz w:val="15"/>
                <w:szCs w:val="15"/>
                <w:color w:val="auto"/>
              </w:rPr>
            </w:pPr>
          </w:p>
        </w:tc>
        <w:tc>
          <w:tcPr>
            <w:tcW w:w="2760" w:type="dxa"/>
            <w:vAlign w:val="bottom"/>
            <w:shd w:val="clear" w:color="auto" w:fill="0336FF"/>
          </w:tcPr>
          <w:p>
            <w:pPr>
              <w:spacing w:after="0"/>
              <w:rPr>
                <w:sz w:val="15"/>
                <w:szCs w:val="15"/>
                <w:color w:val="auto"/>
              </w:rPr>
            </w:pPr>
          </w:p>
        </w:tc>
        <w:tc>
          <w:tcPr>
            <w:tcW w:w="2800" w:type="dxa"/>
            <w:vAlign w:val="bottom"/>
            <w:shd w:val="clear" w:color="auto" w:fill="0336FF"/>
          </w:tcPr>
          <w:p>
            <w:pPr>
              <w:spacing w:after="0"/>
              <w:rPr>
                <w:sz w:val="15"/>
                <w:szCs w:val="15"/>
                <w:color w:val="auto"/>
              </w:rPr>
            </w:pPr>
          </w:p>
        </w:tc>
        <w:tc>
          <w:tcPr>
            <w:tcW w:w="2220" w:type="dxa"/>
            <w:vAlign w:val="bottom"/>
            <w:shd w:val="clear" w:color="auto" w:fill="0336FF"/>
          </w:tcPr>
          <w:p>
            <w:pPr>
              <w:jc w:val="center"/>
              <w:ind w:left="208"/>
              <w:spacing w:after="0"/>
              <w:rPr>
                <w:sz w:val="20"/>
                <w:szCs w:val="20"/>
                <w:color w:val="auto"/>
              </w:rPr>
            </w:pPr>
            <w:r>
              <w:rPr>
                <w:rFonts w:ascii="Arial" w:cs="Arial" w:eastAsia="Arial" w:hAnsi="Arial"/>
                <w:sz w:val="14"/>
                <w:szCs w:val="14"/>
                <w:b w:val="1"/>
                <w:bCs w:val="1"/>
                <w:color w:val="FFFFFF"/>
              </w:rPr>
              <w:t>Nominating and</w:t>
            </w:r>
          </w:p>
        </w:tc>
      </w:tr>
      <w:tr>
        <w:trPr>
          <w:trHeight w:val="210"/>
        </w:trPr>
        <w:tc>
          <w:tcPr>
            <w:tcW w:w="346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2760" w:type="dxa"/>
            <w:vAlign w:val="bottom"/>
            <w:shd w:val="clear" w:color="auto" w:fill="0336FF"/>
          </w:tcPr>
          <w:p>
            <w:pPr>
              <w:jc w:val="center"/>
              <w:ind w:left="408"/>
              <w:spacing w:after="0"/>
              <w:rPr>
                <w:sz w:val="20"/>
                <w:szCs w:val="20"/>
                <w:color w:val="auto"/>
              </w:rPr>
            </w:pPr>
            <w:r>
              <w:rPr>
                <w:rFonts w:ascii="Arial" w:cs="Arial" w:eastAsia="Arial" w:hAnsi="Arial"/>
                <w:sz w:val="14"/>
                <w:szCs w:val="14"/>
                <w:b w:val="1"/>
                <w:bCs w:val="1"/>
                <w:color w:val="FFFFFF"/>
              </w:rPr>
              <w:t>Audit Committee</w:t>
            </w:r>
          </w:p>
        </w:tc>
        <w:tc>
          <w:tcPr>
            <w:tcW w:w="2800" w:type="dxa"/>
            <w:vAlign w:val="bottom"/>
            <w:shd w:val="clear" w:color="auto" w:fill="0336FF"/>
          </w:tcPr>
          <w:p>
            <w:pPr>
              <w:jc w:val="center"/>
              <w:ind w:left="28"/>
              <w:spacing w:after="0"/>
              <w:rPr>
                <w:sz w:val="20"/>
                <w:szCs w:val="20"/>
                <w:color w:val="auto"/>
              </w:rPr>
            </w:pPr>
            <w:r>
              <w:rPr>
                <w:rFonts w:ascii="Arial" w:cs="Arial" w:eastAsia="Arial" w:hAnsi="Arial"/>
                <w:sz w:val="14"/>
                <w:szCs w:val="14"/>
                <w:b w:val="1"/>
                <w:bCs w:val="1"/>
                <w:color w:val="FFFFFF"/>
              </w:rPr>
              <w:t>Compensation Committee</w:t>
            </w:r>
          </w:p>
        </w:tc>
        <w:tc>
          <w:tcPr>
            <w:tcW w:w="2220" w:type="dxa"/>
            <w:vAlign w:val="bottom"/>
            <w:shd w:val="clear" w:color="auto" w:fill="0336FF"/>
          </w:tcPr>
          <w:p>
            <w:pPr>
              <w:jc w:val="center"/>
              <w:ind w:left="208"/>
              <w:spacing w:after="0"/>
              <w:rPr>
                <w:sz w:val="20"/>
                <w:szCs w:val="20"/>
                <w:color w:val="auto"/>
              </w:rPr>
            </w:pPr>
            <w:r>
              <w:rPr>
                <w:rFonts w:ascii="Arial" w:cs="Arial" w:eastAsia="Arial" w:hAnsi="Arial"/>
                <w:sz w:val="14"/>
                <w:szCs w:val="14"/>
                <w:b w:val="1"/>
                <w:bCs w:val="1"/>
                <w:color w:val="FFFFFF"/>
              </w:rPr>
              <w:t>Governance Committee</w:t>
            </w:r>
          </w:p>
        </w:tc>
      </w:tr>
      <w:tr>
        <w:trPr>
          <w:trHeight w:val="70"/>
        </w:trPr>
        <w:tc>
          <w:tcPr>
            <w:tcW w:w="3460" w:type="dxa"/>
            <w:vAlign w:val="bottom"/>
            <w:shd w:val="clear" w:color="auto" w:fill="0336FF"/>
          </w:tcPr>
          <w:p>
            <w:pPr>
              <w:spacing w:after="0"/>
              <w:rPr>
                <w:sz w:val="6"/>
                <w:szCs w:val="6"/>
                <w:color w:val="auto"/>
              </w:rPr>
            </w:pPr>
          </w:p>
        </w:tc>
        <w:tc>
          <w:tcPr>
            <w:tcW w:w="2760" w:type="dxa"/>
            <w:vAlign w:val="bottom"/>
            <w:shd w:val="clear" w:color="auto" w:fill="0336FF"/>
          </w:tcPr>
          <w:p>
            <w:pPr>
              <w:spacing w:after="0"/>
              <w:rPr>
                <w:sz w:val="6"/>
                <w:szCs w:val="6"/>
                <w:color w:val="auto"/>
              </w:rPr>
            </w:pPr>
          </w:p>
        </w:tc>
        <w:tc>
          <w:tcPr>
            <w:tcW w:w="2800" w:type="dxa"/>
            <w:vAlign w:val="bottom"/>
            <w:shd w:val="clear" w:color="auto" w:fill="0336FF"/>
          </w:tcPr>
          <w:p>
            <w:pPr>
              <w:spacing w:after="0"/>
              <w:rPr>
                <w:sz w:val="6"/>
                <w:szCs w:val="6"/>
                <w:color w:val="auto"/>
              </w:rPr>
            </w:pPr>
          </w:p>
        </w:tc>
        <w:tc>
          <w:tcPr>
            <w:tcW w:w="2220" w:type="dxa"/>
            <w:vAlign w:val="bottom"/>
            <w:shd w:val="clear" w:color="auto" w:fill="0336FF"/>
          </w:tcPr>
          <w:p>
            <w:pPr>
              <w:spacing w:after="0"/>
              <w:rPr>
                <w:sz w:val="6"/>
                <w:szCs w:val="6"/>
                <w:color w:val="auto"/>
              </w:rPr>
            </w:pPr>
          </w:p>
        </w:tc>
      </w:tr>
      <w:tr>
        <w:trPr>
          <w:trHeight w:val="222"/>
        </w:trPr>
        <w:tc>
          <w:tcPr>
            <w:tcW w:w="346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27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91"/>
        </w:trPr>
        <w:tc>
          <w:tcPr>
            <w:tcW w:w="34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Jack Acosta</w:t>
            </w:r>
            <w:r>
              <w:rPr>
                <w:rFonts w:ascii="Arial" w:cs="Arial" w:eastAsia="Arial" w:hAnsi="Arial"/>
                <w:sz w:val="18"/>
                <w:szCs w:val="18"/>
                <w:b w:val="1"/>
                <w:bCs w:val="1"/>
                <w:color w:val="2D3243"/>
                <w:vertAlign w:val="superscript"/>
              </w:rPr>
              <w:t>(1)</w:t>
            </w:r>
          </w:p>
        </w:tc>
        <w:tc>
          <w:tcPr>
            <w:tcW w:w="2760" w:type="dxa"/>
            <w:vAlign w:val="bottom"/>
            <w:shd w:val="clear" w:color="auto" w:fill="F0F1F2"/>
          </w:tcPr>
          <w:p>
            <w:pPr>
              <w:jc w:val="center"/>
              <w:ind w:left="408"/>
              <w:spacing w:after="0"/>
              <w:rPr>
                <w:sz w:val="20"/>
                <w:szCs w:val="20"/>
                <w:color w:val="auto"/>
              </w:rPr>
            </w:pPr>
            <w:r>
              <w:rPr>
                <w:rFonts w:ascii="Arial" w:cs="Arial" w:eastAsia="Arial" w:hAnsi="Arial"/>
                <w:sz w:val="14"/>
                <w:szCs w:val="14"/>
                <w:color w:val="2D3243"/>
              </w:rPr>
              <w:t>chair</w:t>
            </w:r>
          </w:p>
        </w:tc>
        <w:tc>
          <w:tcPr>
            <w:tcW w:w="2800" w:type="dxa"/>
            <w:vAlign w:val="bottom"/>
            <w:shd w:val="clear" w:color="auto" w:fill="F0F1F2"/>
          </w:tcPr>
          <w:p>
            <w:pPr>
              <w:spacing w:after="0"/>
              <w:rPr>
                <w:sz w:val="24"/>
                <w:szCs w:val="24"/>
                <w:color w:val="auto"/>
              </w:rPr>
            </w:pPr>
          </w:p>
        </w:tc>
        <w:tc>
          <w:tcPr>
            <w:tcW w:w="2220" w:type="dxa"/>
            <w:vAlign w:val="bottom"/>
            <w:shd w:val="clear" w:color="auto" w:fill="F0F1F2"/>
          </w:tcPr>
          <w:p>
            <w:pPr>
              <w:spacing w:after="0"/>
              <w:rPr>
                <w:sz w:val="24"/>
                <w:szCs w:val="24"/>
                <w:color w:val="auto"/>
              </w:rPr>
            </w:pPr>
          </w:p>
        </w:tc>
      </w:tr>
      <w:tr>
        <w:trPr>
          <w:trHeight w:val="222"/>
        </w:trPr>
        <w:tc>
          <w:tcPr>
            <w:tcW w:w="3460" w:type="dxa"/>
            <w:vAlign w:val="bottom"/>
          </w:tcPr>
          <w:p>
            <w:pPr>
              <w:ind w:left="100"/>
              <w:spacing w:after="0"/>
              <w:rPr>
                <w:sz w:val="20"/>
                <w:szCs w:val="20"/>
                <w:color w:val="auto"/>
              </w:rPr>
            </w:pPr>
            <w:r>
              <w:rPr>
                <w:rFonts w:ascii="Arial" w:cs="Arial" w:eastAsia="Arial" w:hAnsi="Arial"/>
                <w:sz w:val="14"/>
                <w:szCs w:val="14"/>
                <w:b w:val="1"/>
                <w:bCs w:val="1"/>
                <w:color w:val="2D3243"/>
              </w:rPr>
              <w:t>Susan Barsamian</w:t>
            </w:r>
          </w:p>
        </w:tc>
        <w:tc>
          <w:tcPr>
            <w:tcW w:w="2760" w:type="dxa"/>
            <w:vAlign w:val="bottom"/>
          </w:tcPr>
          <w:p>
            <w:pPr>
              <w:jc w:val="center"/>
              <w:ind w:left="408"/>
              <w:spacing w:after="0"/>
              <w:rPr>
                <w:sz w:val="20"/>
                <w:szCs w:val="20"/>
                <w:color w:val="auto"/>
              </w:rPr>
            </w:pPr>
            <w:r>
              <w:rPr>
                <w:rFonts w:ascii="Arial" w:cs="Arial" w:eastAsia="Arial" w:hAnsi="Arial"/>
                <w:sz w:val="14"/>
                <w:szCs w:val="14"/>
                <w:color w:val="2D3243"/>
              </w:rPr>
              <w:t>member</w:t>
            </w:r>
          </w:p>
        </w:tc>
        <w:tc>
          <w:tcPr>
            <w:tcW w:w="2800" w:type="dxa"/>
            <w:vAlign w:val="bottom"/>
          </w:tcPr>
          <w:p>
            <w:pPr>
              <w:jc w:val="center"/>
              <w:ind w:left="48"/>
              <w:spacing w:after="0"/>
              <w:rPr>
                <w:sz w:val="20"/>
                <w:szCs w:val="20"/>
                <w:color w:val="auto"/>
              </w:rPr>
            </w:pPr>
            <w:r>
              <w:rPr>
                <w:rFonts w:ascii="Arial" w:cs="Arial" w:eastAsia="Arial" w:hAnsi="Arial"/>
                <w:sz w:val="14"/>
                <w:szCs w:val="14"/>
                <w:color w:val="2D3243"/>
              </w:rPr>
              <w:t>member</w:t>
            </w:r>
          </w:p>
        </w:tc>
        <w:tc>
          <w:tcPr>
            <w:tcW w:w="2220" w:type="dxa"/>
            <w:vAlign w:val="bottom"/>
          </w:tcPr>
          <w:p>
            <w:pPr>
              <w:spacing w:after="0"/>
              <w:rPr>
                <w:sz w:val="19"/>
                <w:szCs w:val="19"/>
                <w:color w:val="auto"/>
              </w:rPr>
            </w:pPr>
          </w:p>
        </w:tc>
      </w:tr>
      <w:tr>
        <w:trPr>
          <w:trHeight w:val="237"/>
        </w:trPr>
        <w:tc>
          <w:tcPr>
            <w:tcW w:w="34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Michael Burdiek</w:t>
            </w:r>
          </w:p>
        </w:tc>
        <w:tc>
          <w:tcPr>
            <w:tcW w:w="2760" w:type="dxa"/>
            <w:vAlign w:val="bottom"/>
            <w:shd w:val="clear" w:color="auto" w:fill="F0F1F2"/>
          </w:tcPr>
          <w:p>
            <w:pPr>
              <w:jc w:val="center"/>
              <w:ind w:left="408"/>
              <w:spacing w:after="0"/>
              <w:rPr>
                <w:sz w:val="20"/>
                <w:szCs w:val="20"/>
                <w:color w:val="auto"/>
              </w:rPr>
            </w:pPr>
            <w:r>
              <w:rPr>
                <w:rFonts w:ascii="Arial" w:cs="Arial" w:eastAsia="Arial" w:hAnsi="Arial"/>
                <w:sz w:val="14"/>
                <w:szCs w:val="14"/>
                <w:color w:val="2D3243"/>
              </w:rPr>
              <w:t>member</w:t>
            </w:r>
          </w:p>
        </w:tc>
        <w:tc>
          <w:tcPr>
            <w:tcW w:w="2800" w:type="dxa"/>
            <w:vAlign w:val="bottom"/>
            <w:shd w:val="clear" w:color="auto" w:fill="F0F1F2"/>
          </w:tcPr>
          <w:p>
            <w:pPr>
              <w:jc w:val="center"/>
              <w:ind w:left="48"/>
              <w:spacing w:after="0"/>
              <w:rPr>
                <w:sz w:val="20"/>
                <w:szCs w:val="20"/>
                <w:color w:val="auto"/>
              </w:rPr>
            </w:pPr>
            <w:r>
              <w:rPr>
                <w:rFonts w:ascii="Arial" w:cs="Arial" w:eastAsia="Arial" w:hAnsi="Arial"/>
                <w:sz w:val="14"/>
                <w:szCs w:val="14"/>
                <w:color w:val="2D3243"/>
              </w:rPr>
              <w:t>member</w:t>
            </w:r>
          </w:p>
        </w:tc>
        <w:tc>
          <w:tcPr>
            <w:tcW w:w="2220" w:type="dxa"/>
            <w:vAlign w:val="bottom"/>
            <w:shd w:val="clear" w:color="auto" w:fill="F0F1F2"/>
          </w:tcPr>
          <w:p>
            <w:pPr>
              <w:spacing w:after="0"/>
              <w:rPr>
                <w:sz w:val="20"/>
                <w:szCs w:val="20"/>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b w:val="1"/>
                <w:bCs w:val="1"/>
                <w:color w:val="2D3243"/>
              </w:rPr>
              <w:t>David DeWalt</w:t>
            </w:r>
            <w:r>
              <w:rPr>
                <w:rFonts w:ascii="Arial" w:cs="Arial" w:eastAsia="Arial" w:hAnsi="Arial"/>
                <w:sz w:val="18"/>
                <w:szCs w:val="18"/>
                <w:b w:val="1"/>
                <w:bCs w:val="1"/>
                <w:color w:val="2D3243"/>
                <w:vertAlign w:val="superscript"/>
              </w:rPr>
              <w:t>(2)</w:t>
            </w:r>
          </w:p>
        </w:tc>
        <w:tc>
          <w:tcPr>
            <w:tcW w:w="2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20" w:type="dxa"/>
            <w:vAlign w:val="bottom"/>
          </w:tcPr>
          <w:p>
            <w:pPr>
              <w:jc w:val="center"/>
              <w:ind w:left="208"/>
              <w:spacing w:after="0"/>
              <w:rPr>
                <w:sz w:val="20"/>
                <w:szCs w:val="20"/>
                <w:color w:val="auto"/>
              </w:rPr>
            </w:pPr>
            <w:r>
              <w:rPr>
                <w:rFonts w:ascii="Arial" w:cs="Arial" w:eastAsia="Arial" w:hAnsi="Arial"/>
                <w:sz w:val="14"/>
                <w:szCs w:val="14"/>
                <w:color w:val="2D3243"/>
              </w:rPr>
              <w:t>member</w:t>
            </w:r>
          </w:p>
        </w:tc>
      </w:tr>
      <w:tr>
        <w:trPr>
          <w:trHeight w:val="237"/>
        </w:trPr>
        <w:tc>
          <w:tcPr>
            <w:tcW w:w="34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Julie Iskow</w:t>
            </w:r>
          </w:p>
        </w:tc>
        <w:tc>
          <w:tcPr>
            <w:tcW w:w="2760" w:type="dxa"/>
            <w:vAlign w:val="bottom"/>
            <w:shd w:val="clear" w:color="auto" w:fill="F0F1F2"/>
          </w:tcPr>
          <w:p>
            <w:pPr>
              <w:spacing w:after="0"/>
              <w:rPr>
                <w:sz w:val="20"/>
                <w:szCs w:val="20"/>
                <w:color w:val="auto"/>
              </w:rPr>
            </w:pPr>
          </w:p>
        </w:tc>
        <w:tc>
          <w:tcPr>
            <w:tcW w:w="2800" w:type="dxa"/>
            <w:vAlign w:val="bottom"/>
            <w:shd w:val="clear" w:color="auto" w:fill="F0F1F2"/>
          </w:tcPr>
          <w:p>
            <w:pPr>
              <w:jc w:val="center"/>
              <w:ind w:left="48"/>
              <w:spacing w:after="0"/>
              <w:rPr>
                <w:sz w:val="20"/>
                <w:szCs w:val="20"/>
                <w:color w:val="auto"/>
              </w:rPr>
            </w:pPr>
            <w:r>
              <w:rPr>
                <w:rFonts w:ascii="Arial" w:cs="Arial" w:eastAsia="Arial" w:hAnsi="Arial"/>
                <w:sz w:val="14"/>
                <w:szCs w:val="14"/>
                <w:color w:val="2D3243"/>
              </w:rPr>
              <w:t>member</w:t>
            </w:r>
          </w:p>
        </w:tc>
        <w:tc>
          <w:tcPr>
            <w:tcW w:w="2220" w:type="dxa"/>
            <w:vAlign w:val="bottom"/>
            <w:shd w:val="clear" w:color="auto" w:fill="F0F1F2"/>
          </w:tcPr>
          <w:p>
            <w:pPr>
              <w:spacing w:after="0"/>
              <w:rPr>
                <w:sz w:val="20"/>
                <w:szCs w:val="20"/>
                <w:color w:val="auto"/>
              </w:rPr>
            </w:pPr>
          </w:p>
        </w:tc>
      </w:tr>
      <w:tr>
        <w:trPr>
          <w:trHeight w:val="222"/>
        </w:trPr>
        <w:tc>
          <w:tcPr>
            <w:tcW w:w="3460" w:type="dxa"/>
            <w:vAlign w:val="bottom"/>
          </w:tcPr>
          <w:p>
            <w:pPr>
              <w:ind w:left="100"/>
              <w:spacing w:after="0"/>
              <w:rPr>
                <w:sz w:val="20"/>
                <w:szCs w:val="20"/>
                <w:color w:val="auto"/>
              </w:rPr>
            </w:pPr>
            <w:r>
              <w:rPr>
                <w:rFonts w:ascii="Arial" w:cs="Arial" w:eastAsia="Arial" w:hAnsi="Arial"/>
                <w:sz w:val="14"/>
                <w:szCs w:val="14"/>
                <w:b w:val="1"/>
                <w:bCs w:val="1"/>
                <w:color w:val="2D3243"/>
              </w:rPr>
              <w:t>Jonathan Mariner</w:t>
            </w:r>
          </w:p>
        </w:tc>
        <w:tc>
          <w:tcPr>
            <w:tcW w:w="2760" w:type="dxa"/>
            <w:vAlign w:val="bottom"/>
          </w:tcPr>
          <w:p>
            <w:pPr>
              <w:jc w:val="center"/>
              <w:ind w:left="408"/>
              <w:spacing w:after="0"/>
              <w:rPr>
                <w:sz w:val="20"/>
                <w:szCs w:val="20"/>
                <w:color w:val="auto"/>
              </w:rPr>
            </w:pPr>
            <w:r>
              <w:rPr>
                <w:rFonts w:ascii="Arial" w:cs="Arial" w:eastAsia="Arial" w:hAnsi="Arial"/>
                <w:sz w:val="14"/>
                <w:szCs w:val="14"/>
                <w:color w:val="2D3243"/>
              </w:rPr>
              <w:t>member</w:t>
            </w:r>
          </w:p>
        </w:tc>
        <w:tc>
          <w:tcPr>
            <w:tcW w:w="28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7"/>
        </w:trPr>
        <w:tc>
          <w:tcPr>
            <w:tcW w:w="34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David Welsh</w:t>
            </w:r>
          </w:p>
        </w:tc>
        <w:tc>
          <w:tcPr>
            <w:tcW w:w="2760" w:type="dxa"/>
            <w:vAlign w:val="bottom"/>
            <w:shd w:val="clear" w:color="auto" w:fill="F0F1F2"/>
          </w:tcPr>
          <w:p>
            <w:pPr>
              <w:spacing w:after="0"/>
              <w:rPr>
                <w:sz w:val="20"/>
                <w:szCs w:val="20"/>
                <w:color w:val="auto"/>
              </w:rPr>
            </w:pPr>
          </w:p>
        </w:tc>
        <w:tc>
          <w:tcPr>
            <w:tcW w:w="2800" w:type="dxa"/>
            <w:vAlign w:val="bottom"/>
            <w:shd w:val="clear" w:color="auto" w:fill="F0F1F2"/>
          </w:tcPr>
          <w:p>
            <w:pPr>
              <w:spacing w:after="0"/>
              <w:rPr>
                <w:sz w:val="20"/>
                <w:szCs w:val="20"/>
                <w:color w:val="auto"/>
              </w:rPr>
            </w:pPr>
          </w:p>
        </w:tc>
        <w:tc>
          <w:tcPr>
            <w:tcW w:w="2220" w:type="dxa"/>
            <w:vAlign w:val="bottom"/>
            <w:shd w:val="clear" w:color="auto" w:fill="F0F1F2"/>
          </w:tcPr>
          <w:p>
            <w:pPr>
              <w:jc w:val="center"/>
              <w:ind w:left="208"/>
              <w:spacing w:after="0"/>
              <w:rPr>
                <w:sz w:val="20"/>
                <w:szCs w:val="20"/>
                <w:color w:val="auto"/>
              </w:rPr>
            </w:pPr>
            <w:r>
              <w:rPr>
                <w:rFonts w:ascii="Arial" w:cs="Arial" w:eastAsia="Arial" w:hAnsi="Arial"/>
                <w:sz w:val="14"/>
                <w:szCs w:val="14"/>
                <w:color w:val="2D3243"/>
                <w:w w:val="98"/>
              </w:rPr>
              <w:t>chair</w:t>
            </w:r>
          </w:p>
        </w:tc>
      </w:tr>
      <w:tr>
        <w:trPr>
          <w:trHeight w:val="223"/>
        </w:trPr>
        <w:tc>
          <w:tcPr>
            <w:tcW w:w="3460" w:type="dxa"/>
            <w:vAlign w:val="bottom"/>
            <w:tcBorders>
              <w:bottom w:val="single" w:sz="8" w:color="0336FF"/>
            </w:tcBorders>
          </w:tcPr>
          <w:p>
            <w:pPr>
              <w:ind w:left="100"/>
              <w:spacing w:after="0"/>
              <w:rPr>
                <w:sz w:val="20"/>
                <w:szCs w:val="20"/>
                <w:color w:val="auto"/>
              </w:rPr>
            </w:pPr>
            <w:r>
              <w:rPr>
                <w:rFonts w:ascii="Arial" w:cs="Arial" w:eastAsia="Arial" w:hAnsi="Arial"/>
                <w:sz w:val="14"/>
                <w:szCs w:val="14"/>
                <w:b w:val="1"/>
                <w:bCs w:val="1"/>
                <w:color w:val="2D3243"/>
              </w:rPr>
              <w:t>Robert Zollars</w:t>
            </w:r>
          </w:p>
        </w:tc>
        <w:tc>
          <w:tcPr>
            <w:tcW w:w="2760" w:type="dxa"/>
            <w:vAlign w:val="bottom"/>
            <w:tcBorders>
              <w:bottom w:val="single" w:sz="8" w:color="0336FF"/>
            </w:tcBorders>
          </w:tcPr>
          <w:p>
            <w:pPr>
              <w:spacing w:after="0"/>
              <w:rPr>
                <w:sz w:val="19"/>
                <w:szCs w:val="19"/>
                <w:color w:val="auto"/>
              </w:rPr>
            </w:pPr>
          </w:p>
        </w:tc>
        <w:tc>
          <w:tcPr>
            <w:tcW w:w="2800" w:type="dxa"/>
            <w:vAlign w:val="bottom"/>
            <w:tcBorders>
              <w:bottom w:val="single" w:sz="8" w:color="0336FF"/>
            </w:tcBorders>
          </w:tcPr>
          <w:p>
            <w:pPr>
              <w:jc w:val="center"/>
              <w:ind w:left="48"/>
              <w:spacing w:after="0"/>
              <w:rPr>
                <w:sz w:val="20"/>
                <w:szCs w:val="20"/>
                <w:color w:val="auto"/>
              </w:rPr>
            </w:pPr>
            <w:r>
              <w:rPr>
                <w:rFonts w:ascii="Arial" w:cs="Arial" w:eastAsia="Arial" w:hAnsi="Arial"/>
                <w:sz w:val="14"/>
                <w:szCs w:val="14"/>
                <w:color w:val="2D3243"/>
              </w:rPr>
              <w:t>chair</w:t>
            </w:r>
          </w:p>
        </w:tc>
        <w:tc>
          <w:tcPr>
            <w:tcW w:w="2220" w:type="dxa"/>
            <w:vAlign w:val="bottom"/>
            <w:tcBorders>
              <w:bottom w:val="single" w:sz="8" w:color="0336FF"/>
            </w:tcBorders>
          </w:tcPr>
          <w:p>
            <w:pPr>
              <w:jc w:val="center"/>
              <w:ind w:left="208"/>
              <w:spacing w:after="0"/>
              <w:rPr>
                <w:sz w:val="20"/>
                <w:szCs w:val="20"/>
                <w:color w:val="auto"/>
              </w:rPr>
            </w:pPr>
            <w:r>
              <w:rPr>
                <w:rFonts w:ascii="Arial" w:cs="Arial" w:eastAsia="Arial" w:hAnsi="Arial"/>
                <w:sz w:val="14"/>
                <w:szCs w:val="14"/>
                <w:color w:val="2D3243"/>
              </w:rPr>
              <w:t>member</w:t>
            </w:r>
          </w:p>
        </w:tc>
      </w:tr>
    </w:tbl>
    <w:p>
      <w:pPr>
        <w:spacing w:after="0" w:line="12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2D3243"/>
          <w:vertAlign w:val="superscript"/>
        </w:rPr>
      </w:pPr>
      <w:r>
        <w:rPr>
          <w:rFonts w:ascii="Arial" w:cs="Arial" w:eastAsia="Arial" w:hAnsi="Arial"/>
          <w:sz w:val="16"/>
          <w:szCs w:val="16"/>
          <w:color w:val="2D3243"/>
        </w:rPr>
        <w:t>Designated by the Board of Directors as an "audit committee financial expert."</w:t>
      </w:r>
    </w:p>
    <w:p>
      <w:pPr>
        <w:spacing w:after="0" w:line="60" w:lineRule="exact"/>
        <w:rPr>
          <w:rFonts w:ascii="Arial" w:cs="Arial" w:eastAsia="Arial" w:hAnsi="Arial"/>
          <w:sz w:val="21"/>
          <w:szCs w:val="21"/>
          <w:color w:val="2D3243"/>
          <w:vertAlign w:val="superscript"/>
        </w:rPr>
      </w:pPr>
    </w:p>
    <w:p>
      <w:pPr>
        <w:ind w:left="160" w:hanging="152"/>
        <w:spacing w:after="0" w:line="204" w:lineRule="auto"/>
        <w:tabs>
          <w:tab w:leader="none" w:pos="160" w:val="left"/>
        </w:tabs>
        <w:numPr>
          <w:ilvl w:val="0"/>
          <w:numId w:val="11"/>
        </w:numPr>
        <w:rPr>
          <w:rFonts w:ascii="Arial" w:cs="Arial" w:eastAsia="Arial" w:hAnsi="Arial"/>
          <w:sz w:val="18"/>
          <w:szCs w:val="18"/>
          <w:color w:val="2D3243"/>
          <w:vertAlign w:val="superscript"/>
        </w:rPr>
      </w:pPr>
      <w:r>
        <w:rPr>
          <w:rFonts w:ascii="Arial" w:cs="Arial" w:eastAsia="Arial" w:hAnsi="Arial"/>
          <w:sz w:val="12"/>
          <w:szCs w:val="12"/>
          <w:color w:val="2D3243"/>
        </w:rPr>
        <w:t>Mr. DeWalt, a current Class I director, will serve the remainder of his term, which will end at the Annual Meeting.</w:t>
      </w:r>
    </w:p>
    <w:p>
      <w:pPr>
        <w:spacing w:after="0" w:line="197" w:lineRule="exact"/>
        <w:rPr>
          <w:sz w:val="20"/>
          <w:szCs w:val="20"/>
          <w:color w:val="auto"/>
        </w:rPr>
      </w:pPr>
    </w:p>
    <w:p>
      <w:pPr>
        <w:ind w:right="740"/>
        <w:spacing w:after="0" w:line="392" w:lineRule="auto"/>
        <w:rPr>
          <w:sz w:val="20"/>
          <w:szCs w:val="20"/>
          <w:color w:val="auto"/>
        </w:rPr>
      </w:pPr>
      <w:r>
        <w:rPr>
          <w:rFonts w:ascii="Arial" w:cs="Arial" w:eastAsia="Arial" w:hAnsi="Arial"/>
          <w:sz w:val="16"/>
          <w:szCs w:val="16"/>
          <w:color w:val="2D3243"/>
        </w:rPr>
        <w:t>The composition and responsibilities of each standing committee are described below. Members will serve on these standing committees until their resignation or until otherwise determined by our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Audit Committee</w:t>
      </w:r>
    </w:p>
    <w:p>
      <w:pPr>
        <w:spacing w:after="0" w:line="193" w:lineRule="exact"/>
        <w:rPr>
          <w:sz w:val="20"/>
          <w:szCs w:val="20"/>
          <w:color w:val="auto"/>
        </w:rPr>
      </w:pPr>
    </w:p>
    <w:p>
      <w:pPr>
        <w:ind w:right="180"/>
        <w:spacing w:after="0" w:line="354" w:lineRule="auto"/>
        <w:rPr>
          <w:sz w:val="20"/>
          <w:szCs w:val="20"/>
          <w:color w:val="auto"/>
        </w:rPr>
      </w:pPr>
      <w:r>
        <w:rPr>
          <w:rFonts w:ascii="Arial" w:cs="Arial" w:eastAsia="Arial" w:hAnsi="Arial"/>
          <w:sz w:val="16"/>
          <w:szCs w:val="16"/>
          <w:color w:val="2D3243"/>
        </w:rPr>
        <w:t>Our Audit Committee operates under a formal charter, which is available free of charge on our website at http://investors.five9.com in the “Governance” section. Our Audit Committee oversees our accounting and financial reporting processes and the audit of our financial statements and assists our Board of Directors in monitoring our financial systems and legal and regulatory compliance. Our Audit Committee is responsible for, among other things:</w:t>
      </w:r>
    </w:p>
    <w:p>
      <w:pPr>
        <w:spacing w:after="0" w:line="131" w:lineRule="exact"/>
        <w:rPr>
          <w:sz w:val="20"/>
          <w:szCs w:val="20"/>
          <w:color w:val="auto"/>
        </w:rPr>
      </w:pPr>
    </w:p>
    <w:p>
      <w:pPr>
        <w:ind w:left="660" w:right="560" w:hanging="328"/>
        <w:spacing w:after="0" w:line="369" w:lineRule="auto"/>
        <w:tabs>
          <w:tab w:leader="none" w:pos="622" w:val="left"/>
        </w:tabs>
        <w:numPr>
          <w:ilvl w:val="0"/>
          <w:numId w:val="12"/>
        </w:numPr>
        <w:rPr>
          <w:rFonts w:ascii="Arial" w:cs="Arial" w:eastAsia="Arial" w:hAnsi="Arial"/>
          <w:sz w:val="16"/>
          <w:szCs w:val="16"/>
          <w:color w:val="2D3243"/>
        </w:rPr>
      </w:pPr>
      <w:r>
        <w:rPr>
          <w:rFonts w:ascii="Arial" w:cs="Arial" w:eastAsia="Arial" w:hAnsi="Arial"/>
          <w:sz w:val="16"/>
          <w:szCs w:val="16"/>
          <w:color w:val="2D3243"/>
        </w:rPr>
        <w:t>appointing, approving the compensation of, terminating (if necessary) and assessing the qualifications and independence of our independent registered public accounting firm;</w:t>
      </w:r>
    </w:p>
    <w:p>
      <w:pPr>
        <w:spacing w:after="0" w:line="1" w:lineRule="exact"/>
        <w:rPr>
          <w:rFonts w:ascii="Arial" w:cs="Arial" w:eastAsia="Arial" w:hAnsi="Arial"/>
          <w:sz w:val="16"/>
          <w:szCs w:val="16"/>
          <w:color w:val="2D3243"/>
        </w:rPr>
      </w:pPr>
    </w:p>
    <w:p>
      <w:pPr>
        <w:ind w:left="660" w:right="580" w:hanging="328"/>
        <w:spacing w:after="0" w:line="369" w:lineRule="auto"/>
        <w:tabs>
          <w:tab w:leader="none" w:pos="622" w:val="left"/>
        </w:tabs>
        <w:numPr>
          <w:ilvl w:val="0"/>
          <w:numId w:val="12"/>
        </w:numPr>
        <w:rPr>
          <w:rFonts w:ascii="Arial" w:cs="Arial" w:eastAsia="Arial" w:hAnsi="Arial"/>
          <w:sz w:val="16"/>
          <w:szCs w:val="16"/>
          <w:color w:val="2D3243"/>
        </w:rPr>
      </w:pPr>
      <w:r>
        <w:rPr>
          <w:rFonts w:ascii="Arial" w:cs="Arial" w:eastAsia="Arial" w:hAnsi="Arial"/>
          <w:sz w:val="16"/>
          <w:szCs w:val="16"/>
          <w:color w:val="2D3243"/>
        </w:rPr>
        <w:t>pre-approving audit, review and attest services and fees and permissible non-audit services and fees from our independent registered public accounting firm;</w:t>
      </w:r>
    </w:p>
    <w:p>
      <w:pPr>
        <w:spacing w:after="0" w:line="1" w:lineRule="exact"/>
        <w:rPr>
          <w:rFonts w:ascii="Arial" w:cs="Arial" w:eastAsia="Arial" w:hAnsi="Arial"/>
          <w:sz w:val="16"/>
          <w:szCs w:val="16"/>
          <w:color w:val="2D3243"/>
        </w:rPr>
      </w:pPr>
    </w:p>
    <w:p>
      <w:pPr>
        <w:ind w:left="660" w:right="460" w:hanging="328"/>
        <w:spacing w:after="0" w:line="378" w:lineRule="auto"/>
        <w:tabs>
          <w:tab w:leader="none" w:pos="622" w:val="left"/>
        </w:tabs>
        <w:numPr>
          <w:ilvl w:val="0"/>
          <w:numId w:val="12"/>
        </w:numPr>
        <w:rPr>
          <w:rFonts w:ascii="Arial" w:cs="Arial" w:eastAsia="Arial" w:hAnsi="Arial"/>
          <w:sz w:val="16"/>
          <w:szCs w:val="16"/>
          <w:color w:val="2D3243"/>
        </w:rPr>
      </w:pPr>
      <w:r>
        <w:rPr>
          <w:rFonts w:ascii="Arial" w:cs="Arial" w:eastAsia="Arial" w:hAnsi="Arial"/>
          <w:sz w:val="16"/>
          <w:szCs w:val="16"/>
          <w:color w:val="2D3243"/>
        </w:rPr>
        <w:t>reviewing annually a report by the independent registered public accounting firm regarding the independent registered public accounting firm’s internal quality control procedures and various issues relating thereto;</w:t>
      </w:r>
    </w:p>
    <w:p>
      <w:pPr>
        <w:ind w:left="660" w:right="100" w:hanging="328"/>
        <w:spacing w:after="0" w:line="354" w:lineRule="auto"/>
        <w:tabs>
          <w:tab w:leader="none" w:pos="622" w:val="left"/>
        </w:tabs>
        <w:numPr>
          <w:ilvl w:val="0"/>
          <w:numId w:val="12"/>
        </w:numPr>
        <w:rPr>
          <w:rFonts w:ascii="Arial" w:cs="Arial" w:eastAsia="Arial" w:hAnsi="Arial"/>
          <w:sz w:val="16"/>
          <w:szCs w:val="16"/>
          <w:color w:val="2D3243"/>
        </w:rPr>
      </w:pPr>
      <w:r>
        <w:rPr>
          <w:rFonts w:ascii="Arial" w:cs="Arial" w:eastAsia="Arial" w:hAnsi="Arial"/>
          <w:sz w:val="16"/>
          <w:szCs w:val="16"/>
          <w:color w:val="2D3243"/>
        </w:rPr>
        <w:t>coordinating the oversight and reviewing the adequacy of our disclosure controls and procedures and internal control over financial reporting and reporting systems and procedures designed to identify instances of fraud and to ensure the integrity, accuracy, completeness and timeliness of our financial statements and related public filings and disclosures with both management and the independent registered public accounting firm;</w:t>
      </w:r>
    </w:p>
    <w:p>
      <w:pPr>
        <w:spacing w:after="0" w:line="9" w:lineRule="exact"/>
        <w:rPr>
          <w:rFonts w:ascii="Arial" w:cs="Arial" w:eastAsia="Arial" w:hAnsi="Arial"/>
          <w:sz w:val="16"/>
          <w:szCs w:val="16"/>
          <w:color w:val="2D3243"/>
        </w:rPr>
      </w:pPr>
    </w:p>
    <w:p>
      <w:pPr>
        <w:ind w:left="660" w:right="60" w:hanging="328"/>
        <w:spacing w:after="0" w:line="353" w:lineRule="auto"/>
        <w:tabs>
          <w:tab w:leader="none" w:pos="622" w:val="left"/>
        </w:tabs>
        <w:numPr>
          <w:ilvl w:val="0"/>
          <w:numId w:val="12"/>
        </w:numPr>
        <w:rPr>
          <w:rFonts w:ascii="Arial" w:cs="Arial" w:eastAsia="Arial" w:hAnsi="Arial"/>
          <w:sz w:val="16"/>
          <w:szCs w:val="16"/>
          <w:color w:val="2D3243"/>
        </w:rPr>
      </w:pPr>
      <w:r>
        <w:rPr>
          <w:rFonts w:ascii="Arial" w:cs="Arial" w:eastAsia="Arial" w:hAnsi="Arial"/>
          <w:sz w:val="16"/>
          <w:szCs w:val="16"/>
          <w:color w:val="2D3243"/>
        </w:rPr>
        <w:t>reviewing and discussing with management and the independent registered public accounting firm our annual and quarterly consolidated financial statements and annual and quarterly reports on Form 10-K and 10-Q, including a review of the specific disclosures under “Management’s Discussion and Analysis of Financial Condition and Results of Operations” and the form of audit opinion to be issued by the independent registered public accounting firm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16</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3" w:name="page24"/>
    <w:bookmarkEnd w:id="23"/>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40" w:hanging="328"/>
        <w:spacing w:after="0" w:line="369" w:lineRule="auto"/>
        <w:tabs>
          <w:tab w:leader="none" w:pos="622"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approving the appointment of the head of our internal audit function (or third party providing same) and overseeing and assessing the performance of the internal audit function;</w:t>
      </w:r>
    </w:p>
    <w:p>
      <w:pPr>
        <w:spacing w:after="0" w:line="1" w:lineRule="exact"/>
        <w:rPr>
          <w:rFonts w:ascii="Arial" w:cs="Arial" w:eastAsia="Arial" w:hAnsi="Arial"/>
          <w:sz w:val="16"/>
          <w:szCs w:val="16"/>
          <w:color w:val="2D3243"/>
        </w:rPr>
      </w:pPr>
    </w:p>
    <w:p>
      <w:pPr>
        <w:ind w:left="660" w:right="440" w:hanging="328"/>
        <w:spacing w:after="0" w:line="378" w:lineRule="auto"/>
        <w:tabs>
          <w:tab w:leader="none" w:pos="622"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discussing policies with respect to risk assessment and risk management, including those governing the process by which our Chief Executive Officer and other members of senior management assess and manage our risk;</w:t>
      </w:r>
    </w:p>
    <w:p>
      <w:pPr>
        <w:ind w:left="660" w:right="60" w:hanging="328"/>
        <w:spacing w:after="0" w:line="369" w:lineRule="auto"/>
        <w:tabs>
          <w:tab w:leader="none" w:pos="622"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periodically reviewing legal compliance matters, significant accounting and other financial risks or exposures to our company and reviewing and, if appropriate, approving all transactions between our company or its subsidiaries and any related party (as described in Item 404 of Regulation S-K);</w:t>
      </w:r>
    </w:p>
    <w:p>
      <w:pPr>
        <w:spacing w:after="0" w:line="1" w:lineRule="exact"/>
        <w:rPr>
          <w:rFonts w:ascii="Arial" w:cs="Arial" w:eastAsia="Arial" w:hAnsi="Arial"/>
          <w:sz w:val="16"/>
          <w:szCs w:val="16"/>
          <w:color w:val="2D3243"/>
        </w:rPr>
      </w:pPr>
    </w:p>
    <w:p>
      <w:pPr>
        <w:ind w:left="660" w:right="140" w:hanging="328"/>
        <w:spacing w:after="0" w:line="374" w:lineRule="auto"/>
        <w:tabs>
          <w:tab w:leader="none" w:pos="622"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reviewing and approving disclosures contained in any report filed with the SEC or otherwise publicly disclosed pertaining to cybersecurity incidents or breaches; and</w:t>
      </w:r>
    </w:p>
    <w:p>
      <w:pPr>
        <w:spacing w:after="0" w:line="7" w:lineRule="exact"/>
        <w:rPr>
          <w:rFonts w:ascii="Arial" w:cs="Arial" w:eastAsia="Arial" w:hAnsi="Arial"/>
          <w:sz w:val="16"/>
          <w:szCs w:val="16"/>
          <w:color w:val="2D3243"/>
        </w:rPr>
      </w:pPr>
    </w:p>
    <w:p>
      <w:pPr>
        <w:ind w:left="620" w:hanging="288"/>
        <w:spacing w:after="0"/>
        <w:tabs>
          <w:tab w:leader="none" w:pos="620"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reviewing the audit committee report required by SEC rules to be included in our annual proxy statement.</w:t>
      </w:r>
    </w:p>
    <w:p>
      <w:pPr>
        <w:spacing w:after="0" w:line="235" w:lineRule="exact"/>
        <w:rPr>
          <w:sz w:val="20"/>
          <w:szCs w:val="20"/>
          <w:color w:val="auto"/>
        </w:rPr>
      </w:pPr>
    </w:p>
    <w:p>
      <w:pPr>
        <w:ind w:right="320"/>
        <w:spacing w:after="0" w:line="374" w:lineRule="auto"/>
        <w:rPr>
          <w:sz w:val="20"/>
          <w:szCs w:val="20"/>
          <w:color w:val="auto"/>
        </w:rPr>
      </w:pPr>
      <w:r>
        <w:rPr>
          <w:rFonts w:ascii="Arial" w:cs="Arial" w:eastAsia="Arial" w:hAnsi="Arial"/>
          <w:sz w:val="16"/>
          <w:szCs w:val="16"/>
          <w:color w:val="2D3243"/>
        </w:rPr>
        <w:t>The Audit Committee has the power to investigate any matter brought to its attention within the scope of its duties and the authority to retain counsel and advisors at our expense to fulfill its responsibilities and duties.</w:t>
      </w:r>
    </w:p>
    <w:p>
      <w:pPr>
        <w:spacing w:after="0" w:line="102"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2D3243"/>
        </w:rPr>
        <w:t xml:space="preserve">Our Audit Committee is comprised of </w:t>
      </w:r>
      <w:r>
        <w:rPr>
          <w:rFonts w:ascii="Arial" w:cs="Arial" w:eastAsia="Arial" w:hAnsi="Arial"/>
          <w:sz w:val="16"/>
          <w:szCs w:val="16"/>
          <w:b w:val="1"/>
          <w:bCs w:val="1"/>
          <w:color w:val="2D3243"/>
        </w:rPr>
        <w:t>Mr. Acosta</w:t>
      </w:r>
      <w:r>
        <w:rPr>
          <w:rFonts w:ascii="Arial" w:cs="Arial" w:eastAsia="Arial" w:hAnsi="Arial"/>
          <w:sz w:val="16"/>
          <w:szCs w:val="16"/>
          <w:color w:val="2D3243"/>
        </w:rPr>
        <w:t xml:space="preserve">, </w:t>
      </w:r>
      <w:r>
        <w:rPr>
          <w:rFonts w:ascii="Arial" w:cs="Arial" w:eastAsia="Arial" w:hAnsi="Arial"/>
          <w:sz w:val="16"/>
          <w:szCs w:val="16"/>
          <w:b w:val="1"/>
          <w:bCs w:val="1"/>
          <w:color w:val="2D3243"/>
        </w:rPr>
        <w:t>Ms. Barsamian</w:t>
      </w:r>
      <w:r>
        <w:rPr>
          <w:rFonts w:ascii="Arial" w:cs="Arial" w:eastAsia="Arial" w:hAnsi="Arial"/>
          <w:sz w:val="16"/>
          <w:szCs w:val="16"/>
          <w:color w:val="2D3243"/>
        </w:rPr>
        <w:t xml:space="preserve">, </w:t>
      </w:r>
      <w:r>
        <w:rPr>
          <w:rFonts w:ascii="Arial" w:cs="Arial" w:eastAsia="Arial" w:hAnsi="Arial"/>
          <w:sz w:val="16"/>
          <w:szCs w:val="16"/>
          <w:b w:val="1"/>
          <w:bCs w:val="1"/>
          <w:color w:val="2D3243"/>
        </w:rPr>
        <w:t>Mr. Burdiek</w:t>
      </w:r>
      <w:r>
        <w:rPr>
          <w:rFonts w:ascii="Arial" w:cs="Arial" w:eastAsia="Arial" w:hAnsi="Arial"/>
          <w:sz w:val="16"/>
          <w:szCs w:val="16"/>
          <w:color w:val="2D3243"/>
        </w:rPr>
        <w:t xml:space="preserve"> and </w:t>
      </w:r>
      <w:r>
        <w:rPr>
          <w:rFonts w:ascii="Arial" w:cs="Arial" w:eastAsia="Arial" w:hAnsi="Arial"/>
          <w:sz w:val="16"/>
          <w:szCs w:val="16"/>
          <w:b w:val="1"/>
          <w:bCs w:val="1"/>
          <w:color w:val="2D3243"/>
        </w:rPr>
        <w:t>Mr. Mariner</w:t>
      </w:r>
      <w:r>
        <w:rPr>
          <w:rFonts w:ascii="Arial" w:cs="Arial" w:eastAsia="Arial" w:hAnsi="Arial"/>
          <w:sz w:val="16"/>
          <w:szCs w:val="16"/>
          <w:color w:val="2D3243"/>
        </w:rPr>
        <w:t>. Mr. Acosta is the chairperson of the committee. Our Board of Directors has designated Mr. Acosta as an “audit committee financial expert” as defined under the rules of the SEC implementing Section 407 of the Sarbanes Oxley Act of 2002. The Audit Committee met five times during the year ended December 31, 2023.</w:t>
      </w:r>
    </w:p>
    <w:p>
      <w:pPr>
        <w:spacing w:after="0" w:line="131" w:lineRule="exact"/>
        <w:rPr>
          <w:sz w:val="20"/>
          <w:szCs w:val="20"/>
          <w:color w:val="auto"/>
        </w:rPr>
      </w:pPr>
    </w:p>
    <w:p>
      <w:pPr>
        <w:ind w:right="240"/>
        <w:spacing w:after="0" w:line="346" w:lineRule="auto"/>
        <w:rPr>
          <w:sz w:val="20"/>
          <w:szCs w:val="20"/>
          <w:color w:val="auto"/>
        </w:rPr>
      </w:pPr>
      <w:r>
        <w:rPr>
          <w:rFonts w:ascii="Arial" w:cs="Arial" w:eastAsia="Arial" w:hAnsi="Arial"/>
          <w:sz w:val="16"/>
          <w:szCs w:val="16"/>
          <w:color w:val="2D3243"/>
        </w:rPr>
        <w:t>Audit Committee members must satisfy additional independence criteria set forth under Rule 10A-3 under the Exchange Act. In order to be considered independent for purposes of the Rule 10A-3, an Audit Committee member may not, other than in his or her capacity as a member of the Audit Committee, accept consulting, advisory or other fees from us or be an affiliated person. Our Board of Directors has considered the independence and other characteristics of each member of our Audit Committee and has concluded that the composition of our audit committee meets the requirements for independence under the current requirements of SEC rules and regulations and each of the members of our Audit Committee qualifies as an independent director pursuant to Rule 10A-3.</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Compensation Committee</w:t>
      </w:r>
    </w:p>
    <w:p>
      <w:pPr>
        <w:spacing w:after="0" w:line="193" w:lineRule="exact"/>
        <w:rPr>
          <w:sz w:val="20"/>
          <w:szCs w:val="20"/>
          <w:color w:val="auto"/>
        </w:rPr>
      </w:pPr>
    </w:p>
    <w:p>
      <w:pPr>
        <w:ind w:right="780"/>
        <w:spacing w:after="0" w:line="374" w:lineRule="auto"/>
        <w:rPr>
          <w:sz w:val="20"/>
          <w:szCs w:val="20"/>
          <w:color w:val="auto"/>
        </w:rPr>
      </w:pPr>
      <w:r>
        <w:rPr>
          <w:rFonts w:ascii="Arial" w:cs="Arial" w:eastAsia="Arial" w:hAnsi="Arial"/>
          <w:sz w:val="16"/>
          <w:szCs w:val="16"/>
          <w:color w:val="2D3243"/>
        </w:rPr>
        <w:t>Our Compensation Committee operates under a formal charter, which is available free of charge on our website at http://investors.five9.com in the “Governance” section. Our Compensation Committee is responsible for, among other things:</w:t>
      </w:r>
    </w:p>
    <w:p>
      <w:pPr>
        <w:spacing w:after="0" w:line="102"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developing and maintaining our compensation strategies;</w:t>
      </w:r>
    </w:p>
    <w:p>
      <w:pPr>
        <w:spacing w:after="0" w:line="140" w:lineRule="exact"/>
        <w:rPr>
          <w:rFonts w:ascii="Arial" w:cs="Arial" w:eastAsia="Arial" w:hAnsi="Arial"/>
          <w:sz w:val="16"/>
          <w:szCs w:val="16"/>
          <w:color w:val="2D3243"/>
        </w:rPr>
      </w:pPr>
    </w:p>
    <w:p>
      <w:pPr>
        <w:ind w:left="660" w:hanging="328"/>
        <w:spacing w:after="0" w:line="369" w:lineRule="auto"/>
        <w:tabs>
          <w:tab w:leader="none" w:pos="622"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reviewing and approving our executive compensation policies and programs and recommending to the Board of Directors our non-employee director compensation policies and programs;</w:t>
      </w:r>
    </w:p>
    <w:p>
      <w:pPr>
        <w:spacing w:after="0" w:line="1" w:lineRule="exact"/>
        <w:rPr>
          <w:rFonts w:ascii="Arial" w:cs="Arial" w:eastAsia="Arial" w:hAnsi="Arial"/>
          <w:sz w:val="16"/>
          <w:szCs w:val="16"/>
          <w:color w:val="2D3243"/>
        </w:rPr>
      </w:pPr>
    </w:p>
    <w:p>
      <w:pPr>
        <w:ind w:left="660" w:right="540" w:hanging="328"/>
        <w:spacing w:after="0" w:line="369" w:lineRule="auto"/>
        <w:tabs>
          <w:tab w:leader="none" w:pos="622"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reviewing and approving base salary, cash incentive compensation, equity incentive compensation and other compensation for our executive officers;</w:t>
      </w:r>
    </w:p>
    <w:p>
      <w:pPr>
        <w:spacing w:after="0" w:line="1" w:lineRule="exact"/>
        <w:rPr>
          <w:rFonts w:ascii="Arial" w:cs="Arial" w:eastAsia="Arial" w:hAnsi="Arial"/>
          <w:sz w:val="16"/>
          <w:szCs w:val="16"/>
          <w:color w:val="2D3243"/>
        </w:rPr>
      </w:pPr>
    </w:p>
    <w:p>
      <w:pPr>
        <w:ind w:left="620" w:hanging="288"/>
        <w:spacing w:after="0"/>
        <w:tabs>
          <w:tab w:leader="none" w:pos="62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administering our cash and equity-based incentive compensation plans for our executive officers;</w:t>
      </w:r>
    </w:p>
    <w:p>
      <w:pPr>
        <w:spacing w:after="0" w:line="126" w:lineRule="exact"/>
        <w:rPr>
          <w:rFonts w:ascii="Arial" w:cs="Arial" w:eastAsia="Arial" w:hAnsi="Arial"/>
          <w:sz w:val="16"/>
          <w:szCs w:val="16"/>
          <w:color w:val="2D3243"/>
        </w:rPr>
      </w:pPr>
    </w:p>
    <w:p>
      <w:pPr>
        <w:ind w:left="660" w:right="100" w:hanging="328"/>
        <w:spacing w:after="0" w:line="378" w:lineRule="auto"/>
        <w:tabs>
          <w:tab w:leader="none" w:pos="622"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overseeing the management continuity and succession planning process (except as otherwise within the scope of our Nominating and Governance Committee) with respect to our executive officers;</w:t>
      </w:r>
    </w:p>
    <w:p>
      <w:pPr>
        <w:ind w:left="620" w:hanging="288"/>
        <w:spacing w:after="0"/>
        <w:tabs>
          <w:tab w:leader="none" w:pos="62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preparing any report on executive compensation required by the applicable laws, rules and regulations of the SEC and other regulatory bodies;</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overseeing and evaluating the integration of any of our ESG goals and milestones into our executive compensation program;</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overseeing broad-based ERISA-governed benefit plans and programs (including any Section 401(k) plan);</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reviewing and monitoring compensation practices throughout our company to promote fair and equitable compensation practices; and</w:t>
      </w:r>
    </w:p>
    <w:p>
      <w:pPr>
        <w:spacing w:after="0" w:line="140" w:lineRule="exact"/>
        <w:rPr>
          <w:rFonts w:ascii="Arial" w:cs="Arial" w:eastAsia="Arial" w:hAnsi="Arial"/>
          <w:sz w:val="16"/>
          <w:szCs w:val="16"/>
          <w:color w:val="2D3243"/>
        </w:rPr>
      </w:pPr>
    </w:p>
    <w:p>
      <w:pPr>
        <w:ind w:left="620" w:hanging="288"/>
        <w:spacing w:after="0"/>
        <w:tabs>
          <w:tab w:leader="none" w:pos="62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managing such other matters that are delegated to our Compensation Committee by applicable law or by the Board of Directors from time to time.</w:t>
      </w:r>
    </w:p>
    <w:p>
      <w:pPr>
        <w:spacing w:after="0" w:line="235" w:lineRule="exact"/>
        <w:rPr>
          <w:sz w:val="20"/>
          <w:szCs w:val="20"/>
          <w:color w:val="auto"/>
        </w:rPr>
      </w:pPr>
    </w:p>
    <w:p>
      <w:pPr>
        <w:ind w:right="120"/>
        <w:spacing w:after="0" w:line="374" w:lineRule="auto"/>
        <w:rPr>
          <w:sz w:val="20"/>
          <w:szCs w:val="20"/>
          <w:color w:val="auto"/>
        </w:rPr>
      </w:pPr>
      <w:r>
        <w:rPr>
          <w:rFonts w:ascii="Arial" w:cs="Arial" w:eastAsia="Arial" w:hAnsi="Arial"/>
          <w:sz w:val="16"/>
          <w:szCs w:val="16"/>
          <w:color w:val="2D3243"/>
        </w:rPr>
        <w:t>Our Compensation Committee also has the power to investigate any matter brought to its attention within the scope of its duties and authority to retain legal counsel and advisors at our expense to fulfill its responsibilities and duties.</w:t>
      </w:r>
    </w:p>
    <w:p>
      <w:pPr>
        <w:spacing w:after="0" w:line="102" w:lineRule="exact"/>
        <w:rPr>
          <w:sz w:val="20"/>
          <w:szCs w:val="20"/>
          <w:color w:val="auto"/>
        </w:rPr>
      </w:pPr>
    </w:p>
    <w:p>
      <w:pPr>
        <w:ind w:right="60"/>
        <w:spacing w:after="0" w:line="348" w:lineRule="auto"/>
        <w:rPr>
          <w:sz w:val="20"/>
          <w:szCs w:val="20"/>
          <w:color w:val="auto"/>
        </w:rPr>
      </w:pPr>
      <w:r>
        <w:rPr>
          <w:rFonts w:ascii="Arial" w:cs="Arial" w:eastAsia="Arial" w:hAnsi="Arial"/>
          <w:sz w:val="16"/>
          <w:szCs w:val="16"/>
          <w:color w:val="2D3243"/>
        </w:rPr>
        <w:t xml:space="preserve">Our Compensation Committee is currently comprised of </w:t>
      </w:r>
      <w:r>
        <w:rPr>
          <w:rFonts w:ascii="Arial" w:cs="Arial" w:eastAsia="Arial" w:hAnsi="Arial"/>
          <w:sz w:val="16"/>
          <w:szCs w:val="16"/>
          <w:b w:val="1"/>
          <w:bCs w:val="1"/>
          <w:color w:val="2D3243"/>
        </w:rPr>
        <w:t>Ms. Barsamian</w:t>
      </w:r>
      <w:r>
        <w:rPr>
          <w:rFonts w:ascii="Arial" w:cs="Arial" w:eastAsia="Arial" w:hAnsi="Arial"/>
          <w:sz w:val="16"/>
          <w:szCs w:val="16"/>
          <w:color w:val="2D3243"/>
        </w:rPr>
        <w:t xml:space="preserve">, </w:t>
      </w:r>
      <w:r>
        <w:rPr>
          <w:rFonts w:ascii="Arial" w:cs="Arial" w:eastAsia="Arial" w:hAnsi="Arial"/>
          <w:sz w:val="16"/>
          <w:szCs w:val="16"/>
          <w:b w:val="1"/>
          <w:bCs w:val="1"/>
          <w:color w:val="2D3243"/>
        </w:rPr>
        <w:t>Mr. Burdiek</w:t>
      </w:r>
      <w:r>
        <w:rPr>
          <w:rFonts w:ascii="Arial" w:cs="Arial" w:eastAsia="Arial" w:hAnsi="Arial"/>
          <w:sz w:val="16"/>
          <w:szCs w:val="16"/>
          <w:color w:val="2D3243"/>
        </w:rPr>
        <w:t xml:space="preserve">, </w:t>
      </w:r>
      <w:r>
        <w:rPr>
          <w:rFonts w:ascii="Arial" w:cs="Arial" w:eastAsia="Arial" w:hAnsi="Arial"/>
          <w:sz w:val="16"/>
          <w:szCs w:val="16"/>
          <w:b w:val="1"/>
          <w:bCs w:val="1"/>
          <w:color w:val="2D3243"/>
        </w:rPr>
        <w:t>Ms. Iskow</w:t>
      </w:r>
      <w:r>
        <w:rPr>
          <w:rFonts w:ascii="Arial" w:cs="Arial" w:eastAsia="Arial" w:hAnsi="Arial"/>
          <w:sz w:val="16"/>
          <w:szCs w:val="16"/>
          <w:color w:val="2D3243"/>
        </w:rPr>
        <w:t xml:space="preserve"> and </w:t>
      </w:r>
      <w:r>
        <w:rPr>
          <w:rFonts w:ascii="Arial" w:cs="Arial" w:eastAsia="Arial" w:hAnsi="Arial"/>
          <w:sz w:val="16"/>
          <w:szCs w:val="16"/>
          <w:b w:val="1"/>
          <w:bCs w:val="1"/>
          <w:color w:val="2D3243"/>
        </w:rPr>
        <w:t>Mr. Zollars</w:t>
      </w:r>
      <w:r>
        <w:rPr>
          <w:rFonts w:ascii="Arial" w:cs="Arial" w:eastAsia="Arial" w:hAnsi="Arial"/>
          <w:sz w:val="16"/>
          <w:szCs w:val="16"/>
          <w:color w:val="2D3243"/>
        </w:rPr>
        <w:t>, who is the chairperson of the committee. Ms. Iskow was appointed as a member of the Compensation Committee effective December 2023. Ana Pinczuk served on our Compensation Committee until her resignation from the Board and the Compensation Committee on February 6, 2023. Each of the Compensation Committee members meet the independence requirements set forth in the listing standards of NASDAQ and the “non-employee director” standard within the meaning of Rule 16b-3(b)(3) promulgated under the Exchange Act. The Compensation Committee met five times during the year ended December 31, 2023.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Processes and Procedures for Compensation Decisions</w:t>
      </w:r>
    </w:p>
    <w:p>
      <w:pPr>
        <w:spacing w:after="0" w:line="93" w:lineRule="exact"/>
        <w:rPr>
          <w:sz w:val="20"/>
          <w:szCs w:val="20"/>
          <w:color w:val="auto"/>
        </w:rPr>
      </w:pPr>
    </w:p>
    <w:p>
      <w:pPr>
        <w:ind w:right="120"/>
        <w:spacing w:after="0" w:line="344" w:lineRule="auto"/>
        <w:rPr>
          <w:sz w:val="20"/>
          <w:szCs w:val="20"/>
          <w:color w:val="auto"/>
        </w:rPr>
      </w:pPr>
      <w:r>
        <w:rPr>
          <w:rFonts w:ascii="Arial" w:cs="Arial" w:eastAsia="Arial" w:hAnsi="Arial"/>
          <w:sz w:val="16"/>
          <w:szCs w:val="16"/>
          <w:color w:val="2D3243"/>
        </w:rPr>
        <w:t>Our Compensation Committee is responsible for the executive compensation program for our executive officers and reports to our Board of Directors on its discussions, decisions and other actions. Typically, our Chief Executive Officer makes recommendations to our Compensation Committee, often attends committee meetings and is involved in recommending compensation for the respective executive officers who report to him, except that the Chief Executive Officer does not make recommendations as to, nor participate in or attend portions of meetings in which decisions are made with respect to, his compensation or that of Mr. Daniel Burkland, our President and CEO's brother. Our Chief Executive Officer and our human resources team develop and provide recommendations to our Compensation Committee for performance metrics and target award opportunities regarding short-term and long-term incentive compensation for all executive officers (other than themselves, and with respect to Mr. Michael Burkland, other than our President, Mr. Daniel</w:t>
      </w:r>
    </w:p>
    <w:p>
      <w:pPr>
        <w:sectPr>
          <w:pgSz w:w="11900" w:h="16838" w:orient="portrait"/>
          <w:cols w:equalWidth="0" w:num="1">
            <w:col w:w="11240"/>
          </w:cols>
          <w:pgMar w:left="320" w:top="184" w:right="339" w:bottom="0" w:gutter="0" w:footer="0" w:header="0"/>
        </w:sectPr>
      </w:pPr>
    </w:p>
    <w:bookmarkStart w:id="24" w:name="page25"/>
    <w:bookmarkEnd w:id="24"/>
    <w:p>
      <w:pPr>
        <w:ind w:right="480"/>
        <w:spacing w:after="0" w:line="354" w:lineRule="auto"/>
        <w:rPr>
          <w:sz w:val="20"/>
          <w:szCs w:val="20"/>
          <w:color w:val="auto"/>
        </w:rPr>
      </w:pPr>
      <w:r>
        <w:rPr>
          <w:rFonts w:ascii="Arial" w:cs="Arial" w:eastAsia="Arial" w:hAnsi="Arial"/>
          <w:sz w:val="16"/>
          <w:szCs w:val="16"/>
          <w:color w:val="2D3243"/>
        </w:rPr>
        <w:t>Burkland) based on our annual operating plan, as well as provide information semi-annually regarding individual and Company performance. Our Compensation Committee then reviews the recommendations and other data and makes decisions as to total compensation for each executive officer (including our Chief Executive Officer), as well as each individual compensation component.</w:t>
      </w:r>
    </w:p>
    <w:p>
      <w:pPr>
        <w:spacing w:after="0" w:line="131" w:lineRule="exact"/>
        <w:rPr>
          <w:sz w:val="20"/>
          <w:szCs w:val="20"/>
          <w:color w:val="auto"/>
        </w:rPr>
      </w:pPr>
    </w:p>
    <w:p>
      <w:pPr>
        <w:ind w:right="40"/>
        <w:spacing w:after="0" w:line="344" w:lineRule="auto"/>
        <w:rPr>
          <w:sz w:val="20"/>
          <w:szCs w:val="20"/>
          <w:color w:val="auto"/>
        </w:rPr>
      </w:pPr>
      <w:r>
        <w:rPr>
          <w:rFonts w:ascii="Arial" w:cs="Arial" w:eastAsia="Arial" w:hAnsi="Arial"/>
          <w:sz w:val="16"/>
          <w:szCs w:val="16"/>
          <w:color w:val="2D3243"/>
        </w:rPr>
        <w:t>Our Compensation Committee is authorized to retain the services of one or more executive compensation advisors, as it sees fit, in connection with the establishment of our compensation programs and related policies. Since 2013, our Compensation Committee has retained Compensia, Inc. (“Compensia”), a national compensation consultant, to provide it with information, recommendations and other advice relating to executive and director compensation on an ongoing basis. Compensia serves at the discretion of our Compensation Committee. In the second half of 2023, our Compensation Committee engaged Compensia to assist in developing an appropriate group of peer companies to help us determine the appropriate level of overall compensation for our executive officers for 2023, as well as assess each separate element of compensation, with a goal of ensuring that the compensation we offer to our executive officers is consistent with our compensation philosophy and objectives.</w:t>
      </w:r>
    </w:p>
    <w:p>
      <w:pPr>
        <w:spacing w:after="0" w:line="125" w:lineRule="exact"/>
        <w:rPr>
          <w:sz w:val="20"/>
          <w:szCs w:val="20"/>
          <w:color w:val="auto"/>
        </w:rPr>
      </w:pPr>
    </w:p>
    <w:p>
      <w:pPr>
        <w:ind w:right="160"/>
        <w:spacing w:after="0" w:line="374" w:lineRule="auto"/>
        <w:rPr>
          <w:sz w:val="20"/>
          <w:szCs w:val="20"/>
          <w:color w:val="auto"/>
        </w:rPr>
      </w:pPr>
      <w:r>
        <w:rPr>
          <w:rFonts w:ascii="Arial" w:cs="Arial" w:eastAsia="Arial" w:hAnsi="Arial"/>
          <w:sz w:val="16"/>
          <w:szCs w:val="16"/>
          <w:color w:val="2D3243"/>
        </w:rPr>
        <w:t>Following a review of the independence of Compensia, the Compensation Committee concluded that no conflict of interest has been raised with respect to the work of Compensia.</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Compensation Committee Interlocks and Insider Participation</w:t>
      </w:r>
    </w:p>
    <w:p>
      <w:pPr>
        <w:spacing w:after="0" w:line="193" w:lineRule="exact"/>
        <w:rPr>
          <w:sz w:val="20"/>
          <w:szCs w:val="20"/>
          <w:color w:val="auto"/>
        </w:rPr>
      </w:pPr>
    </w:p>
    <w:p>
      <w:pPr>
        <w:spacing w:after="0" w:line="346" w:lineRule="auto"/>
        <w:rPr>
          <w:sz w:val="20"/>
          <w:szCs w:val="20"/>
          <w:color w:val="auto"/>
        </w:rPr>
      </w:pPr>
      <w:r>
        <w:rPr>
          <w:rFonts w:ascii="Arial" w:cs="Arial" w:eastAsia="Arial" w:hAnsi="Arial"/>
          <w:sz w:val="16"/>
          <w:szCs w:val="16"/>
          <w:color w:val="2D3243"/>
        </w:rPr>
        <w:t>Messrs. Burdiek and Zollars, and Ms. Barsamian served as members of our Compensation Committee for the entirety of 2023. Ms. Iskow was appointed as a member of the Compensation Committee effective November 1, 2023. Ms. Pinczuk served on our Compensation Committee until her resignation from the Board and the Compensation Committee on February 6, 2023. None of the individuals who were members of our Compensation Committee during 2023 is or has been an officer or employee of our company. None of our executive officers currently serves, or in 2023 served, as a member of the board of directors or compensation committee (or other board committee performing equivalent functions) of any other company that has one or more of its executive officers serving on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17</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25" w:name="page26"/>
    <w:bookmarkEnd w:id="25"/>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Nominating and Governance Committee</w:t>
      </w:r>
    </w:p>
    <w:p>
      <w:pPr>
        <w:spacing w:after="0" w:line="193" w:lineRule="exact"/>
        <w:rPr>
          <w:sz w:val="20"/>
          <w:szCs w:val="20"/>
          <w:color w:val="auto"/>
        </w:rPr>
      </w:pPr>
    </w:p>
    <w:p>
      <w:pPr>
        <w:spacing w:after="0" w:line="353" w:lineRule="auto"/>
        <w:rPr>
          <w:sz w:val="20"/>
          <w:szCs w:val="20"/>
          <w:color w:val="auto"/>
        </w:rPr>
      </w:pPr>
      <w:r>
        <w:rPr>
          <w:rFonts w:ascii="Arial" w:cs="Arial" w:eastAsia="Arial" w:hAnsi="Arial"/>
          <w:sz w:val="16"/>
          <w:szCs w:val="16"/>
          <w:color w:val="2D3243"/>
        </w:rPr>
        <w:t>Our Nominating and Governance Committee operates under a formal charter, which is available free of charge on the Company’s website at http://investors.five9.com in the “Governance” section. Our Nominating and Governance Committee oversees and assists our Board of Directors in reviewing and recommending corporate governance policies and nominees for election or appointment to our Board of Directors and its committees. The Nominating and Governance Committee is responsible for, among other things:</w:t>
      </w:r>
    </w:p>
    <w:p>
      <w:pPr>
        <w:spacing w:after="0" w:line="119" w:lineRule="exact"/>
        <w:rPr>
          <w:sz w:val="20"/>
          <w:szCs w:val="20"/>
          <w:color w:val="auto"/>
        </w:rPr>
      </w:pPr>
    </w:p>
    <w:p>
      <w:pPr>
        <w:ind w:left="660" w:right="200" w:hanging="328"/>
        <w:spacing w:after="0" w:line="353" w:lineRule="auto"/>
        <w:tabs>
          <w:tab w:leader="none" w:pos="622"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assessing, developing and communicating with our Board of Directors concerning the appropriate criteria for nominating and appointing directors, including the size and composition of the Board of Directors, including diversity disclosure standards under the Nasdaq listing rules or other applicable rules, corporate governance policies, applicable listing standards, laws, rules and regulations, our nominating policy and other factors considered appropriate by our Board of Directors;</w:t>
      </w:r>
    </w:p>
    <w:p>
      <w:pPr>
        <w:spacing w:after="0" w:line="11" w:lineRule="exact"/>
        <w:rPr>
          <w:rFonts w:ascii="Arial" w:cs="Arial" w:eastAsia="Arial" w:hAnsi="Arial"/>
          <w:sz w:val="16"/>
          <w:szCs w:val="16"/>
          <w:color w:val="2D3243"/>
        </w:rPr>
      </w:pPr>
    </w:p>
    <w:p>
      <w:pPr>
        <w:ind w:left="660" w:right="500" w:hanging="328"/>
        <w:spacing w:after="0" w:line="369" w:lineRule="auto"/>
        <w:tabs>
          <w:tab w:leader="none" w:pos="622"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identifying, screening, interviewing and recommending to our Board of Directors the director nominees for annual and special meetings of our stockholders, or to fill a vacancy on the Board of Directors, in each case in accordance with the nominating policy;</w:t>
      </w:r>
    </w:p>
    <w:p>
      <w:pPr>
        <w:spacing w:after="0" w:line="1" w:lineRule="exact"/>
        <w:rPr>
          <w:rFonts w:ascii="Arial" w:cs="Arial" w:eastAsia="Arial" w:hAnsi="Arial"/>
          <w:sz w:val="16"/>
          <w:szCs w:val="16"/>
          <w:color w:val="2D3243"/>
        </w:rPr>
      </w:pPr>
    </w:p>
    <w:p>
      <w:pPr>
        <w:ind w:left="620" w:hanging="288"/>
        <w:spacing w:after="0"/>
        <w:tabs>
          <w:tab w:leader="none" w:pos="620"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reviewing and considering our Board of Directors' leadership structure, and making recommendations to our Board of Directors with respect thereto;</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retaining and terminating any search firm used to identify director candidates and approving the search firm’s fees and other retention terms;</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if and when requested by our Board of Directors, assessing and recommending to the Board of Directors the composition of each of its committees;</w:t>
      </w:r>
    </w:p>
    <w:p>
      <w:pPr>
        <w:spacing w:after="0" w:line="140" w:lineRule="exact"/>
        <w:rPr>
          <w:rFonts w:ascii="Arial" w:cs="Arial" w:eastAsia="Arial" w:hAnsi="Arial"/>
          <w:sz w:val="16"/>
          <w:szCs w:val="16"/>
          <w:color w:val="2D3243"/>
        </w:rPr>
      </w:pPr>
    </w:p>
    <w:p>
      <w:pPr>
        <w:ind w:left="660" w:right="20" w:hanging="328"/>
        <w:spacing w:after="0" w:line="369" w:lineRule="auto"/>
        <w:tabs>
          <w:tab w:leader="none" w:pos="622"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evaluating and overseeing the implementation of our environmental, climate change, diversity and governance programs and the integration of ESG principles and strategies throughout our company;</w:t>
      </w:r>
    </w:p>
    <w:p>
      <w:pPr>
        <w:spacing w:after="0" w:line="1" w:lineRule="exact"/>
        <w:rPr>
          <w:rFonts w:ascii="Arial" w:cs="Arial" w:eastAsia="Arial" w:hAnsi="Arial"/>
          <w:sz w:val="16"/>
          <w:szCs w:val="16"/>
          <w:color w:val="2D3243"/>
        </w:rPr>
      </w:pPr>
    </w:p>
    <w:p>
      <w:pPr>
        <w:ind w:left="660" w:right="140" w:hanging="328"/>
        <w:spacing w:after="0" w:line="369" w:lineRule="auto"/>
        <w:tabs>
          <w:tab w:leader="none" w:pos="622"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reviewing and assessing policies, practices, disclosures and reports, risk assessments and risk management regarding ESG matters, and meeting with our executive officers to review and support specific ESG initiatives;</w:t>
      </w:r>
    </w:p>
    <w:p>
      <w:pPr>
        <w:spacing w:after="0" w:line="1" w:lineRule="exact"/>
        <w:rPr>
          <w:rFonts w:ascii="Arial" w:cs="Arial" w:eastAsia="Arial" w:hAnsi="Arial"/>
          <w:sz w:val="16"/>
          <w:szCs w:val="16"/>
          <w:color w:val="2D3243"/>
        </w:rPr>
      </w:pPr>
    </w:p>
    <w:p>
      <w:pPr>
        <w:ind w:left="660" w:right="160" w:hanging="328"/>
        <w:spacing w:after="0" w:line="378" w:lineRule="auto"/>
        <w:tabs>
          <w:tab w:leader="none" w:pos="622"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reviewing, as necessary, any executive officer’s, and in certain circumstances, any director’s request to accept a directorship position with another company;</w:t>
      </w:r>
    </w:p>
    <w:p>
      <w:pPr>
        <w:ind w:left="660" w:right="340" w:hanging="328"/>
        <w:spacing w:after="0" w:line="369" w:lineRule="auto"/>
        <w:tabs>
          <w:tab w:leader="none" w:pos="622"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developing, assessing and making recommendations to our Board of Directors concerning corporate governance matters, including appropriate revisions to our Charter, Bylaws, corporate governance policies, committee charters and nominating policy;</w:t>
      </w:r>
    </w:p>
    <w:p>
      <w:pPr>
        <w:spacing w:after="0" w:line="1" w:lineRule="exact"/>
        <w:rPr>
          <w:rFonts w:ascii="Arial" w:cs="Arial" w:eastAsia="Arial" w:hAnsi="Arial"/>
          <w:sz w:val="16"/>
          <w:szCs w:val="16"/>
          <w:color w:val="2D3243"/>
        </w:rPr>
      </w:pPr>
    </w:p>
    <w:p>
      <w:pPr>
        <w:ind w:left="620" w:hanging="288"/>
        <w:spacing w:after="0"/>
        <w:tabs>
          <w:tab w:leader="none" w:pos="620"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overseeing an annual evaluation of our Board of Directors, its committees, and each director;</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reviewing and recommending to the Board, the independence of each director and committee member under applicable laws, rules and regulations;</w:t>
      </w:r>
    </w:p>
    <w:p>
      <w:pPr>
        <w:spacing w:after="0" w:line="140" w:lineRule="exact"/>
        <w:rPr>
          <w:rFonts w:ascii="Arial" w:cs="Arial" w:eastAsia="Arial" w:hAnsi="Arial"/>
          <w:sz w:val="16"/>
          <w:szCs w:val="16"/>
          <w:color w:val="2D3243"/>
        </w:rPr>
      </w:pPr>
    </w:p>
    <w:p>
      <w:pPr>
        <w:ind w:left="620" w:hanging="288"/>
        <w:spacing w:after="0"/>
        <w:tabs>
          <w:tab w:leader="none" w:pos="620"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developing with management and monitoring the process of orienting new directors and continuing education for all directors; and</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regularly reporting its activities and recommendations to our Board of Directors.</w:t>
      </w:r>
    </w:p>
    <w:p>
      <w:pPr>
        <w:spacing w:after="0" w:line="235" w:lineRule="exact"/>
        <w:rPr>
          <w:sz w:val="20"/>
          <w:szCs w:val="20"/>
          <w:color w:val="auto"/>
        </w:rPr>
      </w:pPr>
    </w:p>
    <w:p>
      <w:pPr>
        <w:ind w:right="240"/>
        <w:spacing w:after="0" w:line="374" w:lineRule="auto"/>
        <w:rPr>
          <w:sz w:val="20"/>
          <w:szCs w:val="20"/>
          <w:color w:val="auto"/>
        </w:rPr>
      </w:pPr>
      <w:r>
        <w:rPr>
          <w:rFonts w:ascii="Arial" w:cs="Arial" w:eastAsia="Arial" w:hAnsi="Arial"/>
          <w:sz w:val="16"/>
          <w:szCs w:val="16"/>
          <w:color w:val="2D3243"/>
        </w:rPr>
        <w:t>The Nominating and Governance Committee also has the power to investigate any matter brought to its attention within the scope of its duties. It also has the authority to retain counsel and advisors at our expense for any matters related to the fulfillment of its responsibilities and duties.</w:t>
      </w:r>
    </w:p>
    <w:p>
      <w:pPr>
        <w:spacing w:after="0" w:line="102" w:lineRule="exact"/>
        <w:rPr>
          <w:sz w:val="20"/>
          <w:szCs w:val="20"/>
          <w:color w:val="auto"/>
        </w:rPr>
      </w:pPr>
    </w:p>
    <w:p>
      <w:pPr>
        <w:ind w:right="160"/>
        <w:spacing w:after="0" w:line="363" w:lineRule="auto"/>
        <w:rPr>
          <w:sz w:val="20"/>
          <w:szCs w:val="20"/>
          <w:color w:val="auto"/>
        </w:rPr>
      </w:pPr>
      <w:r>
        <w:rPr>
          <w:rFonts w:ascii="Arial" w:cs="Arial" w:eastAsia="Arial" w:hAnsi="Arial"/>
          <w:sz w:val="16"/>
          <w:szCs w:val="16"/>
          <w:color w:val="2D3243"/>
        </w:rPr>
        <w:t xml:space="preserve">Our Nominating and Governance Committee is comprised of </w:t>
      </w:r>
      <w:r>
        <w:rPr>
          <w:rFonts w:ascii="Arial" w:cs="Arial" w:eastAsia="Arial" w:hAnsi="Arial"/>
          <w:sz w:val="16"/>
          <w:szCs w:val="16"/>
          <w:b w:val="1"/>
          <w:bCs w:val="1"/>
          <w:color w:val="2D3243"/>
        </w:rPr>
        <w:t>Mr. DeWalt</w:t>
      </w:r>
      <w:r>
        <w:rPr>
          <w:rFonts w:ascii="Arial" w:cs="Arial" w:eastAsia="Arial" w:hAnsi="Arial"/>
          <w:sz w:val="16"/>
          <w:szCs w:val="16"/>
          <w:color w:val="2D3243"/>
        </w:rPr>
        <w:t xml:space="preserve">, </w:t>
      </w:r>
      <w:r>
        <w:rPr>
          <w:rFonts w:ascii="Arial" w:cs="Arial" w:eastAsia="Arial" w:hAnsi="Arial"/>
          <w:sz w:val="16"/>
          <w:szCs w:val="16"/>
          <w:b w:val="1"/>
          <w:bCs w:val="1"/>
          <w:color w:val="2D3243"/>
        </w:rPr>
        <w:t>Mr. Zollars</w:t>
      </w:r>
      <w:r>
        <w:rPr>
          <w:rFonts w:ascii="Arial" w:cs="Arial" w:eastAsia="Arial" w:hAnsi="Arial"/>
          <w:sz w:val="16"/>
          <w:szCs w:val="16"/>
          <w:color w:val="2D3243"/>
        </w:rPr>
        <w:t xml:space="preserve"> and </w:t>
      </w:r>
      <w:r>
        <w:rPr>
          <w:rFonts w:ascii="Arial" w:cs="Arial" w:eastAsia="Arial" w:hAnsi="Arial"/>
          <w:sz w:val="16"/>
          <w:szCs w:val="16"/>
          <w:b w:val="1"/>
          <w:bCs w:val="1"/>
          <w:color w:val="2D3243"/>
        </w:rPr>
        <w:t>Mr. Welsh</w:t>
      </w:r>
      <w:r>
        <w:rPr>
          <w:rFonts w:ascii="Arial" w:cs="Arial" w:eastAsia="Arial" w:hAnsi="Arial"/>
          <w:sz w:val="16"/>
          <w:szCs w:val="16"/>
          <w:color w:val="2D3243"/>
        </w:rPr>
        <w:t>, who is the chairperson of the committee. Mr. DeWalt will cease to serve as a member of the Nominating and Governance Committee at the end of his term as a director, which will end at the Annual Meeting. Each of the Nominating and Governance Committee members meet the independence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18</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6" w:name="page27"/>
    <w:bookmarkEnd w:id="26"/>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2D3243"/>
        </w:rPr>
        <w:t>requirements set forth in the rules of NASDAQ. Our Nominating and Governance Committee met six times during the year ended December 31,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Identifying, Evaluating and Recommending Nominees</w:t>
      </w:r>
    </w:p>
    <w:p>
      <w:pPr>
        <w:spacing w:after="0" w:line="93" w:lineRule="exact"/>
        <w:rPr>
          <w:sz w:val="20"/>
          <w:szCs w:val="20"/>
          <w:color w:val="auto"/>
        </w:rPr>
      </w:pPr>
    </w:p>
    <w:p>
      <w:pPr>
        <w:ind w:right="100"/>
        <w:spacing w:after="0" w:line="344" w:lineRule="auto"/>
        <w:rPr>
          <w:sz w:val="20"/>
          <w:szCs w:val="20"/>
          <w:color w:val="auto"/>
        </w:rPr>
      </w:pPr>
      <w:r>
        <w:rPr>
          <w:rFonts w:ascii="Arial" w:cs="Arial" w:eastAsia="Arial" w:hAnsi="Arial"/>
          <w:sz w:val="16"/>
          <w:szCs w:val="16"/>
          <w:color w:val="2D3243"/>
        </w:rPr>
        <w:t>The Nominating and Governance Committee initiates the process of identifying and recommending Board nominees by preparing a slate of potential candidates who, based on their biographical information and other information available to the Nominating and Governance Committee, appear to meet the criteria specified below and/or who have specific qualities, skills or experience being sought (based on input from the full Board of Directors). The Nominating and Governance Committee may engage a third-party search firm or other advisors to assist in identifying prospective nominees, consider stockholder suggestions for potential nominees or re-nominate existing directors based on their continuing qualifications. The Nominating and Governance Committee and the terms of our Corporate Governance Guidelines limit the number of officers or employees of the Company serving at any time on the Board to maintain a majority of independent directors.</w:t>
      </w:r>
    </w:p>
    <w:p>
      <w:pPr>
        <w:spacing w:after="0" w:line="139" w:lineRule="exact"/>
        <w:rPr>
          <w:sz w:val="20"/>
          <w:szCs w:val="20"/>
          <w:color w:val="auto"/>
        </w:rPr>
      </w:pPr>
    </w:p>
    <w:p>
      <w:pPr>
        <w:ind w:right="100"/>
        <w:spacing w:after="0" w:line="344" w:lineRule="auto"/>
        <w:rPr>
          <w:sz w:val="20"/>
          <w:szCs w:val="20"/>
          <w:color w:val="auto"/>
        </w:rPr>
      </w:pPr>
      <w:r>
        <w:rPr>
          <w:rFonts w:ascii="Arial" w:cs="Arial" w:eastAsia="Arial" w:hAnsi="Arial"/>
          <w:sz w:val="16"/>
          <w:szCs w:val="16"/>
          <w:color w:val="2D3243"/>
        </w:rPr>
        <w:t>After reviewing appropriate biographical information and qualifications, first-time candidates are interviewed by at least one member of the Nominating and Governance Committee and by the Chairman of the Board. Upon completion of the above procedures, the Nominating and Governance Committee determines the list of potential candidates to be recommended to the full Board of Directors for nomination at the annual meeting or special meeting or to fill any vacancy. The Board of Directors selects the slate of nominees (or in the case of a vacancy, selects such nominee) only from candidates identified, screened and approved by the Nominating and Governance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Qualifications for Director Nominees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D3243"/>
        </w:rPr>
        <w:t>The Nominating and Governance Committee has established the following minimum criteria for evaluating prospective Board candidates:</w:t>
      </w:r>
    </w:p>
    <w:p>
      <w:pPr>
        <w:spacing w:after="0" w:line="248" w:lineRule="exact"/>
        <w:rPr>
          <w:sz w:val="20"/>
          <w:szCs w:val="20"/>
          <w:color w:val="auto"/>
        </w:rPr>
      </w:pPr>
    </w:p>
    <w:p>
      <w:pPr>
        <w:ind w:left="780" w:hanging="286"/>
        <w:spacing w:after="0"/>
        <w:tabs>
          <w:tab w:leader="none" w:pos="780"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Reputation for integrity, strong moral character and adherence to high ethical standards.</w:t>
      </w:r>
    </w:p>
    <w:p>
      <w:pPr>
        <w:spacing w:after="0" w:line="126" w:lineRule="exact"/>
        <w:rPr>
          <w:rFonts w:ascii="Arial" w:cs="Arial" w:eastAsia="Arial" w:hAnsi="Arial"/>
          <w:sz w:val="16"/>
          <w:szCs w:val="16"/>
          <w:color w:val="2D3243"/>
        </w:rPr>
      </w:pPr>
    </w:p>
    <w:p>
      <w:pPr>
        <w:ind w:left="820" w:right="200" w:hanging="326"/>
        <w:spacing w:after="0" w:line="369" w:lineRule="auto"/>
        <w:tabs>
          <w:tab w:leader="none" w:pos="782"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Holds or has held a generally recognized position of leadership in his or her community and/or chosen field of endeavor, and has demonstrated high levels of accomplishment.</w:t>
      </w:r>
    </w:p>
    <w:p>
      <w:pPr>
        <w:spacing w:after="0" w:line="1" w:lineRule="exact"/>
        <w:rPr>
          <w:rFonts w:ascii="Arial" w:cs="Arial" w:eastAsia="Arial" w:hAnsi="Arial"/>
          <w:sz w:val="16"/>
          <w:szCs w:val="16"/>
          <w:color w:val="2D3243"/>
        </w:rPr>
      </w:pPr>
    </w:p>
    <w:p>
      <w:pPr>
        <w:ind w:left="820" w:hanging="326"/>
        <w:spacing w:after="0" w:line="374" w:lineRule="auto"/>
        <w:tabs>
          <w:tab w:leader="none" w:pos="782"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Demonstrated business acumen and experience, and ability to exercise sound business judgment and common sense in matters that relate to the current and long-term objectives of the Company.</w:t>
      </w:r>
    </w:p>
    <w:p>
      <w:pPr>
        <w:spacing w:after="0" w:line="7" w:lineRule="exact"/>
        <w:rPr>
          <w:rFonts w:ascii="Arial" w:cs="Arial" w:eastAsia="Arial" w:hAnsi="Arial"/>
          <w:sz w:val="16"/>
          <w:szCs w:val="16"/>
          <w:color w:val="2D3243"/>
        </w:rPr>
      </w:pPr>
    </w:p>
    <w:p>
      <w:pPr>
        <w:ind w:left="780" w:hanging="286"/>
        <w:spacing w:after="0"/>
        <w:tabs>
          <w:tab w:leader="none" w:pos="780"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Ability to read and understand basic financial statements and other financial information pertaining to the Company.</w:t>
      </w:r>
    </w:p>
    <w:p>
      <w:pPr>
        <w:spacing w:after="0" w:line="126" w:lineRule="exact"/>
        <w:rPr>
          <w:rFonts w:ascii="Arial" w:cs="Arial" w:eastAsia="Arial" w:hAnsi="Arial"/>
          <w:sz w:val="16"/>
          <w:szCs w:val="16"/>
          <w:color w:val="2D3243"/>
        </w:rPr>
      </w:pPr>
    </w:p>
    <w:p>
      <w:pPr>
        <w:ind w:left="780" w:hanging="286"/>
        <w:spacing w:after="0"/>
        <w:tabs>
          <w:tab w:leader="none" w:pos="780"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Commitment to understand the Company and its business, industry and strategic objectives.</w:t>
      </w:r>
    </w:p>
    <w:p>
      <w:pPr>
        <w:spacing w:after="0" w:line="126" w:lineRule="exact"/>
        <w:rPr>
          <w:rFonts w:ascii="Arial" w:cs="Arial" w:eastAsia="Arial" w:hAnsi="Arial"/>
          <w:sz w:val="16"/>
          <w:szCs w:val="16"/>
          <w:color w:val="2D3243"/>
        </w:rPr>
      </w:pPr>
    </w:p>
    <w:p>
      <w:pPr>
        <w:ind w:left="820" w:right="580" w:hanging="326"/>
        <w:spacing w:after="0" w:line="369" w:lineRule="auto"/>
        <w:tabs>
          <w:tab w:leader="none" w:pos="782"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Commitment and ability to regularly attend and participate in meetings of the Board of Directors, committees of the Board of Directors and stockholders.</w:t>
      </w:r>
    </w:p>
    <w:p>
      <w:pPr>
        <w:spacing w:after="0" w:line="1" w:lineRule="exact"/>
        <w:rPr>
          <w:rFonts w:ascii="Arial" w:cs="Arial" w:eastAsia="Arial" w:hAnsi="Arial"/>
          <w:sz w:val="16"/>
          <w:szCs w:val="16"/>
          <w:color w:val="2D3243"/>
        </w:rPr>
      </w:pPr>
    </w:p>
    <w:p>
      <w:pPr>
        <w:ind w:left="820" w:right="220" w:hanging="326"/>
        <w:spacing w:after="0" w:line="378" w:lineRule="auto"/>
        <w:tabs>
          <w:tab w:leader="none" w:pos="782"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Number of other company boards of directors on which the candidate serves and ability to generally fulfill all responsibilities as a director of the Company.</w:t>
      </w:r>
    </w:p>
    <w:p>
      <w:pPr>
        <w:ind w:left="780" w:hanging="286"/>
        <w:spacing w:after="0"/>
        <w:tabs>
          <w:tab w:leader="none" w:pos="780"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Willingness to represent and act in the interests of all stockholders of the Company rather than the interests of a particular group.</w:t>
      </w:r>
    </w:p>
    <w:p>
      <w:pPr>
        <w:spacing w:after="0" w:line="126" w:lineRule="exact"/>
        <w:rPr>
          <w:rFonts w:ascii="Arial" w:cs="Arial" w:eastAsia="Arial" w:hAnsi="Arial"/>
          <w:sz w:val="16"/>
          <w:szCs w:val="16"/>
          <w:color w:val="2D3243"/>
        </w:rPr>
      </w:pPr>
    </w:p>
    <w:p>
      <w:pPr>
        <w:ind w:left="780" w:hanging="286"/>
        <w:spacing w:after="0"/>
        <w:tabs>
          <w:tab w:leader="none" w:pos="780"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Good health, and ability to serve.</w:t>
      </w:r>
    </w:p>
    <w:p>
      <w:pPr>
        <w:spacing w:after="0" w:line="126" w:lineRule="exact"/>
        <w:rPr>
          <w:rFonts w:ascii="Arial" w:cs="Arial" w:eastAsia="Arial" w:hAnsi="Arial"/>
          <w:sz w:val="16"/>
          <w:szCs w:val="16"/>
          <w:color w:val="2D3243"/>
        </w:rPr>
      </w:pPr>
    </w:p>
    <w:p>
      <w:pPr>
        <w:ind w:left="820" w:right="480" w:hanging="326"/>
        <w:spacing w:after="0" w:line="369" w:lineRule="auto"/>
        <w:tabs>
          <w:tab w:leader="none" w:pos="782"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For prospective non-employee directors, independence under applicable SEC and stock exchange rules, and the absence of any conflict of interest (whether due to a business or personal relationship) or legal impediment to, or restriction on, the nominee serving as a director.</w:t>
      </w:r>
    </w:p>
    <w:p>
      <w:pPr>
        <w:spacing w:after="0" w:line="1" w:lineRule="exact"/>
        <w:rPr>
          <w:rFonts w:ascii="Arial" w:cs="Arial" w:eastAsia="Arial" w:hAnsi="Arial"/>
          <w:sz w:val="16"/>
          <w:szCs w:val="16"/>
          <w:color w:val="2D3243"/>
        </w:rPr>
      </w:pPr>
    </w:p>
    <w:p>
      <w:pPr>
        <w:ind w:left="780" w:hanging="286"/>
        <w:spacing w:after="0"/>
        <w:tabs>
          <w:tab w:leader="none" w:pos="780"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Willingness to accept the nomination to serve as a director of the Company.</w:t>
      </w:r>
    </w:p>
    <w:p>
      <w:pPr>
        <w:spacing w:after="0" w:line="140" w:lineRule="exact"/>
        <w:rPr>
          <w:rFonts w:ascii="Arial" w:cs="Arial" w:eastAsia="Arial" w:hAnsi="Arial"/>
          <w:sz w:val="16"/>
          <w:szCs w:val="16"/>
          <w:color w:val="2D3243"/>
        </w:rPr>
      </w:pPr>
    </w:p>
    <w:p>
      <w:pPr>
        <w:ind w:left="820" w:right="80" w:hanging="326"/>
        <w:spacing w:after="0" w:line="354" w:lineRule="auto"/>
        <w:tabs>
          <w:tab w:leader="none" w:pos="782"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Directors that reach or exceed 72 years of age in a calendar year in which their term of office as a director will expire are required to tender his or her resignation to the Nominating and Governance Committee, for consideration by the Board of Directors upon the recommendation of the 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19</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7" w:name="page28"/>
    <w:bookmarkEnd w:id="27"/>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Other Factors for Potential Director Nominee Consideration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D3243"/>
        </w:rPr>
        <w:t>The Nominating and Governance Committee will also consider the following factors in connection with its evaluation of each prospective nominee:</w:t>
      </w:r>
    </w:p>
    <w:p>
      <w:pPr>
        <w:spacing w:after="0" w:line="235" w:lineRule="exact"/>
        <w:rPr>
          <w:sz w:val="20"/>
          <w:szCs w:val="20"/>
          <w:color w:val="auto"/>
        </w:rPr>
      </w:pPr>
    </w:p>
    <w:p>
      <w:pPr>
        <w:ind w:left="820" w:right="580" w:hanging="326"/>
        <w:spacing w:after="0" w:line="374" w:lineRule="auto"/>
        <w:tabs>
          <w:tab w:leader="none" w:pos="782"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Whether the prospective nominee will foster a diversity of backgrounds, skills, perspectives and experiences, including diversity disclosure standards under the Nasdaq listing rules and any other applicable disclosure rules.</w:t>
      </w:r>
    </w:p>
    <w:p>
      <w:pPr>
        <w:spacing w:after="0" w:line="7" w:lineRule="exact"/>
        <w:rPr>
          <w:rFonts w:ascii="Arial" w:cs="Arial" w:eastAsia="Arial" w:hAnsi="Arial"/>
          <w:sz w:val="16"/>
          <w:szCs w:val="16"/>
          <w:color w:val="2D3243"/>
        </w:rPr>
      </w:pPr>
    </w:p>
    <w:p>
      <w:pPr>
        <w:ind w:left="820" w:right="680" w:hanging="326"/>
        <w:spacing w:after="0" w:line="369" w:lineRule="auto"/>
        <w:tabs>
          <w:tab w:leader="none" w:pos="782"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Whether the prospective nominee has expertise on ESG issues, including social responsibility, environmental, climate, sustainability, and governance.</w:t>
      </w:r>
    </w:p>
    <w:p>
      <w:pPr>
        <w:spacing w:after="0" w:line="1" w:lineRule="exact"/>
        <w:rPr>
          <w:rFonts w:ascii="Arial" w:cs="Arial" w:eastAsia="Arial" w:hAnsi="Arial"/>
          <w:sz w:val="16"/>
          <w:szCs w:val="16"/>
          <w:color w:val="2D3243"/>
        </w:rPr>
      </w:pPr>
    </w:p>
    <w:p>
      <w:pPr>
        <w:ind w:left="780" w:hanging="286"/>
        <w:spacing w:after="0"/>
        <w:tabs>
          <w:tab w:leader="none" w:pos="780"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Whether the prospective nominee has experience and expertise on cybersecurity issues.</w:t>
      </w:r>
    </w:p>
    <w:p>
      <w:pPr>
        <w:spacing w:after="0" w:line="126" w:lineRule="exact"/>
        <w:rPr>
          <w:rFonts w:ascii="Arial" w:cs="Arial" w:eastAsia="Arial" w:hAnsi="Arial"/>
          <w:sz w:val="16"/>
          <w:szCs w:val="16"/>
          <w:color w:val="2D3243"/>
        </w:rPr>
      </w:pPr>
    </w:p>
    <w:p>
      <w:pPr>
        <w:ind w:left="820" w:right="20" w:hanging="326"/>
        <w:spacing w:after="0" w:line="374" w:lineRule="auto"/>
        <w:tabs>
          <w:tab w:leader="none" w:pos="782"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For potential Audit Committee members, whether the nominee possesses the requisite education, training and experience to qualify as “financially literate” or as an audit committee “financial expert” or equivalent requirement under applicable SEC and stock exchange rules.</w:t>
      </w:r>
    </w:p>
    <w:p>
      <w:pPr>
        <w:spacing w:after="0" w:line="7" w:lineRule="exact"/>
        <w:rPr>
          <w:rFonts w:ascii="Arial" w:cs="Arial" w:eastAsia="Arial" w:hAnsi="Arial"/>
          <w:sz w:val="16"/>
          <w:szCs w:val="16"/>
          <w:color w:val="2D3243"/>
        </w:rPr>
      </w:pPr>
    </w:p>
    <w:p>
      <w:pPr>
        <w:ind w:left="820" w:right="240" w:hanging="326"/>
        <w:spacing w:after="0" w:line="347" w:lineRule="auto"/>
        <w:tabs>
          <w:tab w:leader="none" w:pos="782"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For incumbent directors standing for re-election, the incumbent director’s performance during his or her term, including the number of meetings attended, level of participation, overall contribution to the Company, number of other company boards on which the director serves and any changed circumstances affecting the individual director that may bear on his or her ability to effectively continue to serve on the Board of Directors.</w:t>
      </w:r>
    </w:p>
    <w:p>
      <w:pPr>
        <w:spacing w:after="0" w:line="15" w:lineRule="exact"/>
        <w:rPr>
          <w:rFonts w:ascii="Arial" w:cs="Arial" w:eastAsia="Arial" w:hAnsi="Arial"/>
          <w:sz w:val="16"/>
          <w:szCs w:val="16"/>
          <w:color w:val="2D3243"/>
        </w:rPr>
      </w:pPr>
    </w:p>
    <w:p>
      <w:pPr>
        <w:ind w:left="820" w:right="140" w:hanging="326"/>
        <w:spacing w:after="0" w:line="374" w:lineRule="auto"/>
        <w:tabs>
          <w:tab w:leader="none" w:pos="782"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The composition of the Board of Directors and whether the prospective nominee will add to or complement the Board of Director’s existing skills, strengths and needs.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Stockholder Suggestions for Potential Nominees</w:t>
      </w:r>
    </w:p>
    <w:p>
      <w:pPr>
        <w:spacing w:after="0" w:line="93"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color w:val="2D3243"/>
        </w:rPr>
        <w:t>Our Nominating and Governance Committee oversees and assists our Board of Directors in reviewing and recommending corporate governance policies and nominees for election to our Board of Directors and its committees. The Nominating and Governance Committee will consider suggestions of nominees from stockholders. There have not been material changes to the procedures by which our stockholders may recommend nominees to the Board of Directors as disclosed in our proxy statement for the 2023 annual meeting of stockholders filed with the SEC on April 5, 2023.</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Classified Board Structure</w:t>
      </w:r>
    </w:p>
    <w:p>
      <w:pPr>
        <w:spacing w:after="0" w:line="207" w:lineRule="exact"/>
        <w:rPr>
          <w:sz w:val="20"/>
          <w:szCs w:val="20"/>
          <w:color w:val="auto"/>
        </w:rPr>
      </w:pPr>
    </w:p>
    <w:p>
      <w:pPr>
        <w:spacing w:after="0" w:line="344" w:lineRule="auto"/>
        <w:rPr>
          <w:sz w:val="20"/>
          <w:szCs w:val="20"/>
          <w:color w:val="auto"/>
        </w:rPr>
      </w:pPr>
      <w:r>
        <w:rPr>
          <w:rFonts w:ascii="Arial" w:cs="Arial" w:eastAsia="Arial" w:hAnsi="Arial"/>
          <w:sz w:val="16"/>
          <w:szCs w:val="16"/>
          <w:color w:val="2D3243"/>
        </w:rPr>
        <w:t>Our Board of Directors believes that there is no “one size fits all” governance approach. The appropriate standard by which to judge our classified board structure is whether it protects the interests of our stockholders. According to recent proxy statements and publicly available documents, 13 of 20 of our 2023 executive compensation peer group companies that are currently public companies also currently have classified or staggered board structures. Of the seven companies that do not currently have classified board structures, one has super-voting stock held by its Chief Executive Officer. We believe that our classified board structure is consistent with our peer group and protects our company and our stockholders for the following reasons: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The Classified Board Structure Aligns our Board of Directors with our Long-term Interests.</w:t>
      </w:r>
    </w:p>
    <w:p>
      <w:pPr>
        <w:spacing w:after="0" w:line="93" w:lineRule="exact"/>
        <w:rPr>
          <w:sz w:val="20"/>
          <w:szCs w:val="20"/>
          <w:color w:val="auto"/>
        </w:rPr>
      </w:pPr>
    </w:p>
    <w:p>
      <w:pPr>
        <w:ind w:right="20"/>
        <w:spacing w:after="0" w:line="344" w:lineRule="auto"/>
        <w:rPr>
          <w:sz w:val="20"/>
          <w:szCs w:val="20"/>
          <w:color w:val="auto"/>
        </w:rPr>
      </w:pPr>
      <w:r>
        <w:rPr>
          <w:rFonts w:ascii="Arial" w:cs="Arial" w:eastAsia="Arial" w:hAnsi="Arial"/>
          <w:sz w:val="16"/>
          <w:szCs w:val="16"/>
          <w:color w:val="2D3243"/>
        </w:rPr>
        <w:t>Our classified board encourages our directors to look to the long-term best interests of our company and our stockholders and allows for stable and informed oversight, providing institutional perspective both to management and other directors. Our classified board structure is designed to ensure that, at any given time, there are directors serving on our Board of Directors who have substantial knowledge of our company and its business, strategic goals, history, technology, operations, culture, and employee base. We believe three-year terms enable our directors to develop substantive knowledge about our complex business and operations, which enables them to make long-term strategic decisions that are in the best interest of our stockholders. Our classified board structure enables our directors to build on their own past experience and the experience of continuing directors for more effective long-term strategic planning. Currently our Board of Directors is comprised of individuals with the following tenures: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20</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8" w:name="page29"/>
    <w:bookmarkEnd w:id="28"/>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1400" w:type="dxa"/>
            <w:vAlign w:val="bottom"/>
            <w:shd w:val="clear" w:color="auto" w:fill="0336FF"/>
          </w:tcPr>
          <w:p>
            <w:pPr>
              <w:jc w:val="center"/>
              <w:spacing w:after="0"/>
              <w:rPr>
                <w:sz w:val="20"/>
                <w:szCs w:val="20"/>
                <w:color w:val="auto"/>
              </w:rPr>
            </w:pPr>
            <w:r>
              <w:rPr>
                <w:rFonts w:ascii="Arial" w:cs="Arial" w:eastAsia="Arial" w:hAnsi="Arial"/>
                <w:sz w:val="14"/>
                <w:szCs w:val="14"/>
                <w:b w:val="1"/>
                <w:bCs w:val="1"/>
                <w:color w:val="FFFFFF"/>
              </w:rPr>
              <w:t>Director Since</w:t>
            </w:r>
          </w:p>
        </w:tc>
      </w:tr>
      <w:tr>
        <w:trPr>
          <w:trHeight w:val="67"/>
        </w:trPr>
        <w:tc>
          <w:tcPr>
            <w:tcW w:w="9840" w:type="dxa"/>
            <w:vAlign w:val="bottom"/>
            <w:shd w:val="clear" w:color="auto" w:fill="0336FF"/>
          </w:tcPr>
          <w:p>
            <w:pPr>
              <w:spacing w:after="0"/>
              <w:rPr>
                <w:sz w:val="5"/>
                <w:szCs w:val="5"/>
                <w:color w:val="auto"/>
              </w:rPr>
            </w:pPr>
          </w:p>
        </w:tc>
        <w:tc>
          <w:tcPr>
            <w:tcW w:w="1400" w:type="dxa"/>
            <w:vAlign w:val="bottom"/>
            <w:shd w:val="clear" w:color="auto" w:fill="0336FF"/>
          </w:tcPr>
          <w:p>
            <w:pPr>
              <w:spacing w:after="0"/>
              <w:rPr>
                <w:sz w:val="5"/>
                <w:szCs w:val="5"/>
                <w:color w:val="auto"/>
              </w:rPr>
            </w:pPr>
          </w:p>
        </w:tc>
      </w:tr>
      <w:tr>
        <w:trPr>
          <w:trHeight w:val="222"/>
        </w:trPr>
        <w:tc>
          <w:tcPr>
            <w:tcW w:w="984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1400" w:type="dxa"/>
            <w:vAlign w:val="bottom"/>
          </w:tcPr>
          <w:p>
            <w:pPr>
              <w:jc w:val="center"/>
              <w:spacing w:after="0"/>
              <w:rPr>
                <w:sz w:val="20"/>
                <w:szCs w:val="20"/>
                <w:color w:val="auto"/>
              </w:rPr>
            </w:pPr>
            <w:r>
              <w:rPr>
                <w:rFonts w:ascii="Arial" w:cs="Arial" w:eastAsia="Arial" w:hAnsi="Arial"/>
                <w:sz w:val="14"/>
                <w:szCs w:val="14"/>
                <w:color w:val="2D3243"/>
              </w:rPr>
              <w:t>2008</w:t>
            </w:r>
          </w:p>
        </w:tc>
      </w:tr>
      <w:tr>
        <w:trPr>
          <w:trHeight w:val="237"/>
        </w:trPr>
        <w:tc>
          <w:tcPr>
            <w:tcW w:w="984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Jack Acosta</w:t>
            </w:r>
          </w:p>
        </w:tc>
        <w:tc>
          <w:tcPr>
            <w:tcW w:w="140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2011</w:t>
            </w:r>
          </w:p>
        </w:tc>
      </w:tr>
      <w:tr>
        <w:trPr>
          <w:trHeight w:val="222"/>
        </w:trPr>
        <w:tc>
          <w:tcPr>
            <w:tcW w:w="9840" w:type="dxa"/>
            <w:vAlign w:val="bottom"/>
          </w:tcPr>
          <w:p>
            <w:pPr>
              <w:ind w:left="100"/>
              <w:spacing w:after="0"/>
              <w:rPr>
                <w:sz w:val="20"/>
                <w:szCs w:val="20"/>
                <w:color w:val="auto"/>
              </w:rPr>
            </w:pPr>
            <w:r>
              <w:rPr>
                <w:rFonts w:ascii="Arial" w:cs="Arial" w:eastAsia="Arial" w:hAnsi="Arial"/>
                <w:sz w:val="14"/>
                <w:szCs w:val="14"/>
                <w:b w:val="1"/>
                <w:bCs w:val="1"/>
                <w:color w:val="2D3243"/>
              </w:rPr>
              <w:t>Susan Barsamian</w:t>
            </w:r>
          </w:p>
        </w:tc>
        <w:tc>
          <w:tcPr>
            <w:tcW w:w="1400" w:type="dxa"/>
            <w:vAlign w:val="bottom"/>
          </w:tcPr>
          <w:p>
            <w:pPr>
              <w:jc w:val="center"/>
              <w:spacing w:after="0"/>
              <w:rPr>
                <w:sz w:val="20"/>
                <w:szCs w:val="20"/>
                <w:color w:val="auto"/>
              </w:rPr>
            </w:pPr>
            <w:r>
              <w:rPr>
                <w:rFonts w:ascii="Arial" w:cs="Arial" w:eastAsia="Arial" w:hAnsi="Arial"/>
                <w:sz w:val="14"/>
                <w:szCs w:val="14"/>
                <w:color w:val="2D3243"/>
              </w:rPr>
              <w:t>2021</w:t>
            </w:r>
          </w:p>
        </w:tc>
      </w:tr>
      <w:tr>
        <w:trPr>
          <w:trHeight w:val="237"/>
        </w:trPr>
        <w:tc>
          <w:tcPr>
            <w:tcW w:w="984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Michael Burdiek</w:t>
            </w:r>
          </w:p>
        </w:tc>
        <w:tc>
          <w:tcPr>
            <w:tcW w:w="140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2015</w:t>
            </w:r>
          </w:p>
        </w:tc>
      </w:tr>
      <w:tr>
        <w:trPr>
          <w:trHeight w:val="276"/>
        </w:trPr>
        <w:tc>
          <w:tcPr>
            <w:tcW w:w="9840" w:type="dxa"/>
            <w:vAlign w:val="bottom"/>
          </w:tcPr>
          <w:p>
            <w:pPr>
              <w:ind w:left="100"/>
              <w:spacing w:after="0"/>
              <w:rPr>
                <w:sz w:val="20"/>
                <w:szCs w:val="20"/>
                <w:color w:val="auto"/>
              </w:rPr>
            </w:pPr>
            <w:r>
              <w:rPr>
                <w:rFonts w:ascii="Arial" w:cs="Arial" w:eastAsia="Arial" w:hAnsi="Arial"/>
                <w:sz w:val="14"/>
                <w:szCs w:val="14"/>
                <w:b w:val="1"/>
                <w:bCs w:val="1"/>
                <w:color w:val="2D3243"/>
              </w:rPr>
              <w:t>David DeWalt</w:t>
            </w:r>
            <w:r>
              <w:rPr>
                <w:rFonts w:ascii="Arial" w:cs="Arial" w:eastAsia="Arial" w:hAnsi="Arial"/>
                <w:sz w:val="18"/>
                <w:szCs w:val="18"/>
                <w:b w:val="1"/>
                <w:bCs w:val="1"/>
                <w:color w:val="2D3243"/>
                <w:vertAlign w:val="superscript"/>
              </w:rPr>
              <w:t>(1)</w:t>
            </w:r>
          </w:p>
        </w:tc>
        <w:tc>
          <w:tcPr>
            <w:tcW w:w="1400" w:type="dxa"/>
            <w:vAlign w:val="bottom"/>
          </w:tcPr>
          <w:p>
            <w:pPr>
              <w:jc w:val="center"/>
              <w:spacing w:after="0"/>
              <w:rPr>
                <w:sz w:val="20"/>
                <w:szCs w:val="20"/>
                <w:color w:val="auto"/>
              </w:rPr>
            </w:pPr>
            <w:r>
              <w:rPr>
                <w:rFonts w:ascii="Arial" w:cs="Arial" w:eastAsia="Arial" w:hAnsi="Arial"/>
                <w:sz w:val="14"/>
                <w:szCs w:val="14"/>
                <w:color w:val="2D3243"/>
              </w:rPr>
              <w:t>2012</w:t>
            </w:r>
          </w:p>
        </w:tc>
      </w:tr>
      <w:tr>
        <w:trPr>
          <w:trHeight w:val="237"/>
        </w:trPr>
        <w:tc>
          <w:tcPr>
            <w:tcW w:w="984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Julie Iskow</w:t>
            </w:r>
          </w:p>
        </w:tc>
        <w:tc>
          <w:tcPr>
            <w:tcW w:w="140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2023</w:t>
            </w:r>
          </w:p>
        </w:tc>
      </w:tr>
      <w:tr>
        <w:trPr>
          <w:trHeight w:val="222"/>
        </w:trPr>
        <w:tc>
          <w:tcPr>
            <w:tcW w:w="9840" w:type="dxa"/>
            <w:vAlign w:val="bottom"/>
          </w:tcPr>
          <w:p>
            <w:pPr>
              <w:ind w:left="100"/>
              <w:spacing w:after="0"/>
              <w:rPr>
                <w:sz w:val="20"/>
                <w:szCs w:val="20"/>
                <w:color w:val="auto"/>
              </w:rPr>
            </w:pPr>
            <w:r>
              <w:rPr>
                <w:rFonts w:ascii="Arial" w:cs="Arial" w:eastAsia="Arial" w:hAnsi="Arial"/>
                <w:sz w:val="14"/>
                <w:szCs w:val="14"/>
                <w:b w:val="1"/>
                <w:bCs w:val="1"/>
                <w:color w:val="2D3243"/>
              </w:rPr>
              <w:t>Jonathan Mariner</w:t>
            </w:r>
          </w:p>
        </w:tc>
        <w:tc>
          <w:tcPr>
            <w:tcW w:w="1400" w:type="dxa"/>
            <w:vAlign w:val="bottom"/>
          </w:tcPr>
          <w:p>
            <w:pPr>
              <w:jc w:val="center"/>
              <w:spacing w:after="0"/>
              <w:rPr>
                <w:sz w:val="20"/>
                <w:szCs w:val="20"/>
                <w:color w:val="auto"/>
              </w:rPr>
            </w:pPr>
            <w:r>
              <w:rPr>
                <w:rFonts w:ascii="Arial" w:cs="Arial" w:eastAsia="Arial" w:hAnsi="Arial"/>
                <w:sz w:val="14"/>
                <w:szCs w:val="14"/>
                <w:color w:val="2D3243"/>
              </w:rPr>
              <w:t>2023</w:t>
            </w:r>
          </w:p>
        </w:tc>
      </w:tr>
      <w:tr>
        <w:trPr>
          <w:trHeight w:val="237"/>
        </w:trPr>
        <w:tc>
          <w:tcPr>
            <w:tcW w:w="984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David Welsh</w:t>
            </w:r>
          </w:p>
        </w:tc>
        <w:tc>
          <w:tcPr>
            <w:tcW w:w="140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2011</w:t>
            </w:r>
          </w:p>
        </w:tc>
      </w:tr>
      <w:tr>
        <w:trPr>
          <w:trHeight w:val="223"/>
        </w:trPr>
        <w:tc>
          <w:tcPr>
            <w:tcW w:w="9840" w:type="dxa"/>
            <w:vAlign w:val="bottom"/>
            <w:tcBorders>
              <w:bottom w:val="single" w:sz="8" w:color="0336FF"/>
            </w:tcBorders>
          </w:tcPr>
          <w:p>
            <w:pPr>
              <w:ind w:left="100"/>
              <w:spacing w:after="0"/>
              <w:rPr>
                <w:sz w:val="20"/>
                <w:szCs w:val="20"/>
                <w:color w:val="auto"/>
              </w:rPr>
            </w:pPr>
            <w:r>
              <w:rPr>
                <w:rFonts w:ascii="Arial" w:cs="Arial" w:eastAsia="Arial" w:hAnsi="Arial"/>
                <w:sz w:val="14"/>
                <w:szCs w:val="14"/>
                <w:b w:val="1"/>
                <w:bCs w:val="1"/>
                <w:color w:val="2D3243"/>
              </w:rPr>
              <w:t>Robert Zollars</w:t>
            </w:r>
          </w:p>
        </w:tc>
        <w:tc>
          <w:tcPr>
            <w:tcW w:w="1400" w:type="dxa"/>
            <w:vAlign w:val="bottom"/>
            <w:tcBorders>
              <w:bottom w:val="single" w:sz="8" w:color="0336FF"/>
            </w:tcBorders>
          </w:tcPr>
          <w:p>
            <w:pPr>
              <w:jc w:val="center"/>
              <w:spacing w:after="0"/>
              <w:rPr>
                <w:sz w:val="20"/>
                <w:szCs w:val="20"/>
                <w:color w:val="auto"/>
              </w:rPr>
            </w:pPr>
            <w:r>
              <w:rPr>
                <w:rFonts w:ascii="Arial" w:cs="Arial" w:eastAsia="Arial" w:hAnsi="Arial"/>
                <w:sz w:val="14"/>
                <w:szCs w:val="14"/>
                <w:color w:val="2D3243"/>
              </w:rPr>
              <w:t>2013</w:t>
            </w:r>
          </w:p>
        </w:tc>
      </w:tr>
    </w:tbl>
    <w:p>
      <w:pPr>
        <w:spacing w:after="0" w:line="150"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2D3243"/>
          <w:vertAlign w:val="superscript"/>
        </w:rPr>
      </w:pPr>
      <w:r>
        <w:rPr>
          <w:rFonts w:ascii="Arial" w:cs="Arial" w:eastAsia="Arial" w:hAnsi="Arial"/>
          <w:sz w:val="12"/>
          <w:szCs w:val="12"/>
          <w:color w:val="2D3243"/>
        </w:rPr>
        <w:t>Mr. DeWalt, a current Class I director, will serve the remainder of his term, which will end at the Annual Meeting.</w:t>
      </w:r>
    </w:p>
    <w:p>
      <w:pPr>
        <w:spacing w:after="0" w:line="196"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2D3243"/>
        </w:rPr>
        <w:t>We believe our Board of Directors strikes an appropriate balance between directors with long-term institutional knowledge of the Company and new directors with fresh perspectives. De-classifying our Board of Directors would make it possible to lose the accumulated knowledge and experience of our Board of Directors in a single election cycle.</w:t>
      </w:r>
    </w:p>
    <w:p>
      <w:pPr>
        <w:spacing w:after="0" w:line="117"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color w:val="2D3243"/>
        </w:rPr>
        <w:t>In addition, electing directors to three-year terms, rather than one-year terms, enhances the independence of our non-management directors by helping ensure that directors do not make short-term decisions that may be detrimental to our long-term interests, simply out of fear of being replaced each year. This reduces the potential influence of certain investors and special interest groups with short-term agendas that may be harmful to the long-term interests of our company and stockholders. If our Board of Directors were declassified, in a single election cycle it could be wholly replaced by directors unfamiliar with our history, business and strategies, resulting in a significant loss of critical institutional knowledge. Our classified board structure allows for orderly change, with new directors with fresh perspectives benefitting from serving with directors with longer tenures.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The Classified Board Structure Helps Attract and Retain Director Candidates.</w:t>
      </w:r>
    </w:p>
    <w:p>
      <w:pPr>
        <w:spacing w:after="0" w:line="93"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2D3243"/>
        </w:rPr>
        <w:t>Competition for qualified directors in our industry is intense and increases each year. Our classified board structure assists us in attracting and retaining highly qualified directors by increasing the likelihood that they will have sufficient time to immerse themselves in our business and operations and execute on important long-term initiatives. We believe that our classified board structure benefits our company and stockholders because the longer terms of office help us attract and retain qualified director candidates who are willing to make long-term commitments of their time and expertise.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The Classified Board Structure Reduces our Vulnerability to Coercive Takeovers.</w:t>
      </w:r>
    </w:p>
    <w:p>
      <w:pPr>
        <w:spacing w:after="0" w:line="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2D3243"/>
        </w:rPr>
        <w:t>Our classified board structure reduces our vulnerability to coercive takeover tactics and inadequate takeover bids by encouraging persons seeking control of our company to negotiate with our Board of Directors and thereby better positions our Board of Directors to negotiate effectively on behalf of all our stockholders. The classified board structure is designed to safeguard against an insurgent stockholder replacing a majority of our directors with its own nominees at a single annual meeting, thereby gaining control of our company and assets without paying fair value to our stockholders. In particular, in recent years, hedge funds and other activist investors have increasingly used the threat of a proxy fight to pressure boards to take actions that produce short-term gains at the expense of strategies designed to achieve meaningful long-term stockholder value. Because only approximately one-third of the directors are elected at any annual meeting of stockholders, at least two annual stockholder meetings would be required to effect a change in a majority of the directors serving on our Board, providing incumbent directors substantial leverage to negotiate the best results for our stockholders.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21</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9" w:name="page30"/>
    <w:bookmarkEnd w:id="29"/>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2D3243"/>
        </w:rPr>
        <w:t>Our classified board structure does not preclude a takeover, but rather provides our Board of Directors the time and flexibility necessary to be in the best position to evaluate the adequacy and fairness of proposed offers, consider alternative methods of maximizing stockholder value, protect all stockholders against abusive tactics during a takeover process and, as appropriate, negotiate the best possible return for all stockholders, without the threat of imminent removal of a majority of the members of our Board of Directors. We believe this is particularly important in the current environment of stock market volatility, in which persons seeking to gain control of a company may pursue coercive takeover tactics during a period of depressed stock prices, even where the decline in the Company’s stock price is due to factors outside of its control. In fact, over the past year, the closing price of our Common Stock has ranged from $51.01 to $92.40 per share, which indicates how attractive and vulnerable we might be to an opportunistic acquirer seeking to acquire our Common Stock at a time when our intrinsic value may not be fully reflected in our stock. Our Board of Directors takes seriously its fiduciary duties to act in a manner that it believes to be in the best interests of our company and all of our stockholders. Elimination of the classified board structure would make it more difficult for our stockholder-elected Board of Directors to preserve and maximize value for all stockholders in the event of an unsolicited takeover bid.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Meetings of the Board of Directors</w:t>
      </w:r>
    </w:p>
    <w:p>
      <w:pPr>
        <w:spacing w:after="0" w:line="193" w:lineRule="exact"/>
        <w:rPr>
          <w:sz w:val="20"/>
          <w:szCs w:val="20"/>
          <w:color w:val="auto"/>
        </w:rPr>
      </w:pPr>
    </w:p>
    <w:p>
      <w:pPr>
        <w:ind w:right="200"/>
        <w:spacing w:after="0" w:line="354" w:lineRule="auto"/>
        <w:rPr>
          <w:sz w:val="20"/>
          <w:szCs w:val="20"/>
          <w:color w:val="auto"/>
        </w:rPr>
      </w:pPr>
      <w:r>
        <w:rPr>
          <w:rFonts w:ascii="Arial" w:cs="Arial" w:eastAsia="Arial" w:hAnsi="Arial"/>
          <w:sz w:val="16"/>
          <w:szCs w:val="16"/>
          <w:color w:val="2D3243"/>
        </w:rPr>
        <w:t>The Board of Directors met 13 times during the year ended December 31, 2023. During the year ended December 31, 2023, each director then in office, attended 75% or more of the aggregate of the meetings of the Board of Directors and of the committees on which he or she served, held during the period for which he or she was a director or committee member.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Diversity of Executive Leadership Team and Board</w:t>
      </w:r>
    </w:p>
    <w:p>
      <w:pPr>
        <w:spacing w:after="0" w:line="1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2D3243"/>
        </w:rPr>
        <w:t>Building an organization that is diverse, welcoming, and inclusive is a priority for Five9. Our Board of Directors, executive leadership team and employees are invested in making Five9 a diverse, engaged and inclusive company where everyone can bring their best selves to work with a sense of belonging. 33% of our executive leadership team identifies with an under-represented community, including gender. Of our nine member Board, two members are women and two identify with an under-represented community. Mr. DeWalt will cease to serve as a member of our Board of Directors at the end of his term, which will end at the Annual Meeting, whereupon our Board of Directors will consist of eight members, two being women and two identifying with an under-represented community. While we have made progress towards increasing the diversity of our executive team and Board, we are not done. We are continuing to recruit new members from diverse and under-represented communities and intend to never stop looking for opportunities to grow the representation of diverse team members within our company, management and our Board as we grow as a company. We are proud to be striving towards having both an executive leadership team and a Board of Directors that represents our customers and employees by bringing diverse ideas and backgrounds to the table. Diversity is one of the key factors that we consider in identifying director nominees, and we believe it is important to have directors representing diversity in many areas, including race, ethnicity, gender, age, abilities, sexual identity, background and professional experience.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22</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0" w:name="page31"/>
    <w:bookmarkEnd w:id="30"/>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diversity matrix sets forth diversity statistics regarding our current Board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Board Diversity Matrix</w:t>
      </w:r>
      <w:r>
        <w:rPr>
          <w:rFonts w:ascii="Arial" w:cs="Arial" w:eastAsia="Arial" w:hAnsi="Arial"/>
          <w:sz w:val="23"/>
          <w:szCs w:val="23"/>
          <w:b w:val="1"/>
          <w:bCs w:val="1"/>
          <w:color w:val="2D3243"/>
          <w:vertAlign w:val="superscript"/>
        </w:rPr>
        <w:t>(1)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shd w:val="clear" w:color="auto" w:fill="0336FF"/>
          </w:tcPr>
          <w:p>
            <w:pPr>
              <w:spacing w:after="0"/>
              <w:rPr>
                <w:sz w:val="16"/>
                <w:szCs w:val="16"/>
                <w:color w:val="auto"/>
              </w:rPr>
            </w:pPr>
          </w:p>
        </w:tc>
        <w:tc>
          <w:tcPr>
            <w:tcW w:w="1460" w:type="dxa"/>
            <w:vAlign w:val="bottom"/>
            <w:shd w:val="clear" w:color="auto" w:fill="0336FF"/>
          </w:tcPr>
          <w:p>
            <w:pPr>
              <w:spacing w:after="0"/>
              <w:rPr>
                <w:sz w:val="16"/>
                <w:szCs w:val="16"/>
                <w:color w:val="auto"/>
              </w:rPr>
            </w:pPr>
          </w:p>
        </w:tc>
        <w:tc>
          <w:tcPr>
            <w:tcW w:w="1240" w:type="dxa"/>
            <w:vAlign w:val="bottom"/>
            <w:shd w:val="clear" w:color="auto" w:fill="0336FF"/>
          </w:tcPr>
          <w:p>
            <w:pPr>
              <w:spacing w:after="0"/>
              <w:rPr>
                <w:sz w:val="16"/>
                <w:szCs w:val="16"/>
                <w:color w:val="auto"/>
              </w:rPr>
            </w:pPr>
          </w:p>
        </w:tc>
        <w:tc>
          <w:tcPr>
            <w:tcW w:w="1420" w:type="dxa"/>
            <w:vAlign w:val="bottom"/>
            <w:shd w:val="clear" w:color="auto" w:fill="0336FF"/>
          </w:tcPr>
          <w:p>
            <w:pPr>
              <w:spacing w:after="0"/>
              <w:rPr>
                <w:sz w:val="16"/>
                <w:szCs w:val="16"/>
                <w:color w:val="auto"/>
              </w:rPr>
            </w:pPr>
          </w:p>
        </w:tc>
        <w:tc>
          <w:tcPr>
            <w:tcW w:w="1500" w:type="dxa"/>
            <w:vAlign w:val="bottom"/>
            <w:shd w:val="clear" w:color="auto" w:fill="0336FF"/>
          </w:tcPr>
          <w:p>
            <w:pPr>
              <w:jc w:val="center"/>
              <w:ind w:left="8"/>
              <w:spacing w:after="0"/>
              <w:rPr>
                <w:sz w:val="20"/>
                <w:szCs w:val="20"/>
                <w:color w:val="auto"/>
              </w:rPr>
            </w:pPr>
            <w:r>
              <w:rPr>
                <w:rFonts w:ascii="Arial" w:cs="Arial" w:eastAsia="Arial" w:hAnsi="Arial"/>
                <w:sz w:val="14"/>
                <w:szCs w:val="14"/>
                <w:b w:val="1"/>
                <w:bCs w:val="1"/>
                <w:color w:val="FFFFFF"/>
              </w:rPr>
              <w:t>Did Not Disclose</w:t>
            </w:r>
          </w:p>
        </w:tc>
      </w:tr>
      <w:tr>
        <w:trPr>
          <w:trHeight w:val="196"/>
        </w:trPr>
        <w:tc>
          <w:tcPr>
            <w:tcW w:w="5620" w:type="dxa"/>
            <w:vAlign w:val="bottom"/>
            <w:shd w:val="clear" w:color="auto" w:fill="0336FF"/>
          </w:tcPr>
          <w:p>
            <w:pPr>
              <w:ind w:left="20"/>
              <w:spacing w:after="0"/>
              <w:rPr>
                <w:sz w:val="20"/>
                <w:szCs w:val="20"/>
                <w:color w:val="auto"/>
              </w:rPr>
            </w:pPr>
            <w:r>
              <w:rPr>
                <w:rFonts w:ascii="Arial" w:cs="Arial" w:eastAsia="Arial" w:hAnsi="Arial"/>
                <w:sz w:val="14"/>
                <w:szCs w:val="14"/>
                <w:b w:val="1"/>
                <w:bCs w:val="1"/>
                <w:color w:val="FFFFFF"/>
              </w:rPr>
              <w:t>Total Number of Directors - 9</w:t>
            </w:r>
          </w:p>
        </w:tc>
        <w:tc>
          <w:tcPr>
            <w:tcW w:w="1460" w:type="dxa"/>
            <w:vAlign w:val="bottom"/>
            <w:shd w:val="clear" w:color="auto" w:fill="0336FF"/>
          </w:tcPr>
          <w:p>
            <w:pPr>
              <w:jc w:val="center"/>
              <w:spacing w:after="0"/>
              <w:rPr>
                <w:sz w:val="20"/>
                <w:szCs w:val="20"/>
                <w:color w:val="auto"/>
              </w:rPr>
            </w:pPr>
            <w:r>
              <w:rPr>
                <w:rFonts w:ascii="Arial" w:cs="Arial" w:eastAsia="Arial" w:hAnsi="Arial"/>
                <w:sz w:val="14"/>
                <w:szCs w:val="14"/>
                <w:b w:val="1"/>
                <w:bCs w:val="1"/>
                <w:color w:val="FFFFFF"/>
              </w:rPr>
              <w:t>Female</w:t>
            </w:r>
          </w:p>
        </w:tc>
        <w:tc>
          <w:tcPr>
            <w:tcW w:w="1240" w:type="dxa"/>
            <w:vAlign w:val="bottom"/>
            <w:shd w:val="clear" w:color="auto" w:fill="0336FF"/>
          </w:tcPr>
          <w:p>
            <w:pPr>
              <w:jc w:val="center"/>
              <w:ind w:left="8"/>
              <w:spacing w:after="0"/>
              <w:rPr>
                <w:sz w:val="20"/>
                <w:szCs w:val="20"/>
                <w:color w:val="auto"/>
              </w:rPr>
            </w:pPr>
            <w:r>
              <w:rPr>
                <w:rFonts w:ascii="Arial" w:cs="Arial" w:eastAsia="Arial" w:hAnsi="Arial"/>
                <w:sz w:val="14"/>
                <w:szCs w:val="14"/>
                <w:b w:val="1"/>
                <w:bCs w:val="1"/>
                <w:color w:val="FFFFFF"/>
              </w:rPr>
              <w:t>Male</w:t>
            </w:r>
          </w:p>
        </w:tc>
        <w:tc>
          <w:tcPr>
            <w:tcW w:w="1420" w:type="dxa"/>
            <w:vAlign w:val="bottom"/>
            <w:shd w:val="clear" w:color="auto" w:fill="0336FF"/>
          </w:tcPr>
          <w:p>
            <w:pPr>
              <w:ind w:left="420"/>
              <w:spacing w:after="0"/>
              <w:rPr>
                <w:sz w:val="20"/>
                <w:szCs w:val="20"/>
                <w:color w:val="auto"/>
              </w:rPr>
            </w:pPr>
            <w:r>
              <w:rPr>
                <w:rFonts w:ascii="Arial" w:cs="Arial" w:eastAsia="Arial" w:hAnsi="Arial"/>
                <w:sz w:val="14"/>
                <w:szCs w:val="14"/>
                <w:b w:val="1"/>
                <w:bCs w:val="1"/>
                <w:color w:val="FFFFFF"/>
              </w:rPr>
              <w:t>Non-Binary</w:t>
            </w:r>
          </w:p>
        </w:tc>
        <w:tc>
          <w:tcPr>
            <w:tcW w:w="1500" w:type="dxa"/>
            <w:vAlign w:val="bottom"/>
            <w:shd w:val="clear" w:color="auto" w:fill="0336FF"/>
          </w:tcPr>
          <w:p>
            <w:pPr>
              <w:jc w:val="center"/>
              <w:ind w:left="8"/>
              <w:spacing w:after="0"/>
              <w:rPr>
                <w:sz w:val="20"/>
                <w:szCs w:val="20"/>
                <w:color w:val="auto"/>
              </w:rPr>
            </w:pPr>
            <w:r>
              <w:rPr>
                <w:rFonts w:ascii="Arial" w:cs="Arial" w:eastAsia="Arial" w:hAnsi="Arial"/>
                <w:sz w:val="14"/>
                <w:szCs w:val="14"/>
                <w:b w:val="1"/>
                <w:bCs w:val="1"/>
                <w:color w:val="FFFFFF"/>
              </w:rPr>
              <w:t>Gender</w:t>
            </w:r>
          </w:p>
        </w:tc>
      </w:tr>
      <w:tr>
        <w:trPr>
          <w:trHeight w:val="70"/>
        </w:trPr>
        <w:tc>
          <w:tcPr>
            <w:tcW w:w="5620" w:type="dxa"/>
            <w:vAlign w:val="bottom"/>
            <w:shd w:val="clear" w:color="auto" w:fill="0336FF"/>
          </w:tcPr>
          <w:p>
            <w:pPr>
              <w:spacing w:after="0"/>
              <w:rPr>
                <w:sz w:val="6"/>
                <w:szCs w:val="6"/>
                <w:color w:val="auto"/>
              </w:rPr>
            </w:pPr>
          </w:p>
        </w:tc>
        <w:tc>
          <w:tcPr>
            <w:tcW w:w="1460" w:type="dxa"/>
            <w:vAlign w:val="bottom"/>
            <w:shd w:val="clear" w:color="auto" w:fill="0336FF"/>
          </w:tcPr>
          <w:p>
            <w:pPr>
              <w:spacing w:after="0"/>
              <w:rPr>
                <w:sz w:val="6"/>
                <w:szCs w:val="6"/>
                <w:color w:val="auto"/>
              </w:rPr>
            </w:pPr>
          </w:p>
        </w:tc>
        <w:tc>
          <w:tcPr>
            <w:tcW w:w="1240" w:type="dxa"/>
            <w:vAlign w:val="bottom"/>
            <w:shd w:val="clear" w:color="auto" w:fill="0336FF"/>
          </w:tcPr>
          <w:p>
            <w:pPr>
              <w:spacing w:after="0"/>
              <w:rPr>
                <w:sz w:val="6"/>
                <w:szCs w:val="6"/>
                <w:color w:val="auto"/>
              </w:rPr>
            </w:pPr>
          </w:p>
        </w:tc>
        <w:tc>
          <w:tcPr>
            <w:tcW w:w="1420" w:type="dxa"/>
            <w:vAlign w:val="bottom"/>
            <w:shd w:val="clear" w:color="auto" w:fill="0336FF"/>
          </w:tcPr>
          <w:p>
            <w:pPr>
              <w:spacing w:after="0"/>
              <w:rPr>
                <w:sz w:val="6"/>
                <w:szCs w:val="6"/>
                <w:color w:val="auto"/>
              </w:rPr>
            </w:pPr>
          </w:p>
        </w:tc>
        <w:tc>
          <w:tcPr>
            <w:tcW w:w="1500" w:type="dxa"/>
            <w:vAlign w:val="bottom"/>
            <w:shd w:val="clear" w:color="auto" w:fill="0336FF"/>
          </w:tcPr>
          <w:p>
            <w:pPr>
              <w:spacing w:after="0"/>
              <w:rPr>
                <w:sz w:val="6"/>
                <w:szCs w:val="6"/>
                <w:color w:val="auto"/>
              </w:rPr>
            </w:pPr>
          </w:p>
        </w:tc>
      </w:tr>
      <w:tr>
        <w:trPr>
          <w:trHeight w:val="223"/>
        </w:trPr>
        <w:tc>
          <w:tcPr>
            <w:tcW w:w="5620" w:type="dxa"/>
            <w:vAlign w:val="bottom"/>
            <w:tcBorders>
              <w:bottom w:val="single" w:sz="8" w:color="0336FF"/>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Part I: Gender Identity</w:t>
            </w:r>
          </w:p>
        </w:tc>
        <w:tc>
          <w:tcPr>
            <w:tcW w:w="1460" w:type="dxa"/>
            <w:vAlign w:val="bottom"/>
            <w:tcBorders>
              <w:bottom w:val="single" w:sz="8" w:color="0336FF"/>
            </w:tcBorders>
            <w:shd w:val="clear" w:color="auto" w:fill="F0F1F2"/>
          </w:tcPr>
          <w:p>
            <w:pPr>
              <w:spacing w:after="0"/>
              <w:rPr>
                <w:sz w:val="19"/>
                <w:szCs w:val="19"/>
                <w:color w:val="auto"/>
              </w:rPr>
            </w:pPr>
          </w:p>
        </w:tc>
        <w:tc>
          <w:tcPr>
            <w:tcW w:w="1240" w:type="dxa"/>
            <w:vAlign w:val="bottom"/>
            <w:tcBorders>
              <w:bottom w:val="single" w:sz="8" w:color="0336FF"/>
            </w:tcBorders>
            <w:shd w:val="clear" w:color="auto" w:fill="F0F1F2"/>
          </w:tcPr>
          <w:p>
            <w:pPr>
              <w:spacing w:after="0"/>
              <w:rPr>
                <w:sz w:val="19"/>
                <w:szCs w:val="19"/>
                <w:color w:val="auto"/>
              </w:rPr>
            </w:pPr>
          </w:p>
        </w:tc>
        <w:tc>
          <w:tcPr>
            <w:tcW w:w="1420" w:type="dxa"/>
            <w:vAlign w:val="bottom"/>
            <w:tcBorders>
              <w:bottom w:val="single" w:sz="8" w:color="0336FF"/>
            </w:tcBorders>
            <w:shd w:val="clear" w:color="auto" w:fill="F0F1F2"/>
          </w:tcPr>
          <w:p>
            <w:pPr>
              <w:spacing w:after="0"/>
              <w:rPr>
                <w:sz w:val="19"/>
                <w:szCs w:val="19"/>
                <w:color w:val="auto"/>
              </w:rPr>
            </w:pPr>
          </w:p>
        </w:tc>
        <w:tc>
          <w:tcPr>
            <w:tcW w:w="1500" w:type="dxa"/>
            <w:vAlign w:val="bottom"/>
            <w:tcBorders>
              <w:bottom w:val="single" w:sz="8" w:color="0336FF"/>
            </w:tcBorders>
            <w:shd w:val="clear" w:color="auto" w:fill="F0F1F2"/>
          </w:tcPr>
          <w:p>
            <w:pPr>
              <w:spacing w:after="0"/>
              <w:rPr>
                <w:sz w:val="19"/>
                <w:szCs w:val="19"/>
                <w:color w:val="auto"/>
              </w:rPr>
            </w:pPr>
          </w:p>
        </w:tc>
      </w:tr>
      <w:tr>
        <w:trPr>
          <w:trHeight w:val="208"/>
        </w:trPr>
        <w:tc>
          <w:tcPr>
            <w:tcW w:w="5620" w:type="dxa"/>
            <w:vAlign w:val="bottom"/>
          </w:tcPr>
          <w:p>
            <w:pPr>
              <w:ind w:left="100"/>
              <w:spacing w:after="0"/>
              <w:rPr>
                <w:sz w:val="20"/>
                <w:szCs w:val="20"/>
                <w:color w:val="auto"/>
              </w:rPr>
            </w:pPr>
            <w:r>
              <w:rPr>
                <w:rFonts w:ascii="Arial" w:cs="Arial" w:eastAsia="Arial" w:hAnsi="Arial"/>
                <w:sz w:val="14"/>
                <w:szCs w:val="14"/>
                <w:color w:val="2D3243"/>
              </w:rPr>
              <w:t>Directors</w:t>
            </w:r>
          </w:p>
        </w:tc>
        <w:tc>
          <w:tcPr>
            <w:tcW w:w="1460" w:type="dxa"/>
            <w:vAlign w:val="bottom"/>
          </w:tcPr>
          <w:p>
            <w:pPr>
              <w:jc w:val="center"/>
              <w:spacing w:after="0"/>
              <w:rPr>
                <w:sz w:val="20"/>
                <w:szCs w:val="20"/>
                <w:color w:val="auto"/>
              </w:rPr>
            </w:pPr>
            <w:r>
              <w:rPr>
                <w:rFonts w:ascii="Arial" w:cs="Arial" w:eastAsia="Arial" w:hAnsi="Arial"/>
                <w:sz w:val="14"/>
                <w:szCs w:val="14"/>
                <w:color w:val="2D3243"/>
              </w:rPr>
              <w:t>2</w:t>
            </w:r>
          </w:p>
        </w:tc>
        <w:tc>
          <w:tcPr>
            <w:tcW w:w="1240" w:type="dxa"/>
            <w:vAlign w:val="bottom"/>
          </w:tcPr>
          <w:p>
            <w:pPr>
              <w:jc w:val="center"/>
              <w:ind w:left="8"/>
              <w:spacing w:after="0"/>
              <w:rPr>
                <w:sz w:val="20"/>
                <w:szCs w:val="20"/>
                <w:color w:val="auto"/>
              </w:rPr>
            </w:pPr>
            <w:r>
              <w:rPr>
                <w:rFonts w:ascii="Arial" w:cs="Arial" w:eastAsia="Arial" w:hAnsi="Arial"/>
                <w:sz w:val="14"/>
                <w:szCs w:val="14"/>
                <w:color w:val="2D3243"/>
              </w:rPr>
              <w:t>7</w:t>
            </w: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
        </w:trPr>
        <w:tc>
          <w:tcPr>
            <w:tcW w:w="5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3"/>
        </w:trPr>
        <w:tc>
          <w:tcPr>
            <w:tcW w:w="5620" w:type="dxa"/>
            <w:vAlign w:val="bottom"/>
            <w:tcBorders>
              <w:bottom w:val="single" w:sz="8" w:color="0336FF"/>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Part II: Demographic Background</w:t>
            </w:r>
          </w:p>
        </w:tc>
        <w:tc>
          <w:tcPr>
            <w:tcW w:w="1460" w:type="dxa"/>
            <w:vAlign w:val="bottom"/>
            <w:tcBorders>
              <w:bottom w:val="single" w:sz="8" w:color="0336FF"/>
            </w:tcBorders>
            <w:shd w:val="clear" w:color="auto" w:fill="F0F1F2"/>
          </w:tcPr>
          <w:p>
            <w:pPr>
              <w:spacing w:after="0"/>
              <w:rPr>
                <w:sz w:val="19"/>
                <w:szCs w:val="19"/>
                <w:color w:val="auto"/>
              </w:rPr>
            </w:pPr>
          </w:p>
        </w:tc>
        <w:tc>
          <w:tcPr>
            <w:tcW w:w="1240" w:type="dxa"/>
            <w:vAlign w:val="bottom"/>
            <w:tcBorders>
              <w:bottom w:val="single" w:sz="8" w:color="0336FF"/>
            </w:tcBorders>
            <w:shd w:val="clear" w:color="auto" w:fill="F0F1F2"/>
          </w:tcPr>
          <w:p>
            <w:pPr>
              <w:spacing w:after="0"/>
              <w:rPr>
                <w:sz w:val="19"/>
                <w:szCs w:val="19"/>
                <w:color w:val="auto"/>
              </w:rPr>
            </w:pPr>
          </w:p>
        </w:tc>
        <w:tc>
          <w:tcPr>
            <w:tcW w:w="1420" w:type="dxa"/>
            <w:vAlign w:val="bottom"/>
            <w:tcBorders>
              <w:bottom w:val="single" w:sz="8" w:color="0336FF"/>
            </w:tcBorders>
            <w:shd w:val="clear" w:color="auto" w:fill="F0F1F2"/>
          </w:tcPr>
          <w:p>
            <w:pPr>
              <w:spacing w:after="0"/>
              <w:rPr>
                <w:sz w:val="19"/>
                <w:szCs w:val="19"/>
                <w:color w:val="auto"/>
              </w:rPr>
            </w:pPr>
          </w:p>
        </w:tc>
        <w:tc>
          <w:tcPr>
            <w:tcW w:w="1500" w:type="dxa"/>
            <w:vAlign w:val="bottom"/>
            <w:tcBorders>
              <w:bottom w:val="single" w:sz="8" w:color="0336FF"/>
            </w:tcBorders>
            <w:shd w:val="clear" w:color="auto" w:fill="F0F1F2"/>
          </w:tcPr>
          <w:p>
            <w:pPr>
              <w:spacing w:after="0"/>
              <w:rPr>
                <w:sz w:val="19"/>
                <w:szCs w:val="19"/>
                <w:color w:val="auto"/>
              </w:rPr>
            </w:pPr>
          </w:p>
        </w:tc>
      </w:tr>
      <w:tr>
        <w:trPr>
          <w:trHeight w:val="208"/>
        </w:trPr>
        <w:tc>
          <w:tcPr>
            <w:tcW w:w="5620" w:type="dxa"/>
            <w:vAlign w:val="bottom"/>
          </w:tcPr>
          <w:p>
            <w:pPr>
              <w:ind w:left="100"/>
              <w:spacing w:after="0"/>
              <w:rPr>
                <w:sz w:val="20"/>
                <w:szCs w:val="20"/>
                <w:color w:val="auto"/>
              </w:rPr>
            </w:pPr>
            <w:r>
              <w:rPr>
                <w:rFonts w:ascii="Arial" w:cs="Arial" w:eastAsia="Arial" w:hAnsi="Arial"/>
                <w:sz w:val="14"/>
                <w:szCs w:val="14"/>
                <w:color w:val="2D3243"/>
              </w:rPr>
              <w:t>African American or Black</w:t>
            </w:r>
          </w:p>
        </w:tc>
        <w:tc>
          <w:tcPr>
            <w:tcW w:w="1460" w:type="dxa"/>
            <w:vAlign w:val="bottom"/>
          </w:tcPr>
          <w:p>
            <w:pPr>
              <w:spacing w:after="0"/>
              <w:rPr>
                <w:sz w:val="18"/>
                <w:szCs w:val="18"/>
                <w:color w:val="auto"/>
              </w:rPr>
            </w:pPr>
          </w:p>
        </w:tc>
        <w:tc>
          <w:tcPr>
            <w:tcW w:w="1240" w:type="dxa"/>
            <w:vAlign w:val="bottom"/>
          </w:tcPr>
          <w:p>
            <w:pPr>
              <w:jc w:val="center"/>
              <w:ind w:left="8"/>
              <w:spacing w:after="0"/>
              <w:rPr>
                <w:sz w:val="20"/>
                <w:szCs w:val="20"/>
                <w:color w:val="auto"/>
              </w:rPr>
            </w:pPr>
            <w:r>
              <w:rPr>
                <w:rFonts w:ascii="Arial" w:cs="Arial" w:eastAsia="Arial" w:hAnsi="Arial"/>
                <w:sz w:val="14"/>
                <w:szCs w:val="14"/>
                <w:color w:val="2D3243"/>
              </w:rPr>
              <w:t>1</w:t>
            </w: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
        </w:trPr>
        <w:tc>
          <w:tcPr>
            <w:tcW w:w="5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562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Alaskan Native or Native American</w:t>
            </w:r>
          </w:p>
        </w:tc>
        <w:tc>
          <w:tcPr>
            <w:tcW w:w="1460" w:type="dxa"/>
            <w:vAlign w:val="bottom"/>
            <w:tcBorders>
              <w:bottom w:val="single" w:sz="8" w:color="F0F1F2"/>
            </w:tcBorders>
            <w:shd w:val="clear" w:color="auto" w:fill="F0F1F2"/>
          </w:tcPr>
          <w:p>
            <w:pPr>
              <w:spacing w:after="0"/>
              <w:rPr>
                <w:sz w:val="18"/>
                <w:szCs w:val="18"/>
                <w:color w:val="auto"/>
              </w:rPr>
            </w:pPr>
          </w:p>
        </w:tc>
        <w:tc>
          <w:tcPr>
            <w:tcW w:w="1240" w:type="dxa"/>
            <w:vAlign w:val="bottom"/>
            <w:tcBorders>
              <w:bottom w:val="single" w:sz="8" w:color="F0F1F2"/>
            </w:tcBorders>
            <w:shd w:val="clear" w:color="auto" w:fill="F0F1F2"/>
          </w:tcPr>
          <w:p>
            <w:pPr>
              <w:spacing w:after="0"/>
              <w:rPr>
                <w:sz w:val="18"/>
                <w:szCs w:val="18"/>
                <w:color w:val="auto"/>
              </w:rPr>
            </w:pPr>
          </w:p>
        </w:tc>
        <w:tc>
          <w:tcPr>
            <w:tcW w:w="1420" w:type="dxa"/>
            <w:vAlign w:val="bottom"/>
            <w:tcBorders>
              <w:bottom w:val="single" w:sz="8" w:color="F0F1F2"/>
            </w:tcBorders>
            <w:shd w:val="clear" w:color="auto" w:fill="F0F1F2"/>
          </w:tcPr>
          <w:p>
            <w:pPr>
              <w:spacing w:after="0"/>
              <w:rPr>
                <w:sz w:val="18"/>
                <w:szCs w:val="18"/>
                <w:color w:val="auto"/>
              </w:rPr>
            </w:pPr>
          </w:p>
        </w:tc>
        <w:tc>
          <w:tcPr>
            <w:tcW w:w="1500" w:type="dxa"/>
            <w:vAlign w:val="bottom"/>
            <w:tcBorders>
              <w:bottom w:val="single" w:sz="8" w:color="F0F1F2"/>
            </w:tcBorders>
            <w:shd w:val="clear" w:color="auto" w:fill="F0F1F2"/>
          </w:tcPr>
          <w:p>
            <w:pPr>
              <w:spacing w:after="0"/>
              <w:rPr>
                <w:sz w:val="18"/>
                <w:szCs w:val="18"/>
                <w:color w:val="auto"/>
              </w:rPr>
            </w:pPr>
          </w:p>
        </w:tc>
      </w:tr>
      <w:tr>
        <w:trPr>
          <w:trHeight w:val="208"/>
        </w:trPr>
        <w:tc>
          <w:tcPr>
            <w:tcW w:w="5620" w:type="dxa"/>
            <w:vAlign w:val="bottom"/>
          </w:tcPr>
          <w:p>
            <w:pPr>
              <w:ind w:left="100"/>
              <w:spacing w:after="0"/>
              <w:rPr>
                <w:sz w:val="20"/>
                <w:szCs w:val="20"/>
                <w:color w:val="auto"/>
              </w:rPr>
            </w:pPr>
            <w:r>
              <w:rPr>
                <w:rFonts w:ascii="Arial" w:cs="Arial" w:eastAsia="Arial" w:hAnsi="Arial"/>
                <w:sz w:val="14"/>
                <w:szCs w:val="14"/>
                <w:color w:val="2D3243"/>
              </w:rPr>
              <w:t>Asian</w:t>
            </w:r>
          </w:p>
        </w:tc>
        <w:tc>
          <w:tcPr>
            <w:tcW w:w="1460" w:type="dxa"/>
            <w:vAlign w:val="bottom"/>
          </w:tcPr>
          <w:p>
            <w:pPr>
              <w:jc w:val="center"/>
              <w:spacing w:after="0"/>
              <w:rPr>
                <w:sz w:val="20"/>
                <w:szCs w:val="20"/>
                <w:color w:val="auto"/>
              </w:rPr>
            </w:pPr>
            <w:r>
              <w:rPr>
                <w:rFonts w:ascii="Arial" w:cs="Arial" w:eastAsia="Arial" w:hAnsi="Arial"/>
                <w:sz w:val="14"/>
                <w:szCs w:val="14"/>
                <w:color w:val="2D3243"/>
              </w:rPr>
              <w:t>1</w:t>
            </w: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
        </w:trPr>
        <w:tc>
          <w:tcPr>
            <w:tcW w:w="5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9"/>
        </w:trPr>
        <w:tc>
          <w:tcPr>
            <w:tcW w:w="562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Hispanic or Latinx</w:t>
            </w:r>
          </w:p>
        </w:tc>
        <w:tc>
          <w:tcPr>
            <w:tcW w:w="1460" w:type="dxa"/>
            <w:vAlign w:val="bottom"/>
            <w:tcBorders>
              <w:bottom w:val="single" w:sz="8" w:color="F0F1F2"/>
            </w:tcBorders>
            <w:shd w:val="clear" w:color="auto" w:fill="F0F1F2"/>
          </w:tcPr>
          <w:p>
            <w:pPr>
              <w:spacing w:after="0"/>
              <w:rPr>
                <w:sz w:val="18"/>
                <w:szCs w:val="18"/>
                <w:color w:val="auto"/>
              </w:rPr>
            </w:pPr>
          </w:p>
        </w:tc>
        <w:tc>
          <w:tcPr>
            <w:tcW w:w="1240" w:type="dxa"/>
            <w:vAlign w:val="bottom"/>
            <w:tcBorders>
              <w:bottom w:val="single" w:sz="8" w:color="F0F1F2"/>
            </w:tcBorders>
            <w:shd w:val="clear" w:color="auto" w:fill="F0F1F2"/>
          </w:tcPr>
          <w:p>
            <w:pPr>
              <w:spacing w:after="0"/>
              <w:rPr>
                <w:sz w:val="18"/>
                <w:szCs w:val="18"/>
                <w:color w:val="auto"/>
              </w:rPr>
            </w:pPr>
          </w:p>
        </w:tc>
        <w:tc>
          <w:tcPr>
            <w:tcW w:w="1420" w:type="dxa"/>
            <w:vAlign w:val="bottom"/>
            <w:tcBorders>
              <w:bottom w:val="single" w:sz="8" w:color="F0F1F2"/>
            </w:tcBorders>
            <w:shd w:val="clear" w:color="auto" w:fill="F0F1F2"/>
          </w:tcPr>
          <w:p>
            <w:pPr>
              <w:spacing w:after="0"/>
              <w:rPr>
                <w:sz w:val="18"/>
                <w:szCs w:val="18"/>
                <w:color w:val="auto"/>
              </w:rPr>
            </w:pPr>
          </w:p>
        </w:tc>
        <w:tc>
          <w:tcPr>
            <w:tcW w:w="1500" w:type="dxa"/>
            <w:vAlign w:val="bottom"/>
            <w:tcBorders>
              <w:bottom w:val="single" w:sz="8" w:color="F0F1F2"/>
            </w:tcBorders>
            <w:shd w:val="clear" w:color="auto" w:fill="F0F1F2"/>
          </w:tcPr>
          <w:p>
            <w:pPr>
              <w:spacing w:after="0"/>
              <w:rPr>
                <w:sz w:val="18"/>
                <w:szCs w:val="18"/>
                <w:color w:val="auto"/>
              </w:rPr>
            </w:pPr>
          </w:p>
        </w:tc>
      </w:tr>
      <w:tr>
        <w:trPr>
          <w:trHeight w:val="208"/>
        </w:trPr>
        <w:tc>
          <w:tcPr>
            <w:tcW w:w="5620" w:type="dxa"/>
            <w:vAlign w:val="bottom"/>
          </w:tcPr>
          <w:p>
            <w:pPr>
              <w:ind w:left="100"/>
              <w:spacing w:after="0"/>
              <w:rPr>
                <w:sz w:val="20"/>
                <w:szCs w:val="20"/>
                <w:color w:val="auto"/>
              </w:rPr>
            </w:pPr>
            <w:r>
              <w:rPr>
                <w:rFonts w:ascii="Arial" w:cs="Arial" w:eastAsia="Arial" w:hAnsi="Arial"/>
                <w:sz w:val="14"/>
                <w:szCs w:val="14"/>
                <w:color w:val="2D3243"/>
              </w:rPr>
              <w:t>Native Hawaiian or Pacific Islander</w:t>
            </w: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
        </w:trPr>
        <w:tc>
          <w:tcPr>
            <w:tcW w:w="5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9"/>
        </w:trPr>
        <w:tc>
          <w:tcPr>
            <w:tcW w:w="562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White</w:t>
            </w:r>
          </w:p>
        </w:tc>
        <w:tc>
          <w:tcPr>
            <w:tcW w:w="1460" w:type="dxa"/>
            <w:vAlign w:val="bottom"/>
            <w:tcBorders>
              <w:bottom w:val="single" w:sz="8" w:color="F0F1F2"/>
            </w:tcBorders>
            <w:shd w:val="clear" w:color="auto" w:fill="F0F1F2"/>
          </w:tcPr>
          <w:p>
            <w:pPr>
              <w:jc w:val="center"/>
              <w:spacing w:after="0"/>
              <w:rPr>
                <w:sz w:val="20"/>
                <w:szCs w:val="20"/>
                <w:color w:val="auto"/>
              </w:rPr>
            </w:pPr>
            <w:r>
              <w:rPr>
                <w:rFonts w:ascii="Arial" w:cs="Arial" w:eastAsia="Arial" w:hAnsi="Arial"/>
                <w:sz w:val="14"/>
                <w:szCs w:val="14"/>
                <w:color w:val="2D3243"/>
              </w:rPr>
              <w:t>1</w:t>
            </w:r>
          </w:p>
        </w:tc>
        <w:tc>
          <w:tcPr>
            <w:tcW w:w="1240" w:type="dxa"/>
            <w:vAlign w:val="bottom"/>
            <w:tcBorders>
              <w:bottom w:val="single" w:sz="8" w:color="F0F1F2"/>
            </w:tcBorders>
            <w:shd w:val="clear" w:color="auto" w:fill="F0F1F2"/>
          </w:tcPr>
          <w:p>
            <w:pPr>
              <w:jc w:val="center"/>
              <w:ind w:left="8"/>
              <w:spacing w:after="0"/>
              <w:rPr>
                <w:sz w:val="20"/>
                <w:szCs w:val="20"/>
                <w:color w:val="auto"/>
              </w:rPr>
            </w:pPr>
            <w:r>
              <w:rPr>
                <w:rFonts w:ascii="Arial" w:cs="Arial" w:eastAsia="Arial" w:hAnsi="Arial"/>
                <w:sz w:val="14"/>
                <w:szCs w:val="14"/>
                <w:color w:val="2D3243"/>
              </w:rPr>
              <w:t>6</w:t>
            </w:r>
          </w:p>
        </w:tc>
        <w:tc>
          <w:tcPr>
            <w:tcW w:w="1420" w:type="dxa"/>
            <w:vAlign w:val="bottom"/>
            <w:tcBorders>
              <w:bottom w:val="single" w:sz="8" w:color="F0F1F2"/>
            </w:tcBorders>
            <w:shd w:val="clear" w:color="auto" w:fill="F0F1F2"/>
          </w:tcPr>
          <w:p>
            <w:pPr>
              <w:spacing w:after="0"/>
              <w:rPr>
                <w:sz w:val="18"/>
                <w:szCs w:val="18"/>
                <w:color w:val="auto"/>
              </w:rPr>
            </w:pPr>
          </w:p>
        </w:tc>
        <w:tc>
          <w:tcPr>
            <w:tcW w:w="1500" w:type="dxa"/>
            <w:vAlign w:val="bottom"/>
            <w:tcBorders>
              <w:bottom w:val="single" w:sz="8" w:color="F0F1F2"/>
            </w:tcBorders>
            <w:shd w:val="clear" w:color="auto" w:fill="F0F1F2"/>
          </w:tcPr>
          <w:p>
            <w:pPr>
              <w:spacing w:after="0"/>
              <w:rPr>
                <w:sz w:val="18"/>
                <w:szCs w:val="18"/>
                <w:color w:val="auto"/>
              </w:rPr>
            </w:pPr>
          </w:p>
        </w:tc>
      </w:tr>
      <w:tr>
        <w:trPr>
          <w:trHeight w:val="208"/>
        </w:trPr>
        <w:tc>
          <w:tcPr>
            <w:tcW w:w="5620" w:type="dxa"/>
            <w:vAlign w:val="bottom"/>
          </w:tcPr>
          <w:p>
            <w:pPr>
              <w:ind w:left="100"/>
              <w:spacing w:after="0"/>
              <w:rPr>
                <w:sz w:val="20"/>
                <w:szCs w:val="20"/>
                <w:color w:val="auto"/>
              </w:rPr>
            </w:pPr>
            <w:r>
              <w:rPr>
                <w:rFonts w:ascii="Arial" w:cs="Arial" w:eastAsia="Arial" w:hAnsi="Arial"/>
                <w:sz w:val="14"/>
                <w:szCs w:val="14"/>
                <w:color w:val="2D3243"/>
              </w:rPr>
              <w:t>Two or More Races or Ethnicities</w:t>
            </w: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
        </w:trPr>
        <w:tc>
          <w:tcPr>
            <w:tcW w:w="5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562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LGBTQ+</w:t>
            </w:r>
          </w:p>
        </w:tc>
        <w:tc>
          <w:tcPr>
            <w:tcW w:w="1460" w:type="dxa"/>
            <w:vAlign w:val="bottom"/>
            <w:tcBorders>
              <w:bottom w:val="single" w:sz="8" w:color="F0F1F2"/>
            </w:tcBorders>
            <w:shd w:val="clear" w:color="auto" w:fill="F0F1F2"/>
          </w:tcPr>
          <w:p>
            <w:pPr>
              <w:spacing w:after="0"/>
              <w:rPr>
                <w:sz w:val="18"/>
                <w:szCs w:val="18"/>
                <w:color w:val="auto"/>
              </w:rPr>
            </w:pPr>
          </w:p>
        </w:tc>
        <w:tc>
          <w:tcPr>
            <w:tcW w:w="1240" w:type="dxa"/>
            <w:vAlign w:val="bottom"/>
            <w:tcBorders>
              <w:bottom w:val="single" w:sz="8" w:color="F0F1F2"/>
            </w:tcBorders>
            <w:shd w:val="clear" w:color="auto" w:fill="F0F1F2"/>
          </w:tcPr>
          <w:p>
            <w:pPr>
              <w:spacing w:after="0"/>
              <w:rPr>
                <w:sz w:val="18"/>
                <w:szCs w:val="18"/>
                <w:color w:val="auto"/>
              </w:rPr>
            </w:pPr>
          </w:p>
        </w:tc>
        <w:tc>
          <w:tcPr>
            <w:tcW w:w="1420" w:type="dxa"/>
            <w:vAlign w:val="bottom"/>
            <w:tcBorders>
              <w:bottom w:val="single" w:sz="8" w:color="F0F1F2"/>
            </w:tcBorders>
            <w:shd w:val="clear" w:color="auto" w:fill="F0F1F2"/>
          </w:tcPr>
          <w:p>
            <w:pPr>
              <w:spacing w:after="0"/>
              <w:rPr>
                <w:sz w:val="18"/>
                <w:szCs w:val="18"/>
                <w:color w:val="auto"/>
              </w:rPr>
            </w:pPr>
          </w:p>
        </w:tc>
        <w:tc>
          <w:tcPr>
            <w:tcW w:w="1500" w:type="dxa"/>
            <w:vAlign w:val="bottom"/>
            <w:tcBorders>
              <w:bottom w:val="single" w:sz="8" w:color="F0F1F2"/>
            </w:tcBorders>
            <w:shd w:val="clear" w:color="auto" w:fill="F0F1F2"/>
          </w:tcPr>
          <w:p>
            <w:pPr>
              <w:spacing w:after="0"/>
              <w:rPr>
                <w:sz w:val="18"/>
                <w:szCs w:val="18"/>
                <w:color w:val="auto"/>
              </w:rPr>
            </w:pPr>
          </w:p>
        </w:tc>
      </w:tr>
      <w:tr>
        <w:trPr>
          <w:trHeight w:val="208"/>
        </w:trPr>
        <w:tc>
          <w:tcPr>
            <w:tcW w:w="5620" w:type="dxa"/>
            <w:vAlign w:val="bottom"/>
          </w:tcPr>
          <w:p>
            <w:pPr>
              <w:ind w:left="100"/>
              <w:spacing w:after="0"/>
              <w:rPr>
                <w:sz w:val="20"/>
                <w:szCs w:val="20"/>
                <w:color w:val="auto"/>
              </w:rPr>
            </w:pPr>
            <w:r>
              <w:rPr>
                <w:rFonts w:ascii="Arial" w:cs="Arial" w:eastAsia="Arial" w:hAnsi="Arial"/>
                <w:sz w:val="14"/>
                <w:szCs w:val="14"/>
                <w:color w:val="2D3243"/>
              </w:rPr>
              <w:t>Did Not Disclose Demographic Background</w:t>
            </w: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
        </w:trPr>
        <w:tc>
          <w:tcPr>
            <w:tcW w:w="5620" w:type="dxa"/>
            <w:vAlign w:val="bottom"/>
            <w:tcBorders>
              <w:bottom w:val="single" w:sz="8" w:color="0336FF"/>
            </w:tcBorders>
          </w:tcPr>
          <w:p>
            <w:pPr>
              <w:spacing w:after="0" w:line="20" w:lineRule="exact"/>
              <w:rPr>
                <w:sz w:val="1"/>
                <w:szCs w:val="1"/>
                <w:color w:val="auto"/>
              </w:rPr>
            </w:pPr>
          </w:p>
        </w:tc>
        <w:tc>
          <w:tcPr>
            <w:tcW w:w="1460" w:type="dxa"/>
            <w:vAlign w:val="bottom"/>
            <w:tcBorders>
              <w:bottom w:val="single" w:sz="8" w:color="0336FF"/>
            </w:tcBorders>
          </w:tcPr>
          <w:p>
            <w:pPr>
              <w:spacing w:after="0" w:line="20" w:lineRule="exact"/>
              <w:rPr>
                <w:sz w:val="1"/>
                <w:szCs w:val="1"/>
                <w:color w:val="auto"/>
              </w:rPr>
            </w:pPr>
          </w:p>
        </w:tc>
        <w:tc>
          <w:tcPr>
            <w:tcW w:w="1240" w:type="dxa"/>
            <w:vAlign w:val="bottom"/>
            <w:tcBorders>
              <w:bottom w:val="single" w:sz="8" w:color="0336FF"/>
            </w:tcBorders>
          </w:tcPr>
          <w:p>
            <w:pPr>
              <w:spacing w:after="0" w:line="20" w:lineRule="exact"/>
              <w:rPr>
                <w:sz w:val="1"/>
                <w:szCs w:val="1"/>
                <w:color w:val="auto"/>
              </w:rPr>
            </w:pPr>
          </w:p>
        </w:tc>
        <w:tc>
          <w:tcPr>
            <w:tcW w:w="1420" w:type="dxa"/>
            <w:vAlign w:val="bottom"/>
            <w:tcBorders>
              <w:bottom w:val="single" w:sz="8" w:color="0336FF"/>
            </w:tcBorders>
          </w:tcPr>
          <w:p>
            <w:pPr>
              <w:spacing w:after="0" w:line="20" w:lineRule="exact"/>
              <w:rPr>
                <w:sz w:val="1"/>
                <w:szCs w:val="1"/>
                <w:color w:val="auto"/>
              </w:rPr>
            </w:pPr>
          </w:p>
        </w:tc>
        <w:tc>
          <w:tcPr>
            <w:tcW w:w="1500" w:type="dxa"/>
            <w:vAlign w:val="bottom"/>
            <w:tcBorders>
              <w:bottom w:val="single" w:sz="8" w:color="0336FF"/>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2D3243"/>
          <w:vertAlign w:val="superscript"/>
        </w:rPr>
        <w:t>(1)</w:t>
      </w:r>
      <w:r>
        <w:rPr>
          <w:rFonts w:ascii="Arial" w:cs="Arial" w:eastAsia="Arial" w:hAnsi="Arial"/>
          <w:sz w:val="14"/>
          <w:szCs w:val="14"/>
          <w:color w:val="2D3243"/>
        </w:rPr>
        <w:t xml:space="preserve"> As of the date of this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Supermajority Vote Requirement</w:t>
      </w:r>
    </w:p>
    <w:p>
      <w:pPr>
        <w:spacing w:after="0" w:line="193"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2D3243"/>
        </w:rPr>
        <w:t>According to recent public filings, of our 2023 executive compensation peer group companies that are currently public companies, 15 of 20 currently have supermajority voting provisions for the amendment of their bylaws and certain provisions of their certificates of incorporation. Of the five companies without a supermajority voting provision, one is a Dutch corporation. We believe that the supermajority vote requirements in our governance documents are consistent with our peer group, and protect the best interests of our company and stockholders for the following reasons: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Our Supermajority Voting Provisions are Designed to Protect our Stockholders.</w:t>
      </w:r>
    </w:p>
    <w:p>
      <w:pPr>
        <w:spacing w:after="0" w:line="93" w:lineRule="exact"/>
        <w:rPr>
          <w:sz w:val="20"/>
          <w:szCs w:val="20"/>
          <w:color w:val="auto"/>
        </w:rPr>
      </w:pPr>
    </w:p>
    <w:p>
      <w:pPr>
        <w:ind w:right="120"/>
        <w:spacing w:after="0" w:line="348" w:lineRule="auto"/>
        <w:rPr>
          <w:sz w:val="20"/>
          <w:szCs w:val="20"/>
          <w:color w:val="auto"/>
        </w:rPr>
      </w:pPr>
      <w:r>
        <w:rPr>
          <w:rFonts w:ascii="Arial" w:cs="Arial" w:eastAsia="Arial" w:hAnsi="Arial"/>
          <w:sz w:val="16"/>
          <w:szCs w:val="16"/>
          <w:color w:val="2D3243"/>
        </w:rPr>
        <w:t>Our supermajority voting provisions are designed to encourage any potential acquirer to negotiate directly with our Board of Directors and protect our stockholders against the potentially self-interested actions of short-term investors. This is desirable because we believe our Board of Directors is in the best position to evaluate the adequacy and fairness of proposed offers based on the long-term interests of all stockholders, to negotiate on behalf of all stockholders and to protect stockholders against abusive tactics during a takeover process. These provisions are also designed to protect all of our stockholders against self-interested actions by one or a few large stockholders. A simple majority vote would eliminate these protections.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Our Supermajority Voting is consistent with Delaware Law.</w:t>
      </w:r>
    </w:p>
    <w:p>
      <w:pPr>
        <w:spacing w:after="0" w:line="93"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2D3243"/>
        </w:rPr>
        <w:t>While Delaware law provides that most proposals submitted to a vote of a company’s stockholders require a vote of the majority of the shares present and eligible to vote at the meeting, Delaware law also provides that certain matters presented to stockholders may be subject to a greater percentage vote standard if that standard is set forth in a company’s certificate of incorporation. Our Charter, which was approved by stockholder vote, provides that the vote of holders of at least 66 2/3% of its outstanding stock must approve amendments to the Bylaws and certain provisions of our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23</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1" w:name="page32"/>
    <w:bookmarkEnd w:id="31"/>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Code of Business Conduct</w:t>
      </w:r>
    </w:p>
    <w:p>
      <w:pPr>
        <w:spacing w:after="0" w:line="193" w:lineRule="exact"/>
        <w:rPr>
          <w:sz w:val="20"/>
          <w:szCs w:val="20"/>
          <w:color w:val="auto"/>
        </w:rPr>
      </w:pPr>
    </w:p>
    <w:p>
      <w:pPr>
        <w:ind w:right="40"/>
        <w:spacing w:after="0" w:line="363" w:lineRule="auto"/>
        <w:rPr>
          <w:sz w:val="20"/>
          <w:szCs w:val="20"/>
          <w:color w:val="auto"/>
        </w:rPr>
      </w:pPr>
      <w:r>
        <w:rPr>
          <w:rFonts w:ascii="Arial" w:cs="Arial" w:eastAsia="Arial" w:hAnsi="Arial"/>
          <w:sz w:val="16"/>
          <w:szCs w:val="16"/>
          <w:color w:val="2D3243"/>
        </w:rPr>
        <w:t>The Board of Directors has adopted a code of business conduct and ethics that is applicable to all of our employees, officers and directors, including our chief executive and senior financial officers. The full text of our code of business conduct is, and any amendment to or waiver from a provision of our code of business conduct will be, posted on our website at http://investors.five9.com under the “Governance” section.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Stockholder Communications with the Board of Directors</w:t>
      </w:r>
    </w:p>
    <w:p>
      <w:pPr>
        <w:spacing w:after="0" w:line="193" w:lineRule="exact"/>
        <w:rPr>
          <w:sz w:val="20"/>
          <w:szCs w:val="20"/>
          <w:color w:val="auto"/>
        </w:rPr>
      </w:pPr>
    </w:p>
    <w:p>
      <w:pPr>
        <w:ind w:right="120"/>
        <w:spacing w:after="0" w:line="374" w:lineRule="auto"/>
        <w:rPr>
          <w:sz w:val="20"/>
          <w:szCs w:val="20"/>
          <w:color w:val="auto"/>
        </w:rPr>
      </w:pPr>
      <w:r>
        <w:rPr>
          <w:rFonts w:ascii="Arial" w:cs="Arial" w:eastAsia="Arial" w:hAnsi="Arial"/>
          <w:sz w:val="16"/>
          <w:szCs w:val="16"/>
          <w:color w:val="2D3243"/>
        </w:rPr>
        <w:t>Stockholders may communicate with our Board of Directors, either generally or with a particular director, by email at stockholdercommunication@five9.com or by writing to the following address: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2D3243"/>
        </w:rPr>
        <w:t>c/o Secretary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Five9,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3001 Bishop Drive, Suite 350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San Ramon, CA 94583</w:t>
      </w:r>
    </w:p>
    <w:p>
      <w:pPr>
        <w:spacing w:after="0" w:line="235" w:lineRule="exact"/>
        <w:rPr>
          <w:sz w:val="20"/>
          <w:szCs w:val="20"/>
          <w:color w:val="auto"/>
        </w:rPr>
      </w:pPr>
    </w:p>
    <w:p>
      <w:pPr>
        <w:ind w:right="80"/>
        <w:spacing w:after="0" w:line="344" w:lineRule="auto"/>
        <w:rPr>
          <w:sz w:val="20"/>
          <w:szCs w:val="20"/>
          <w:color w:val="auto"/>
        </w:rPr>
      </w:pPr>
      <w:r>
        <w:rPr>
          <w:rFonts w:ascii="Arial" w:cs="Arial" w:eastAsia="Arial" w:hAnsi="Arial"/>
          <w:sz w:val="16"/>
          <w:szCs w:val="16"/>
          <w:color w:val="2D3243"/>
        </w:rPr>
        <w:t>Each such communication should set forth (i) the nature of the stockholder’s interest in Five9 (including share ownership) and (ii) contact information for the individual submitting the communication (including name, address, telephone and email address, as applicable). Communications that are intended specifically for non-employee directors should be sent to the postal or email address above to the attention of the Chair of the Nominating and Governance Committee with a note that the communication is intended specifically for non-employee directors. The Secretary of Five9 will receive and review communications addressed to the Board of Directors, any committee of the Board of Directors or any director, except for those communications intended specifically for non-employee directors that are directed to the Chair of the Nominating and Governance Committee. The Secretary may communicate with the sender for necessary clarification.</w:t>
      </w:r>
    </w:p>
    <w:p>
      <w:pPr>
        <w:spacing w:after="0" w:line="13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2D3243"/>
        </w:rPr>
        <w:t>The Secretary will not forward to the Board of Directors, any committee of the Board of Directors or any director communications that are not related to the duties and responsibilities of the Board of Directors, including, without limitation, spam, junk mail, advertisements, mass mailings, solicitations, job inquiries and opinion survey polls and only non-employee directors will be permitted to review any communications intended only for non-employee directors. Further, the Secretary will not communicate any offensive, inappropriate or otherwise irrelevant communications to the Board of Directors, any Board committee or any director. The Secretary will maintain a log of any such communications not shared with the Board of Directors, which any director may review upon request, except that such log will not contain any spam, junk mail, advertisements, mass mailings, solicitations, job inquiries, opinion survey polls, or similar information. The Secretary will share all proper communications with the Board of Directors, the appropriate committee of the Board of Directors or the appropriate director(s) on at least a quarterly basis.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Attendance at Annual Meeting of Stockholders by the Board of Directors</w:t>
      </w:r>
    </w:p>
    <w:p>
      <w:pPr>
        <w:spacing w:after="0" w:line="193" w:lineRule="exact"/>
        <w:rPr>
          <w:sz w:val="20"/>
          <w:szCs w:val="20"/>
          <w:color w:val="auto"/>
        </w:rPr>
      </w:pPr>
    </w:p>
    <w:p>
      <w:pPr>
        <w:spacing w:after="0" w:line="363" w:lineRule="auto"/>
        <w:rPr>
          <w:sz w:val="20"/>
          <w:szCs w:val="20"/>
          <w:color w:val="auto"/>
        </w:rPr>
      </w:pPr>
      <w:r>
        <w:rPr>
          <w:rFonts w:ascii="Arial" w:cs="Arial" w:eastAsia="Arial" w:hAnsi="Arial"/>
          <w:sz w:val="16"/>
          <w:szCs w:val="16"/>
          <w:color w:val="2D3243"/>
        </w:rPr>
        <w:t>Pursuant to our Corporate Governance Guidelines, our directors are encouraged, but not required, to attend our annual meeting of stockholders. All of our directors attended our 2023 annual meeting of stockholders on May 16, 2023. Mr. Mariner joined our Board of Directors on May 24, 2023 and, therefore, was not a director at the time of our 2023 annual meeting of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Director Compensation</w:t>
      </w:r>
    </w:p>
    <w:p>
      <w:pPr>
        <w:spacing w:after="0" w:line="193" w:lineRule="exact"/>
        <w:rPr>
          <w:sz w:val="20"/>
          <w:szCs w:val="20"/>
          <w:color w:val="auto"/>
        </w:rPr>
      </w:pPr>
    </w:p>
    <w:p>
      <w:pPr>
        <w:ind w:right="60"/>
        <w:spacing w:after="0" w:line="374" w:lineRule="auto"/>
        <w:rPr>
          <w:sz w:val="20"/>
          <w:szCs w:val="20"/>
          <w:color w:val="auto"/>
        </w:rPr>
      </w:pPr>
      <w:r>
        <w:rPr>
          <w:rFonts w:ascii="Arial" w:cs="Arial" w:eastAsia="Arial" w:hAnsi="Arial"/>
          <w:sz w:val="16"/>
          <w:szCs w:val="16"/>
          <w:color w:val="2D3243"/>
        </w:rPr>
        <w:t>Consistent with our non-employee director compensation policy, in 2023 each non-employee director was eligible to earn an annual cash retainer, additional fees based on committee service, and receive an annual equity award under our 2014 Equity Incentive Plan (the “2014 Plan”).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24</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2" w:name="page33"/>
    <w:bookmarkEnd w:id="32"/>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Cash Compensation</w:t>
      </w:r>
    </w:p>
    <w:p>
      <w:pPr>
        <w:spacing w:after="0" w:line="93" w:lineRule="exact"/>
        <w:rPr>
          <w:sz w:val="20"/>
          <w:szCs w:val="20"/>
          <w:color w:val="auto"/>
        </w:rPr>
      </w:pPr>
    </w:p>
    <w:p>
      <w:pPr>
        <w:ind w:right="80"/>
        <w:spacing w:after="0" w:line="374" w:lineRule="auto"/>
        <w:rPr>
          <w:sz w:val="20"/>
          <w:szCs w:val="20"/>
          <w:color w:val="auto"/>
        </w:rPr>
      </w:pPr>
      <w:r>
        <w:rPr>
          <w:rFonts w:ascii="Arial" w:cs="Arial" w:eastAsia="Arial" w:hAnsi="Arial"/>
          <w:sz w:val="16"/>
          <w:szCs w:val="16"/>
          <w:color w:val="2D3243"/>
        </w:rPr>
        <w:t>The annual cash retainer amounts are payable in equal quarterly installments. Set forth below are the cash retainer amounts for our non-employee directors in 2023.</w:t>
      </w:r>
    </w:p>
    <w:p>
      <w:pPr>
        <w:spacing w:after="0" w:line="102"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6"/>
          <w:szCs w:val="16"/>
          <w:color w:val="2D3243"/>
        </w:rPr>
      </w:pPr>
      <w:r>
        <w:rPr>
          <w:rFonts w:ascii="Arial" w:cs="Arial" w:eastAsia="Arial" w:hAnsi="Arial"/>
          <w:sz w:val="16"/>
          <w:szCs w:val="16"/>
          <w:color w:val="2D3243"/>
        </w:rPr>
        <w:t>Annual Board of Directors Service Retainer:</w:t>
      </w:r>
    </w:p>
    <w:p>
      <w:pPr>
        <w:spacing w:after="0" w:line="140" w:lineRule="exact"/>
        <w:rPr>
          <w:rFonts w:ascii="Arial" w:cs="Arial" w:eastAsia="Arial" w:hAnsi="Arial"/>
          <w:sz w:val="16"/>
          <w:szCs w:val="16"/>
          <w:color w:val="2D3243"/>
        </w:rPr>
      </w:pPr>
    </w:p>
    <w:p>
      <w:pPr>
        <w:ind w:left="1140" w:hanging="241"/>
        <w:spacing w:after="0"/>
        <w:tabs>
          <w:tab w:leader="none" w:pos="1140" w:val="left"/>
        </w:tabs>
        <w:numPr>
          <w:ilvl w:val="1"/>
          <w:numId w:val="19"/>
        </w:numPr>
        <w:rPr>
          <w:rFonts w:ascii="Arial" w:cs="Arial" w:eastAsia="Arial" w:hAnsi="Arial"/>
          <w:sz w:val="16"/>
          <w:szCs w:val="16"/>
          <w:color w:val="2D3243"/>
        </w:rPr>
      </w:pPr>
      <w:r>
        <w:rPr>
          <w:rFonts w:ascii="Arial" w:cs="Arial" w:eastAsia="Arial" w:hAnsi="Arial"/>
          <w:sz w:val="16"/>
          <w:szCs w:val="16"/>
          <w:color w:val="2D3243"/>
        </w:rPr>
        <w:t>All Non-Employee Directors: $35,000</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19"/>
        </w:numPr>
        <w:rPr>
          <w:rFonts w:ascii="Arial" w:cs="Arial" w:eastAsia="Arial" w:hAnsi="Arial"/>
          <w:sz w:val="16"/>
          <w:szCs w:val="16"/>
          <w:color w:val="2D3243"/>
        </w:rPr>
      </w:pPr>
      <w:r>
        <w:rPr>
          <w:rFonts w:ascii="Arial" w:cs="Arial" w:eastAsia="Arial" w:hAnsi="Arial"/>
          <w:sz w:val="16"/>
          <w:szCs w:val="16"/>
          <w:color w:val="2D3243"/>
        </w:rPr>
        <w:t>Annual Chair Service Fee (in addition to the Annual Board of Directors Service Retainer):</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19"/>
        </w:numPr>
        <w:rPr>
          <w:rFonts w:ascii="Arial" w:cs="Arial" w:eastAsia="Arial" w:hAnsi="Arial"/>
          <w:sz w:val="16"/>
          <w:szCs w:val="16"/>
          <w:color w:val="2D3243"/>
        </w:rPr>
      </w:pPr>
      <w:r>
        <w:rPr>
          <w:rFonts w:ascii="Arial" w:cs="Arial" w:eastAsia="Arial" w:hAnsi="Arial"/>
          <w:sz w:val="16"/>
          <w:szCs w:val="16"/>
          <w:color w:val="2D3243"/>
        </w:rPr>
        <w:t>Chair of the Board of Directors: $20,000</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19"/>
        </w:numPr>
        <w:rPr>
          <w:rFonts w:ascii="Arial" w:cs="Arial" w:eastAsia="Arial" w:hAnsi="Arial"/>
          <w:sz w:val="16"/>
          <w:szCs w:val="16"/>
          <w:color w:val="2D3243"/>
        </w:rPr>
      </w:pPr>
      <w:r>
        <w:rPr>
          <w:rFonts w:ascii="Arial" w:cs="Arial" w:eastAsia="Arial" w:hAnsi="Arial"/>
          <w:sz w:val="16"/>
          <w:szCs w:val="16"/>
          <w:color w:val="2D3243"/>
        </w:rPr>
        <w:t>Lead Independent Director: $20,000</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19"/>
        </w:numPr>
        <w:rPr>
          <w:rFonts w:ascii="Arial" w:cs="Arial" w:eastAsia="Arial" w:hAnsi="Arial"/>
          <w:sz w:val="16"/>
          <w:szCs w:val="16"/>
          <w:color w:val="2D3243"/>
        </w:rPr>
      </w:pPr>
      <w:r>
        <w:rPr>
          <w:rFonts w:ascii="Arial" w:cs="Arial" w:eastAsia="Arial" w:hAnsi="Arial"/>
          <w:sz w:val="16"/>
          <w:szCs w:val="16"/>
          <w:color w:val="2D3243"/>
        </w:rPr>
        <w:t>Chair of the Audit Committee: $20,000</w:t>
      </w:r>
    </w:p>
    <w:p>
      <w:pPr>
        <w:spacing w:after="0" w:line="140" w:lineRule="exact"/>
        <w:rPr>
          <w:rFonts w:ascii="Arial" w:cs="Arial" w:eastAsia="Arial" w:hAnsi="Arial"/>
          <w:sz w:val="16"/>
          <w:szCs w:val="16"/>
          <w:color w:val="2D3243"/>
        </w:rPr>
      </w:pPr>
    </w:p>
    <w:p>
      <w:pPr>
        <w:ind w:left="1140" w:hanging="241"/>
        <w:spacing w:after="0"/>
        <w:tabs>
          <w:tab w:leader="none" w:pos="1140" w:val="left"/>
        </w:tabs>
        <w:numPr>
          <w:ilvl w:val="1"/>
          <w:numId w:val="19"/>
        </w:numPr>
        <w:rPr>
          <w:rFonts w:ascii="Arial" w:cs="Arial" w:eastAsia="Arial" w:hAnsi="Arial"/>
          <w:sz w:val="16"/>
          <w:szCs w:val="16"/>
          <w:color w:val="2D3243"/>
        </w:rPr>
      </w:pPr>
      <w:r>
        <w:rPr>
          <w:rFonts w:ascii="Arial" w:cs="Arial" w:eastAsia="Arial" w:hAnsi="Arial"/>
          <w:sz w:val="16"/>
          <w:szCs w:val="16"/>
          <w:color w:val="2D3243"/>
        </w:rPr>
        <w:t>Chair of the Compensation Committee: $15,000</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19"/>
        </w:numPr>
        <w:rPr>
          <w:rFonts w:ascii="Arial" w:cs="Arial" w:eastAsia="Arial" w:hAnsi="Arial"/>
          <w:sz w:val="16"/>
          <w:szCs w:val="16"/>
          <w:color w:val="2D3243"/>
        </w:rPr>
      </w:pPr>
      <w:r>
        <w:rPr>
          <w:rFonts w:ascii="Arial" w:cs="Arial" w:eastAsia="Arial" w:hAnsi="Arial"/>
          <w:sz w:val="16"/>
          <w:szCs w:val="16"/>
          <w:color w:val="2D3243"/>
        </w:rPr>
        <w:t>Chair of the Nominating and Governance Committee: $9,000</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19"/>
        </w:numPr>
        <w:rPr>
          <w:rFonts w:ascii="Arial" w:cs="Arial" w:eastAsia="Arial" w:hAnsi="Arial"/>
          <w:sz w:val="16"/>
          <w:szCs w:val="16"/>
          <w:color w:val="2D3243"/>
        </w:rPr>
      </w:pPr>
      <w:r>
        <w:rPr>
          <w:rFonts w:ascii="Arial" w:cs="Arial" w:eastAsia="Arial" w:hAnsi="Arial"/>
          <w:sz w:val="16"/>
          <w:szCs w:val="16"/>
          <w:color w:val="2D3243"/>
        </w:rPr>
        <w:t>Annual Committee Member (non-Chair) Service Fee (in addition to the Annual Board of Director Service Retainer):</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19"/>
        </w:numPr>
        <w:rPr>
          <w:rFonts w:ascii="Arial" w:cs="Arial" w:eastAsia="Arial" w:hAnsi="Arial"/>
          <w:sz w:val="16"/>
          <w:szCs w:val="16"/>
          <w:color w:val="2D3243"/>
        </w:rPr>
      </w:pPr>
      <w:r>
        <w:rPr>
          <w:rFonts w:ascii="Arial" w:cs="Arial" w:eastAsia="Arial" w:hAnsi="Arial"/>
          <w:sz w:val="16"/>
          <w:szCs w:val="16"/>
          <w:color w:val="2D3243"/>
        </w:rPr>
        <w:t>Audit Committee: $10,000</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19"/>
        </w:numPr>
        <w:rPr>
          <w:rFonts w:ascii="Arial" w:cs="Arial" w:eastAsia="Arial" w:hAnsi="Arial"/>
          <w:sz w:val="16"/>
          <w:szCs w:val="16"/>
          <w:color w:val="2D3243"/>
        </w:rPr>
      </w:pPr>
      <w:r>
        <w:rPr>
          <w:rFonts w:ascii="Arial" w:cs="Arial" w:eastAsia="Arial" w:hAnsi="Arial"/>
          <w:sz w:val="16"/>
          <w:szCs w:val="16"/>
          <w:color w:val="2D3243"/>
        </w:rPr>
        <w:t>Compensation Committee: $7,500</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19"/>
        </w:numPr>
        <w:rPr>
          <w:rFonts w:ascii="Arial" w:cs="Arial" w:eastAsia="Arial" w:hAnsi="Arial"/>
          <w:sz w:val="16"/>
          <w:szCs w:val="16"/>
          <w:color w:val="2D3243"/>
        </w:rPr>
      </w:pPr>
      <w:r>
        <w:rPr>
          <w:rFonts w:ascii="Arial" w:cs="Arial" w:eastAsia="Arial" w:hAnsi="Arial"/>
          <w:sz w:val="16"/>
          <w:szCs w:val="16"/>
          <w:color w:val="2D3243"/>
        </w:rPr>
        <w:t>Nominating and Governance Committee: $4,500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Equity Compensation</w:t>
      </w:r>
    </w:p>
    <w:p>
      <w:pPr>
        <w:spacing w:after="0" w:line="201" w:lineRule="exact"/>
        <w:rPr>
          <w:sz w:val="20"/>
          <w:szCs w:val="20"/>
          <w:color w:val="auto"/>
        </w:rPr>
      </w:pPr>
    </w:p>
    <w:p>
      <w:pPr>
        <w:ind w:left="660" w:right="40" w:hanging="328"/>
        <w:spacing w:after="0" w:line="342" w:lineRule="auto"/>
        <w:tabs>
          <w:tab w:leader="none" w:pos="622" w:val="left"/>
        </w:tabs>
        <w:numPr>
          <w:ilvl w:val="0"/>
          <w:numId w:val="20"/>
        </w:numPr>
        <w:rPr>
          <w:rFonts w:ascii="Arial" w:cs="Arial" w:eastAsia="Arial" w:hAnsi="Arial"/>
          <w:sz w:val="16"/>
          <w:szCs w:val="16"/>
          <w:color w:val="2D3243"/>
        </w:rPr>
      </w:pPr>
      <w:r>
        <w:rPr>
          <w:rFonts w:ascii="Arial" w:cs="Arial" w:eastAsia="Arial" w:hAnsi="Arial"/>
          <w:sz w:val="16"/>
          <w:szCs w:val="16"/>
          <w:color w:val="2D3243"/>
        </w:rPr>
        <w:t>New Non-Employee Director RSU Grant: Under our non-employee director compensation policy, any individual who first became a non-employee director (other than as a result of an employee director transitioning to become a non-employee director), was entitled to (i) a restricted stock unit ("RSU") award with an aggregate grant date fair value of $400,000, which will vest in three equal annual installments on the first, second and third anniversaries of the date of grant, subject to the director's continued service through each such date and (ii) an RSU award with an aggregate grant date fair value of $200,000, reduced by a pro-rated amount (1/12) for each month that elapsed since the last annual meeting to the date of the director's appointment, which will vest on the first anniversary of the date of grant. These RSU awards will vest in full upon a change in control (as defined in our 2014 Plan) of the Company, subject to the director’s continued service through such date. A new non-employee director will not be eligible to receive the annual RSU grant described below until the second annual meeting following their appointment.</w:t>
      </w:r>
    </w:p>
    <w:p>
      <w:pPr>
        <w:spacing w:after="0" w:line="22" w:lineRule="exact"/>
        <w:rPr>
          <w:rFonts w:ascii="Arial" w:cs="Arial" w:eastAsia="Arial" w:hAnsi="Arial"/>
          <w:sz w:val="16"/>
          <w:szCs w:val="16"/>
          <w:color w:val="2D3243"/>
        </w:rPr>
      </w:pPr>
    </w:p>
    <w:p>
      <w:pPr>
        <w:ind w:left="660" w:right="220" w:hanging="328"/>
        <w:spacing w:after="0" w:line="348" w:lineRule="auto"/>
        <w:tabs>
          <w:tab w:leader="none" w:pos="622" w:val="left"/>
        </w:tabs>
        <w:numPr>
          <w:ilvl w:val="0"/>
          <w:numId w:val="20"/>
        </w:numPr>
        <w:rPr>
          <w:rFonts w:ascii="Arial" w:cs="Arial" w:eastAsia="Arial" w:hAnsi="Arial"/>
          <w:sz w:val="16"/>
          <w:szCs w:val="16"/>
          <w:color w:val="2D3243"/>
        </w:rPr>
      </w:pPr>
      <w:r>
        <w:rPr>
          <w:rFonts w:ascii="Arial" w:cs="Arial" w:eastAsia="Arial" w:hAnsi="Arial"/>
          <w:sz w:val="16"/>
          <w:szCs w:val="16"/>
          <w:color w:val="2D3243"/>
        </w:rPr>
        <w:t>Annual RSU Grant: Under our non-employee director compensation policy, on the date of each annual stockholders meeting, each non-employee director is automatically granted an RSU award with an aggregate grant date fair value of $200,000 (based on the per share closing price of our Common Stock on the date of the annual stockholders meeting). The RSU award vests in full on the earliest to occur of (i) the first anniversary of the grant date, (ii) immediately prior to the next succeeding annual stockholders meeting after the date of grant, and (iii) a change in control (as defined in our 2014 Plan) of the Company, subject to the director’s continued service through such earliest date.</w:t>
      </w:r>
    </w:p>
    <w:p>
      <w:pPr>
        <w:spacing w:after="0" w:line="124" w:lineRule="exact"/>
        <w:rPr>
          <w:sz w:val="20"/>
          <w:szCs w:val="20"/>
          <w:color w:val="auto"/>
        </w:rPr>
      </w:pPr>
    </w:p>
    <w:p>
      <w:pPr>
        <w:spacing w:after="0" w:line="354" w:lineRule="auto"/>
        <w:rPr>
          <w:sz w:val="20"/>
          <w:szCs w:val="20"/>
          <w:color w:val="auto"/>
        </w:rPr>
      </w:pPr>
      <w:r>
        <w:rPr>
          <w:rFonts w:ascii="Arial" w:cs="Arial" w:eastAsia="Arial" w:hAnsi="Arial"/>
          <w:sz w:val="16"/>
          <w:szCs w:val="16"/>
          <w:color w:val="2D3243"/>
        </w:rPr>
        <w:t>The following table sets forth the total compensation earned by our non-employee directors during the year ended December 31, 2023. Mr. Michael Burkland, our Chief Executive Officer, does not receive additional compensation for his service on the Board of Directors. The 2023 compensation received by Mr. Michael Burkland as our Chief Executive Officer is presented in the section below entitled “Executive Compensation -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25</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3" w:name="page34"/>
    <w:bookmarkEnd w:id="33"/>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2023 Director Compensation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20" w:type="dxa"/>
            <w:vAlign w:val="bottom"/>
            <w:shd w:val="clear" w:color="auto" w:fill="0336FF"/>
          </w:tcPr>
          <w:p>
            <w:pPr>
              <w:spacing w:after="0"/>
              <w:rPr>
                <w:sz w:val="16"/>
                <w:szCs w:val="16"/>
                <w:color w:val="auto"/>
              </w:rPr>
            </w:pPr>
          </w:p>
        </w:tc>
        <w:tc>
          <w:tcPr>
            <w:tcW w:w="1720" w:type="dxa"/>
            <w:vAlign w:val="bottom"/>
            <w:shd w:val="clear" w:color="auto" w:fill="0336FF"/>
          </w:tcPr>
          <w:p>
            <w:pPr>
              <w:jc w:val="right"/>
              <w:ind w:right="248"/>
              <w:spacing w:after="0"/>
              <w:rPr>
                <w:sz w:val="20"/>
                <w:szCs w:val="20"/>
                <w:color w:val="auto"/>
              </w:rPr>
            </w:pPr>
            <w:r>
              <w:rPr>
                <w:rFonts w:ascii="Arial" w:cs="Arial" w:eastAsia="Arial" w:hAnsi="Arial"/>
                <w:sz w:val="14"/>
                <w:szCs w:val="14"/>
                <w:b w:val="1"/>
                <w:bCs w:val="1"/>
                <w:color w:val="FFFFFF"/>
              </w:rPr>
              <w:t>Fees Earned or</w:t>
            </w:r>
          </w:p>
        </w:tc>
        <w:tc>
          <w:tcPr>
            <w:tcW w:w="1260" w:type="dxa"/>
            <w:vAlign w:val="bottom"/>
            <w:shd w:val="clear" w:color="auto" w:fill="0336FF"/>
          </w:tcPr>
          <w:p>
            <w:pPr>
              <w:jc w:val="right"/>
              <w:ind w:right="111"/>
              <w:spacing w:after="0"/>
              <w:rPr>
                <w:sz w:val="20"/>
                <w:szCs w:val="20"/>
                <w:color w:val="auto"/>
              </w:rPr>
            </w:pPr>
            <w:r>
              <w:rPr>
                <w:rFonts w:ascii="Arial" w:cs="Arial" w:eastAsia="Arial" w:hAnsi="Arial"/>
                <w:sz w:val="14"/>
                <w:szCs w:val="14"/>
                <w:b w:val="1"/>
                <w:bCs w:val="1"/>
                <w:color w:val="FFFFFF"/>
              </w:rPr>
              <w:t>Stock</w:t>
            </w:r>
          </w:p>
        </w:tc>
        <w:tc>
          <w:tcPr>
            <w:tcW w:w="1640" w:type="dxa"/>
            <w:vAlign w:val="bottom"/>
            <w:shd w:val="clear" w:color="auto" w:fill="0336FF"/>
          </w:tcPr>
          <w:p>
            <w:pPr>
              <w:ind w:left="620"/>
              <w:spacing w:after="0"/>
              <w:rPr>
                <w:sz w:val="20"/>
                <w:szCs w:val="20"/>
                <w:color w:val="auto"/>
              </w:rPr>
            </w:pPr>
            <w:r>
              <w:rPr>
                <w:rFonts w:ascii="Arial" w:cs="Arial" w:eastAsia="Arial" w:hAnsi="Arial"/>
                <w:sz w:val="14"/>
                <w:szCs w:val="14"/>
                <w:b w:val="1"/>
                <w:bCs w:val="1"/>
                <w:color w:val="FFFFFF"/>
              </w:rPr>
              <w:t>All Other</w:t>
            </w:r>
          </w:p>
        </w:tc>
        <w:tc>
          <w:tcPr>
            <w:tcW w:w="1100" w:type="dxa"/>
            <w:vAlign w:val="bottom"/>
            <w:vMerge w:val="restart"/>
            <w:shd w:val="clear" w:color="auto" w:fill="0336FF"/>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4"/>
        </w:trPr>
        <w:tc>
          <w:tcPr>
            <w:tcW w:w="5520" w:type="dxa"/>
            <w:vAlign w:val="bottom"/>
            <w:shd w:val="clear" w:color="auto" w:fill="0336FF"/>
          </w:tcPr>
          <w:p>
            <w:pPr>
              <w:spacing w:after="0"/>
              <w:rPr>
                <w:sz w:val="14"/>
                <w:szCs w:val="14"/>
                <w:color w:val="auto"/>
              </w:rPr>
            </w:pPr>
          </w:p>
        </w:tc>
        <w:tc>
          <w:tcPr>
            <w:tcW w:w="1720" w:type="dxa"/>
            <w:vAlign w:val="bottom"/>
            <w:shd w:val="clear" w:color="auto" w:fill="0336FF"/>
          </w:tcPr>
          <w:p>
            <w:pPr>
              <w:jc w:val="right"/>
              <w:ind w:right="248"/>
              <w:spacing w:after="0" w:line="164" w:lineRule="exact"/>
              <w:rPr>
                <w:sz w:val="20"/>
                <w:szCs w:val="20"/>
                <w:color w:val="auto"/>
              </w:rPr>
            </w:pPr>
            <w:r>
              <w:rPr>
                <w:rFonts w:ascii="Arial" w:cs="Arial" w:eastAsia="Arial" w:hAnsi="Arial"/>
                <w:sz w:val="14"/>
                <w:szCs w:val="14"/>
                <w:b w:val="1"/>
                <w:bCs w:val="1"/>
                <w:color w:val="FFFFFF"/>
              </w:rPr>
              <w:t>Paid in Cash</w:t>
            </w:r>
            <w:r>
              <w:rPr>
                <w:rFonts w:ascii="Arial" w:cs="Arial" w:eastAsia="Arial" w:hAnsi="Arial"/>
                <w:sz w:val="18"/>
                <w:szCs w:val="18"/>
                <w:b w:val="1"/>
                <w:bCs w:val="1"/>
                <w:color w:val="FFFFFF"/>
                <w:vertAlign w:val="superscript"/>
              </w:rPr>
              <w:t>(1)</w:t>
            </w:r>
          </w:p>
        </w:tc>
        <w:tc>
          <w:tcPr>
            <w:tcW w:w="1260" w:type="dxa"/>
            <w:vAlign w:val="bottom"/>
            <w:shd w:val="clear" w:color="auto" w:fill="0336FF"/>
          </w:tcPr>
          <w:p>
            <w:pPr>
              <w:jc w:val="right"/>
              <w:ind w:right="111"/>
              <w:spacing w:after="0" w:line="164" w:lineRule="exact"/>
              <w:rPr>
                <w:sz w:val="20"/>
                <w:szCs w:val="20"/>
                <w:color w:val="auto"/>
              </w:rPr>
            </w:pPr>
            <w:r>
              <w:rPr>
                <w:rFonts w:ascii="Arial" w:cs="Arial" w:eastAsia="Arial" w:hAnsi="Arial"/>
                <w:sz w:val="19"/>
                <w:szCs w:val="19"/>
                <w:b w:val="1"/>
                <w:bCs w:val="1"/>
                <w:color w:val="FFFFFF"/>
                <w:vertAlign w:val="subscript"/>
              </w:rPr>
              <w:t>Awards</w:t>
            </w:r>
            <w:r>
              <w:rPr>
                <w:rFonts w:ascii="Arial" w:cs="Arial" w:eastAsia="Arial" w:hAnsi="Arial"/>
                <w:sz w:val="8"/>
                <w:szCs w:val="8"/>
                <w:b w:val="1"/>
                <w:bCs w:val="1"/>
                <w:color w:val="FFFFFF"/>
              </w:rPr>
              <w:t>(2)(3)</w:t>
            </w:r>
          </w:p>
        </w:tc>
        <w:tc>
          <w:tcPr>
            <w:tcW w:w="1640" w:type="dxa"/>
            <w:vAlign w:val="bottom"/>
            <w:shd w:val="clear" w:color="auto" w:fill="0336FF"/>
          </w:tcPr>
          <w:p>
            <w:pPr>
              <w:ind w:left="180"/>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vMerge w:val="continue"/>
            <w:shd w:val="clear" w:color="auto" w:fill="0336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520" w:type="dxa"/>
            <w:vAlign w:val="bottom"/>
            <w:tcBorders>
              <w:bottom w:val="single" w:sz="8" w:color="0336FF"/>
            </w:tcBorders>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1720" w:type="dxa"/>
            <w:vAlign w:val="bottom"/>
            <w:tcBorders>
              <w:bottom w:val="single" w:sz="8" w:color="0336FF"/>
            </w:tcBorders>
            <w:shd w:val="clear" w:color="auto" w:fill="0336FF"/>
          </w:tcPr>
          <w:p>
            <w:pPr>
              <w:jc w:val="right"/>
              <w:ind w:right="248"/>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bottom w:val="single" w:sz="8" w:color="0336FF"/>
            </w:tcBorders>
            <w:shd w:val="clear" w:color="auto" w:fill="0336FF"/>
          </w:tcPr>
          <w:p>
            <w:pPr>
              <w:jc w:val="right"/>
              <w:ind w:right="111"/>
              <w:spacing w:after="0"/>
              <w:rPr>
                <w:sz w:val="20"/>
                <w:szCs w:val="20"/>
                <w:color w:val="auto"/>
              </w:rPr>
            </w:pPr>
            <w:r>
              <w:rPr>
                <w:rFonts w:ascii="Arial" w:cs="Arial" w:eastAsia="Arial" w:hAnsi="Arial"/>
                <w:sz w:val="14"/>
                <w:szCs w:val="14"/>
                <w:b w:val="1"/>
                <w:bCs w:val="1"/>
                <w:color w:val="FFFFFF"/>
              </w:rPr>
              <w:t>($)</w:t>
            </w:r>
          </w:p>
        </w:tc>
        <w:tc>
          <w:tcPr>
            <w:tcW w:w="1640" w:type="dxa"/>
            <w:vAlign w:val="bottom"/>
            <w:tcBorders>
              <w:bottom w:val="single" w:sz="8" w:color="0336FF"/>
            </w:tcBorders>
            <w:shd w:val="clear" w:color="auto" w:fill="0336FF"/>
          </w:tcPr>
          <w:p>
            <w:pPr>
              <w:ind w:left="1040"/>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bottom w:val="single" w:sz="8" w:color="0336FF"/>
            </w:tcBorders>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2"/>
        </w:trPr>
        <w:tc>
          <w:tcPr>
            <w:tcW w:w="5520" w:type="dxa"/>
            <w:vAlign w:val="bottom"/>
          </w:tcPr>
          <w:p>
            <w:pPr>
              <w:ind w:left="100"/>
              <w:spacing w:after="0"/>
              <w:rPr>
                <w:sz w:val="20"/>
                <w:szCs w:val="20"/>
                <w:color w:val="auto"/>
              </w:rPr>
            </w:pPr>
            <w:r>
              <w:rPr>
                <w:rFonts w:ascii="Arial" w:cs="Arial" w:eastAsia="Arial" w:hAnsi="Arial"/>
                <w:sz w:val="14"/>
                <w:szCs w:val="14"/>
                <w:b w:val="1"/>
                <w:bCs w:val="1"/>
                <w:color w:val="2D3243"/>
              </w:rPr>
              <w:t>Jack Acosta</w:t>
            </w:r>
          </w:p>
        </w:tc>
        <w:tc>
          <w:tcPr>
            <w:tcW w:w="1720" w:type="dxa"/>
            <w:vAlign w:val="bottom"/>
          </w:tcPr>
          <w:p>
            <w:pPr>
              <w:jc w:val="right"/>
              <w:ind w:right="308"/>
              <w:spacing w:after="0"/>
              <w:rPr>
                <w:sz w:val="20"/>
                <w:szCs w:val="20"/>
                <w:color w:val="auto"/>
              </w:rPr>
            </w:pPr>
            <w:r>
              <w:rPr>
                <w:rFonts w:ascii="Arial" w:cs="Arial" w:eastAsia="Arial" w:hAnsi="Arial"/>
                <w:sz w:val="14"/>
                <w:szCs w:val="14"/>
                <w:color w:val="2D3243"/>
              </w:rPr>
              <w:t>55,000</w:t>
            </w:r>
          </w:p>
        </w:tc>
        <w:tc>
          <w:tcPr>
            <w:tcW w:w="1260" w:type="dxa"/>
            <w:vAlign w:val="bottom"/>
          </w:tcPr>
          <w:p>
            <w:pPr>
              <w:jc w:val="right"/>
              <w:ind w:right="151"/>
              <w:spacing w:after="0"/>
              <w:rPr>
                <w:sz w:val="20"/>
                <w:szCs w:val="20"/>
                <w:color w:val="auto"/>
              </w:rPr>
            </w:pPr>
            <w:r>
              <w:rPr>
                <w:rFonts w:ascii="Arial" w:cs="Arial" w:eastAsia="Arial" w:hAnsi="Arial"/>
                <w:sz w:val="14"/>
                <w:szCs w:val="14"/>
                <w:color w:val="2D3243"/>
              </w:rPr>
              <w:t>199,961</w:t>
            </w:r>
          </w:p>
        </w:tc>
        <w:tc>
          <w:tcPr>
            <w:tcW w:w="1640" w:type="dxa"/>
            <w:vAlign w:val="bottom"/>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2D3243"/>
              </w:rPr>
              <w:t>254,961</w:t>
            </w:r>
          </w:p>
        </w:tc>
        <w:tc>
          <w:tcPr>
            <w:tcW w:w="0" w:type="dxa"/>
            <w:vAlign w:val="bottom"/>
          </w:tcPr>
          <w:p>
            <w:pPr>
              <w:spacing w:after="0"/>
              <w:rPr>
                <w:sz w:val="1"/>
                <w:szCs w:val="1"/>
                <w:color w:val="auto"/>
              </w:rPr>
            </w:pPr>
          </w:p>
        </w:tc>
      </w:tr>
      <w:tr>
        <w:trPr>
          <w:trHeight w:val="291"/>
        </w:trPr>
        <w:tc>
          <w:tcPr>
            <w:tcW w:w="55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Kimberly Alexy</w:t>
            </w:r>
            <w:r>
              <w:rPr>
                <w:rFonts w:ascii="Arial" w:cs="Arial" w:eastAsia="Arial" w:hAnsi="Arial"/>
                <w:sz w:val="18"/>
                <w:szCs w:val="18"/>
                <w:b w:val="1"/>
                <w:bCs w:val="1"/>
                <w:color w:val="2D3243"/>
                <w:vertAlign w:val="superscript"/>
              </w:rPr>
              <w:t>(4)</w:t>
            </w:r>
          </w:p>
        </w:tc>
        <w:tc>
          <w:tcPr>
            <w:tcW w:w="1720" w:type="dxa"/>
            <w:vAlign w:val="bottom"/>
            <w:shd w:val="clear" w:color="auto" w:fill="F0F1F2"/>
          </w:tcPr>
          <w:p>
            <w:pPr>
              <w:jc w:val="right"/>
              <w:ind w:right="308"/>
              <w:spacing w:after="0"/>
              <w:rPr>
                <w:sz w:val="20"/>
                <w:szCs w:val="20"/>
                <w:color w:val="auto"/>
              </w:rPr>
            </w:pPr>
            <w:r>
              <w:rPr>
                <w:rFonts w:ascii="Arial" w:cs="Arial" w:eastAsia="Arial" w:hAnsi="Arial"/>
                <w:sz w:val="14"/>
                <w:szCs w:val="14"/>
                <w:color w:val="2D3243"/>
              </w:rPr>
              <w:t>18,589</w:t>
            </w:r>
          </w:p>
        </w:tc>
        <w:tc>
          <w:tcPr>
            <w:tcW w:w="1260" w:type="dxa"/>
            <w:vAlign w:val="bottom"/>
            <w:shd w:val="clear" w:color="auto" w:fill="F0F1F2"/>
          </w:tcPr>
          <w:p>
            <w:pPr>
              <w:jc w:val="right"/>
              <w:ind w:right="151"/>
              <w:spacing w:after="0"/>
              <w:rPr>
                <w:sz w:val="20"/>
                <w:szCs w:val="20"/>
                <w:color w:val="auto"/>
              </w:rPr>
            </w:pPr>
            <w:r>
              <w:rPr>
                <w:rFonts w:ascii="Arial" w:cs="Arial" w:eastAsia="Arial" w:hAnsi="Arial"/>
                <w:sz w:val="14"/>
                <w:szCs w:val="14"/>
                <w:color w:val="2D3243"/>
              </w:rPr>
              <w:t>—</w:t>
            </w:r>
          </w:p>
        </w:tc>
        <w:tc>
          <w:tcPr>
            <w:tcW w:w="1640" w:type="dxa"/>
            <w:vAlign w:val="bottom"/>
            <w:shd w:val="clear" w:color="auto" w:fill="F0F1F2"/>
          </w:tcPr>
          <w:p>
            <w:pPr>
              <w:ind w:left="1040"/>
              <w:spacing w:after="0"/>
              <w:rPr>
                <w:sz w:val="20"/>
                <w:szCs w:val="20"/>
                <w:color w:val="auto"/>
              </w:rPr>
            </w:pPr>
            <w:r>
              <w:rPr>
                <w:rFonts w:ascii="Arial" w:cs="Arial" w:eastAsia="Arial" w:hAnsi="Arial"/>
                <w:sz w:val="14"/>
                <w:szCs w:val="14"/>
                <w:color w:val="2D3243"/>
              </w:rPr>
              <w:t>—</w:t>
            </w:r>
          </w:p>
        </w:tc>
        <w:tc>
          <w:tcPr>
            <w:tcW w:w="11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18,589</w:t>
            </w:r>
          </w:p>
        </w:tc>
        <w:tc>
          <w:tcPr>
            <w:tcW w:w="0" w:type="dxa"/>
            <w:vAlign w:val="bottom"/>
          </w:tcPr>
          <w:p>
            <w:pPr>
              <w:spacing w:after="0"/>
              <w:rPr>
                <w:sz w:val="1"/>
                <w:szCs w:val="1"/>
                <w:color w:val="auto"/>
              </w:rPr>
            </w:pPr>
          </w:p>
        </w:tc>
      </w:tr>
      <w:tr>
        <w:trPr>
          <w:trHeight w:val="222"/>
        </w:trPr>
        <w:tc>
          <w:tcPr>
            <w:tcW w:w="5520" w:type="dxa"/>
            <w:vAlign w:val="bottom"/>
          </w:tcPr>
          <w:p>
            <w:pPr>
              <w:ind w:left="100"/>
              <w:spacing w:after="0"/>
              <w:rPr>
                <w:sz w:val="20"/>
                <w:szCs w:val="20"/>
                <w:color w:val="auto"/>
              </w:rPr>
            </w:pPr>
            <w:r>
              <w:rPr>
                <w:rFonts w:ascii="Arial" w:cs="Arial" w:eastAsia="Arial" w:hAnsi="Arial"/>
                <w:sz w:val="14"/>
                <w:szCs w:val="14"/>
                <w:b w:val="1"/>
                <w:bCs w:val="1"/>
                <w:color w:val="2D3243"/>
              </w:rPr>
              <w:t>Susan Barsamian</w:t>
            </w:r>
          </w:p>
        </w:tc>
        <w:tc>
          <w:tcPr>
            <w:tcW w:w="1720" w:type="dxa"/>
            <w:vAlign w:val="bottom"/>
          </w:tcPr>
          <w:p>
            <w:pPr>
              <w:jc w:val="right"/>
              <w:ind w:right="308"/>
              <w:spacing w:after="0"/>
              <w:rPr>
                <w:sz w:val="20"/>
                <w:szCs w:val="20"/>
                <w:color w:val="auto"/>
              </w:rPr>
            </w:pPr>
            <w:r>
              <w:rPr>
                <w:rFonts w:ascii="Arial" w:cs="Arial" w:eastAsia="Arial" w:hAnsi="Arial"/>
                <w:sz w:val="14"/>
                <w:szCs w:val="14"/>
                <w:color w:val="2D3243"/>
              </w:rPr>
              <w:t>52,400</w:t>
            </w:r>
          </w:p>
        </w:tc>
        <w:tc>
          <w:tcPr>
            <w:tcW w:w="1260" w:type="dxa"/>
            <w:vAlign w:val="bottom"/>
          </w:tcPr>
          <w:p>
            <w:pPr>
              <w:jc w:val="right"/>
              <w:ind w:right="151"/>
              <w:spacing w:after="0"/>
              <w:rPr>
                <w:sz w:val="20"/>
                <w:szCs w:val="20"/>
                <w:color w:val="auto"/>
              </w:rPr>
            </w:pPr>
            <w:r>
              <w:rPr>
                <w:rFonts w:ascii="Arial" w:cs="Arial" w:eastAsia="Arial" w:hAnsi="Arial"/>
                <w:sz w:val="14"/>
                <w:szCs w:val="14"/>
                <w:color w:val="2D3243"/>
              </w:rPr>
              <w:t>199,961</w:t>
            </w:r>
          </w:p>
        </w:tc>
        <w:tc>
          <w:tcPr>
            <w:tcW w:w="1640" w:type="dxa"/>
            <w:vAlign w:val="bottom"/>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2D3243"/>
              </w:rPr>
              <w:t>252,361</w:t>
            </w:r>
          </w:p>
        </w:tc>
        <w:tc>
          <w:tcPr>
            <w:tcW w:w="0" w:type="dxa"/>
            <w:vAlign w:val="bottom"/>
          </w:tcPr>
          <w:p>
            <w:pPr>
              <w:spacing w:after="0"/>
              <w:rPr>
                <w:sz w:val="1"/>
                <w:szCs w:val="1"/>
                <w:color w:val="auto"/>
              </w:rPr>
            </w:pPr>
          </w:p>
        </w:tc>
      </w:tr>
      <w:tr>
        <w:trPr>
          <w:trHeight w:val="237"/>
        </w:trPr>
        <w:tc>
          <w:tcPr>
            <w:tcW w:w="55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Michael Burdiek</w:t>
            </w:r>
          </w:p>
        </w:tc>
        <w:tc>
          <w:tcPr>
            <w:tcW w:w="1720" w:type="dxa"/>
            <w:vAlign w:val="bottom"/>
            <w:shd w:val="clear" w:color="auto" w:fill="F0F1F2"/>
          </w:tcPr>
          <w:p>
            <w:pPr>
              <w:jc w:val="right"/>
              <w:ind w:right="308"/>
              <w:spacing w:after="0"/>
              <w:rPr>
                <w:sz w:val="20"/>
                <w:szCs w:val="20"/>
                <w:color w:val="auto"/>
              </w:rPr>
            </w:pPr>
            <w:r>
              <w:rPr>
                <w:rFonts w:ascii="Arial" w:cs="Arial" w:eastAsia="Arial" w:hAnsi="Arial"/>
                <w:sz w:val="14"/>
                <w:szCs w:val="14"/>
                <w:color w:val="2D3243"/>
              </w:rPr>
              <w:t>52,400</w:t>
            </w:r>
          </w:p>
        </w:tc>
        <w:tc>
          <w:tcPr>
            <w:tcW w:w="1260" w:type="dxa"/>
            <w:vAlign w:val="bottom"/>
            <w:shd w:val="clear" w:color="auto" w:fill="F0F1F2"/>
          </w:tcPr>
          <w:p>
            <w:pPr>
              <w:jc w:val="right"/>
              <w:ind w:right="151"/>
              <w:spacing w:after="0"/>
              <w:rPr>
                <w:sz w:val="20"/>
                <w:szCs w:val="20"/>
                <w:color w:val="auto"/>
              </w:rPr>
            </w:pPr>
            <w:r>
              <w:rPr>
                <w:rFonts w:ascii="Arial" w:cs="Arial" w:eastAsia="Arial" w:hAnsi="Arial"/>
                <w:sz w:val="14"/>
                <w:szCs w:val="14"/>
                <w:color w:val="2D3243"/>
              </w:rPr>
              <w:t>199,961</w:t>
            </w:r>
          </w:p>
        </w:tc>
        <w:tc>
          <w:tcPr>
            <w:tcW w:w="1640" w:type="dxa"/>
            <w:vAlign w:val="bottom"/>
            <w:shd w:val="clear" w:color="auto" w:fill="F0F1F2"/>
          </w:tcPr>
          <w:p>
            <w:pPr>
              <w:ind w:left="1040"/>
              <w:spacing w:after="0"/>
              <w:rPr>
                <w:sz w:val="20"/>
                <w:szCs w:val="20"/>
                <w:color w:val="auto"/>
              </w:rPr>
            </w:pPr>
            <w:r>
              <w:rPr>
                <w:rFonts w:ascii="Arial" w:cs="Arial" w:eastAsia="Arial" w:hAnsi="Arial"/>
                <w:sz w:val="14"/>
                <w:szCs w:val="14"/>
                <w:color w:val="2D3243"/>
              </w:rPr>
              <w:t>—</w:t>
            </w:r>
          </w:p>
        </w:tc>
        <w:tc>
          <w:tcPr>
            <w:tcW w:w="11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252,361</w:t>
            </w:r>
          </w:p>
        </w:tc>
        <w:tc>
          <w:tcPr>
            <w:tcW w:w="0" w:type="dxa"/>
            <w:vAlign w:val="bottom"/>
          </w:tcPr>
          <w:p>
            <w:pPr>
              <w:spacing w:after="0"/>
              <w:rPr>
                <w:sz w:val="1"/>
                <w:szCs w:val="1"/>
                <w:color w:val="auto"/>
              </w:rPr>
            </w:pPr>
          </w:p>
        </w:tc>
      </w:tr>
      <w:tr>
        <w:trPr>
          <w:trHeight w:val="222"/>
        </w:trPr>
        <w:tc>
          <w:tcPr>
            <w:tcW w:w="5520" w:type="dxa"/>
            <w:vAlign w:val="bottom"/>
          </w:tcPr>
          <w:p>
            <w:pPr>
              <w:ind w:left="100"/>
              <w:spacing w:after="0"/>
              <w:rPr>
                <w:sz w:val="20"/>
                <w:szCs w:val="20"/>
                <w:color w:val="auto"/>
              </w:rPr>
            </w:pPr>
            <w:r>
              <w:rPr>
                <w:rFonts w:ascii="Arial" w:cs="Arial" w:eastAsia="Arial" w:hAnsi="Arial"/>
                <w:sz w:val="14"/>
                <w:szCs w:val="14"/>
                <w:b w:val="1"/>
                <w:bCs w:val="1"/>
                <w:color w:val="2D3243"/>
              </w:rPr>
              <w:t>David DeWalt</w:t>
            </w:r>
          </w:p>
        </w:tc>
        <w:tc>
          <w:tcPr>
            <w:tcW w:w="1720" w:type="dxa"/>
            <w:vAlign w:val="bottom"/>
          </w:tcPr>
          <w:p>
            <w:pPr>
              <w:jc w:val="right"/>
              <w:ind w:right="308"/>
              <w:spacing w:after="0"/>
              <w:rPr>
                <w:sz w:val="20"/>
                <w:szCs w:val="20"/>
                <w:color w:val="auto"/>
              </w:rPr>
            </w:pPr>
            <w:r>
              <w:rPr>
                <w:rFonts w:ascii="Arial" w:cs="Arial" w:eastAsia="Arial" w:hAnsi="Arial"/>
                <w:sz w:val="14"/>
                <w:szCs w:val="14"/>
                <w:color w:val="2D3243"/>
              </w:rPr>
              <w:t>39,458</w:t>
            </w:r>
          </w:p>
        </w:tc>
        <w:tc>
          <w:tcPr>
            <w:tcW w:w="1260" w:type="dxa"/>
            <w:vAlign w:val="bottom"/>
          </w:tcPr>
          <w:p>
            <w:pPr>
              <w:jc w:val="right"/>
              <w:ind w:right="151"/>
              <w:spacing w:after="0"/>
              <w:rPr>
                <w:sz w:val="20"/>
                <w:szCs w:val="20"/>
                <w:color w:val="auto"/>
              </w:rPr>
            </w:pPr>
            <w:r>
              <w:rPr>
                <w:rFonts w:ascii="Arial" w:cs="Arial" w:eastAsia="Arial" w:hAnsi="Arial"/>
                <w:sz w:val="14"/>
                <w:szCs w:val="14"/>
                <w:color w:val="2D3243"/>
              </w:rPr>
              <w:t>199,961</w:t>
            </w:r>
          </w:p>
        </w:tc>
        <w:tc>
          <w:tcPr>
            <w:tcW w:w="1640" w:type="dxa"/>
            <w:vAlign w:val="bottom"/>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2D3243"/>
              </w:rPr>
              <w:t>239,419</w:t>
            </w:r>
          </w:p>
        </w:tc>
        <w:tc>
          <w:tcPr>
            <w:tcW w:w="0" w:type="dxa"/>
            <w:vAlign w:val="bottom"/>
          </w:tcPr>
          <w:p>
            <w:pPr>
              <w:spacing w:after="0"/>
              <w:rPr>
                <w:sz w:val="1"/>
                <w:szCs w:val="1"/>
                <w:color w:val="auto"/>
              </w:rPr>
            </w:pPr>
          </w:p>
        </w:tc>
      </w:tr>
      <w:tr>
        <w:trPr>
          <w:trHeight w:val="291"/>
        </w:trPr>
        <w:tc>
          <w:tcPr>
            <w:tcW w:w="55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Julie Iskow</w:t>
            </w:r>
            <w:r>
              <w:rPr>
                <w:rFonts w:ascii="Arial" w:cs="Arial" w:eastAsia="Arial" w:hAnsi="Arial"/>
                <w:sz w:val="18"/>
                <w:szCs w:val="18"/>
                <w:b w:val="1"/>
                <w:bCs w:val="1"/>
                <w:color w:val="2D3243"/>
                <w:vertAlign w:val="superscript"/>
              </w:rPr>
              <w:t>(5)</w:t>
            </w:r>
          </w:p>
        </w:tc>
        <w:tc>
          <w:tcPr>
            <w:tcW w:w="1720" w:type="dxa"/>
            <w:vAlign w:val="bottom"/>
            <w:shd w:val="clear" w:color="auto" w:fill="F0F1F2"/>
          </w:tcPr>
          <w:p>
            <w:pPr>
              <w:jc w:val="right"/>
              <w:ind w:right="308"/>
              <w:spacing w:after="0"/>
              <w:rPr>
                <w:sz w:val="20"/>
                <w:szCs w:val="20"/>
                <w:color w:val="auto"/>
              </w:rPr>
            </w:pPr>
            <w:r>
              <w:rPr>
                <w:rFonts w:ascii="Arial" w:cs="Arial" w:eastAsia="Arial" w:hAnsi="Arial"/>
                <w:sz w:val="14"/>
                <w:szCs w:val="14"/>
                <w:color w:val="2D3243"/>
              </w:rPr>
              <w:t>31,403</w:t>
            </w:r>
          </w:p>
        </w:tc>
        <w:tc>
          <w:tcPr>
            <w:tcW w:w="1260" w:type="dxa"/>
            <w:vAlign w:val="bottom"/>
            <w:shd w:val="clear" w:color="auto" w:fill="F0F1F2"/>
          </w:tcPr>
          <w:p>
            <w:pPr>
              <w:jc w:val="right"/>
              <w:ind w:right="151"/>
              <w:spacing w:after="0"/>
              <w:rPr>
                <w:sz w:val="20"/>
                <w:szCs w:val="20"/>
                <w:color w:val="auto"/>
              </w:rPr>
            </w:pPr>
            <w:r>
              <w:rPr>
                <w:rFonts w:ascii="Arial" w:cs="Arial" w:eastAsia="Arial" w:hAnsi="Arial"/>
                <w:sz w:val="14"/>
                <w:szCs w:val="14"/>
                <w:color w:val="2D3243"/>
              </w:rPr>
              <w:t>449,883</w:t>
            </w:r>
          </w:p>
        </w:tc>
        <w:tc>
          <w:tcPr>
            <w:tcW w:w="1640" w:type="dxa"/>
            <w:vAlign w:val="bottom"/>
            <w:shd w:val="clear" w:color="auto" w:fill="F0F1F2"/>
          </w:tcPr>
          <w:p>
            <w:pPr>
              <w:spacing w:after="0"/>
              <w:rPr>
                <w:sz w:val="24"/>
                <w:szCs w:val="24"/>
                <w:color w:val="auto"/>
              </w:rPr>
            </w:pPr>
          </w:p>
        </w:tc>
        <w:tc>
          <w:tcPr>
            <w:tcW w:w="11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481,286</w:t>
            </w:r>
          </w:p>
        </w:tc>
        <w:tc>
          <w:tcPr>
            <w:tcW w:w="0" w:type="dxa"/>
            <w:vAlign w:val="bottom"/>
          </w:tcPr>
          <w:p>
            <w:pPr>
              <w:spacing w:after="0"/>
              <w:rPr>
                <w:sz w:val="1"/>
                <w:szCs w:val="1"/>
                <w:color w:val="auto"/>
              </w:rPr>
            </w:pPr>
          </w:p>
        </w:tc>
      </w:tr>
      <w:tr>
        <w:trPr>
          <w:trHeight w:val="276"/>
        </w:trPr>
        <w:tc>
          <w:tcPr>
            <w:tcW w:w="5520" w:type="dxa"/>
            <w:vAlign w:val="bottom"/>
          </w:tcPr>
          <w:p>
            <w:pPr>
              <w:ind w:left="100"/>
              <w:spacing w:after="0"/>
              <w:rPr>
                <w:sz w:val="20"/>
                <w:szCs w:val="20"/>
                <w:color w:val="auto"/>
              </w:rPr>
            </w:pPr>
            <w:r>
              <w:rPr>
                <w:rFonts w:ascii="Arial" w:cs="Arial" w:eastAsia="Arial" w:hAnsi="Arial"/>
                <w:sz w:val="14"/>
                <w:szCs w:val="14"/>
                <w:b w:val="1"/>
                <w:bCs w:val="1"/>
                <w:color w:val="2D3243"/>
              </w:rPr>
              <w:t>Jonathan Mariner</w:t>
            </w:r>
            <w:r>
              <w:rPr>
                <w:rFonts w:ascii="Arial" w:cs="Arial" w:eastAsia="Arial" w:hAnsi="Arial"/>
                <w:sz w:val="18"/>
                <w:szCs w:val="18"/>
                <w:b w:val="1"/>
                <w:bCs w:val="1"/>
                <w:color w:val="2D3243"/>
                <w:vertAlign w:val="superscript"/>
              </w:rPr>
              <w:t>(6)</w:t>
            </w:r>
          </w:p>
        </w:tc>
        <w:tc>
          <w:tcPr>
            <w:tcW w:w="1720" w:type="dxa"/>
            <w:vAlign w:val="bottom"/>
          </w:tcPr>
          <w:p>
            <w:pPr>
              <w:jc w:val="right"/>
              <w:ind w:right="308"/>
              <w:spacing w:after="0"/>
              <w:rPr>
                <w:sz w:val="20"/>
                <w:szCs w:val="20"/>
                <w:color w:val="auto"/>
              </w:rPr>
            </w:pPr>
            <w:r>
              <w:rPr>
                <w:rFonts w:ascii="Arial" w:cs="Arial" w:eastAsia="Arial" w:hAnsi="Arial"/>
                <w:sz w:val="14"/>
                <w:szCs w:val="14"/>
                <w:color w:val="2D3243"/>
              </w:rPr>
              <w:t>27,074</w:t>
            </w:r>
          </w:p>
        </w:tc>
        <w:tc>
          <w:tcPr>
            <w:tcW w:w="1260" w:type="dxa"/>
            <w:vAlign w:val="bottom"/>
          </w:tcPr>
          <w:p>
            <w:pPr>
              <w:jc w:val="right"/>
              <w:ind w:right="151"/>
              <w:spacing w:after="0"/>
              <w:rPr>
                <w:sz w:val="20"/>
                <w:szCs w:val="20"/>
                <w:color w:val="auto"/>
              </w:rPr>
            </w:pPr>
            <w:r>
              <w:rPr>
                <w:rFonts w:ascii="Arial" w:cs="Arial" w:eastAsia="Arial" w:hAnsi="Arial"/>
                <w:sz w:val="14"/>
                <w:szCs w:val="14"/>
                <w:color w:val="2D3243"/>
              </w:rPr>
              <w:t>599,947</w:t>
            </w:r>
          </w:p>
        </w:tc>
        <w:tc>
          <w:tcPr>
            <w:tcW w:w="164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2D3243"/>
              </w:rPr>
              <w:t>627,021</w:t>
            </w:r>
          </w:p>
        </w:tc>
        <w:tc>
          <w:tcPr>
            <w:tcW w:w="0" w:type="dxa"/>
            <w:vAlign w:val="bottom"/>
          </w:tcPr>
          <w:p>
            <w:pPr>
              <w:spacing w:after="0"/>
              <w:rPr>
                <w:sz w:val="1"/>
                <w:szCs w:val="1"/>
                <w:color w:val="auto"/>
              </w:rPr>
            </w:pPr>
          </w:p>
        </w:tc>
      </w:tr>
      <w:tr>
        <w:trPr>
          <w:trHeight w:val="291"/>
        </w:trPr>
        <w:tc>
          <w:tcPr>
            <w:tcW w:w="55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Ana Pinczuk</w:t>
            </w:r>
            <w:r>
              <w:rPr>
                <w:rFonts w:ascii="Arial" w:cs="Arial" w:eastAsia="Arial" w:hAnsi="Arial"/>
                <w:sz w:val="18"/>
                <w:szCs w:val="18"/>
                <w:b w:val="1"/>
                <w:bCs w:val="1"/>
                <w:color w:val="2D3243"/>
                <w:vertAlign w:val="superscript"/>
              </w:rPr>
              <w:t>(7)</w:t>
            </w:r>
          </w:p>
        </w:tc>
        <w:tc>
          <w:tcPr>
            <w:tcW w:w="1720" w:type="dxa"/>
            <w:vAlign w:val="bottom"/>
            <w:shd w:val="clear" w:color="auto" w:fill="F0F1F2"/>
          </w:tcPr>
          <w:p>
            <w:pPr>
              <w:jc w:val="right"/>
              <w:ind w:right="308"/>
              <w:spacing w:after="0"/>
              <w:rPr>
                <w:sz w:val="20"/>
                <w:szCs w:val="20"/>
                <w:color w:val="auto"/>
              </w:rPr>
            </w:pPr>
            <w:r>
              <w:rPr>
                <w:rFonts w:ascii="Arial" w:cs="Arial" w:eastAsia="Arial" w:hAnsi="Arial"/>
                <w:sz w:val="14"/>
                <w:szCs w:val="14"/>
                <w:color w:val="2D3243"/>
              </w:rPr>
              <w:t>4,327</w:t>
            </w:r>
          </w:p>
        </w:tc>
        <w:tc>
          <w:tcPr>
            <w:tcW w:w="1260" w:type="dxa"/>
            <w:vAlign w:val="bottom"/>
            <w:shd w:val="clear" w:color="auto" w:fill="F0F1F2"/>
          </w:tcPr>
          <w:p>
            <w:pPr>
              <w:jc w:val="right"/>
              <w:ind w:right="151"/>
              <w:spacing w:after="0"/>
              <w:rPr>
                <w:sz w:val="20"/>
                <w:szCs w:val="20"/>
                <w:color w:val="auto"/>
              </w:rPr>
            </w:pPr>
            <w:r>
              <w:rPr>
                <w:rFonts w:ascii="Arial" w:cs="Arial" w:eastAsia="Arial" w:hAnsi="Arial"/>
                <w:sz w:val="14"/>
                <w:szCs w:val="14"/>
                <w:color w:val="2D3243"/>
              </w:rPr>
              <w:t>—</w:t>
            </w:r>
          </w:p>
        </w:tc>
        <w:tc>
          <w:tcPr>
            <w:tcW w:w="1640" w:type="dxa"/>
            <w:vAlign w:val="bottom"/>
            <w:shd w:val="clear" w:color="auto" w:fill="F0F1F2"/>
          </w:tcPr>
          <w:p>
            <w:pPr>
              <w:ind w:left="1040"/>
              <w:spacing w:after="0"/>
              <w:rPr>
                <w:sz w:val="20"/>
                <w:szCs w:val="20"/>
                <w:color w:val="auto"/>
              </w:rPr>
            </w:pPr>
            <w:r>
              <w:rPr>
                <w:rFonts w:ascii="Arial" w:cs="Arial" w:eastAsia="Arial" w:hAnsi="Arial"/>
                <w:sz w:val="14"/>
                <w:szCs w:val="14"/>
                <w:color w:val="2D3243"/>
              </w:rPr>
              <w:t>—</w:t>
            </w:r>
          </w:p>
        </w:tc>
        <w:tc>
          <w:tcPr>
            <w:tcW w:w="11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4,327</w:t>
            </w:r>
          </w:p>
        </w:tc>
        <w:tc>
          <w:tcPr>
            <w:tcW w:w="0" w:type="dxa"/>
            <w:vAlign w:val="bottom"/>
          </w:tcPr>
          <w:p>
            <w:pPr>
              <w:spacing w:after="0"/>
              <w:rPr>
                <w:sz w:val="1"/>
                <w:szCs w:val="1"/>
                <w:color w:val="auto"/>
              </w:rPr>
            </w:pPr>
          </w:p>
        </w:tc>
      </w:tr>
      <w:tr>
        <w:trPr>
          <w:trHeight w:val="222"/>
        </w:trPr>
        <w:tc>
          <w:tcPr>
            <w:tcW w:w="5520" w:type="dxa"/>
            <w:vAlign w:val="bottom"/>
          </w:tcPr>
          <w:p>
            <w:pPr>
              <w:ind w:left="100"/>
              <w:spacing w:after="0"/>
              <w:rPr>
                <w:sz w:val="20"/>
                <w:szCs w:val="20"/>
                <w:color w:val="auto"/>
              </w:rPr>
            </w:pPr>
            <w:r>
              <w:rPr>
                <w:rFonts w:ascii="Arial" w:cs="Arial" w:eastAsia="Arial" w:hAnsi="Arial"/>
                <w:sz w:val="14"/>
                <w:szCs w:val="14"/>
                <w:b w:val="1"/>
                <w:bCs w:val="1"/>
                <w:color w:val="2D3243"/>
              </w:rPr>
              <w:t>David Welsh</w:t>
            </w:r>
          </w:p>
        </w:tc>
        <w:tc>
          <w:tcPr>
            <w:tcW w:w="1720" w:type="dxa"/>
            <w:vAlign w:val="bottom"/>
          </w:tcPr>
          <w:p>
            <w:pPr>
              <w:jc w:val="right"/>
              <w:ind w:right="308"/>
              <w:spacing w:after="0"/>
              <w:rPr>
                <w:sz w:val="20"/>
                <w:szCs w:val="20"/>
                <w:color w:val="auto"/>
              </w:rPr>
            </w:pPr>
            <w:r>
              <w:rPr>
                <w:rFonts w:ascii="Arial" w:cs="Arial" w:eastAsia="Arial" w:hAnsi="Arial"/>
                <w:sz w:val="14"/>
                <w:szCs w:val="14"/>
                <w:color w:val="2D3243"/>
              </w:rPr>
              <w:t>63,875</w:t>
            </w:r>
          </w:p>
        </w:tc>
        <w:tc>
          <w:tcPr>
            <w:tcW w:w="1260" w:type="dxa"/>
            <w:vAlign w:val="bottom"/>
          </w:tcPr>
          <w:p>
            <w:pPr>
              <w:jc w:val="right"/>
              <w:ind w:right="151"/>
              <w:spacing w:after="0"/>
              <w:rPr>
                <w:sz w:val="20"/>
                <w:szCs w:val="20"/>
                <w:color w:val="auto"/>
              </w:rPr>
            </w:pPr>
            <w:r>
              <w:rPr>
                <w:rFonts w:ascii="Arial" w:cs="Arial" w:eastAsia="Arial" w:hAnsi="Arial"/>
                <w:sz w:val="14"/>
                <w:szCs w:val="14"/>
                <w:color w:val="2D3243"/>
              </w:rPr>
              <w:t>199,961</w:t>
            </w:r>
          </w:p>
        </w:tc>
        <w:tc>
          <w:tcPr>
            <w:tcW w:w="1640" w:type="dxa"/>
            <w:vAlign w:val="bottom"/>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2D3243"/>
              </w:rPr>
              <w:t>263,836</w:t>
            </w:r>
          </w:p>
        </w:tc>
        <w:tc>
          <w:tcPr>
            <w:tcW w:w="0" w:type="dxa"/>
            <w:vAlign w:val="bottom"/>
          </w:tcPr>
          <w:p>
            <w:pPr>
              <w:spacing w:after="0"/>
              <w:rPr>
                <w:sz w:val="1"/>
                <w:szCs w:val="1"/>
                <w:color w:val="auto"/>
              </w:rPr>
            </w:pPr>
          </w:p>
        </w:tc>
      </w:tr>
      <w:tr>
        <w:trPr>
          <w:trHeight w:val="231"/>
        </w:trPr>
        <w:tc>
          <w:tcPr>
            <w:tcW w:w="5520" w:type="dxa"/>
            <w:vAlign w:val="bottom"/>
            <w:tcBorders>
              <w:bottom w:val="single" w:sz="8" w:color="0336FF"/>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Robert Zollars</w:t>
            </w:r>
          </w:p>
        </w:tc>
        <w:tc>
          <w:tcPr>
            <w:tcW w:w="1720" w:type="dxa"/>
            <w:vAlign w:val="bottom"/>
            <w:tcBorders>
              <w:bottom w:val="single" w:sz="8" w:color="0336FF"/>
            </w:tcBorders>
            <w:shd w:val="clear" w:color="auto" w:fill="F0F1F2"/>
          </w:tcPr>
          <w:p>
            <w:pPr>
              <w:jc w:val="right"/>
              <w:ind w:right="308"/>
              <w:spacing w:after="0"/>
              <w:rPr>
                <w:sz w:val="20"/>
                <w:szCs w:val="20"/>
                <w:color w:val="auto"/>
              </w:rPr>
            </w:pPr>
            <w:r>
              <w:rPr>
                <w:rFonts w:ascii="Arial" w:cs="Arial" w:eastAsia="Arial" w:hAnsi="Arial"/>
                <w:sz w:val="14"/>
                <w:szCs w:val="14"/>
                <w:color w:val="2D3243"/>
              </w:rPr>
              <w:t>54,458</w:t>
            </w:r>
          </w:p>
        </w:tc>
        <w:tc>
          <w:tcPr>
            <w:tcW w:w="1260" w:type="dxa"/>
            <w:vAlign w:val="bottom"/>
            <w:tcBorders>
              <w:bottom w:val="single" w:sz="8" w:color="0336FF"/>
            </w:tcBorders>
            <w:shd w:val="clear" w:color="auto" w:fill="F0F1F2"/>
          </w:tcPr>
          <w:p>
            <w:pPr>
              <w:jc w:val="right"/>
              <w:ind w:right="151"/>
              <w:spacing w:after="0"/>
              <w:rPr>
                <w:sz w:val="20"/>
                <w:szCs w:val="20"/>
                <w:color w:val="auto"/>
              </w:rPr>
            </w:pPr>
            <w:r>
              <w:rPr>
                <w:rFonts w:ascii="Arial" w:cs="Arial" w:eastAsia="Arial" w:hAnsi="Arial"/>
                <w:sz w:val="14"/>
                <w:szCs w:val="14"/>
                <w:color w:val="2D3243"/>
              </w:rPr>
              <w:t>199,961</w:t>
            </w:r>
          </w:p>
        </w:tc>
        <w:tc>
          <w:tcPr>
            <w:tcW w:w="1640" w:type="dxa"/>
            <w:vAlign w:val="bottom"/>
            <w:tcBorders>
              <w:bottom w:val="single" w:sz="8" w:color="0336FF"/>
            </w:tcBorders>
            <w:shd w:val="clear" w:color="auto" w:fill="F0F1F2"/>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Borders>
              <w:bottom w:val="single" w:sz="8" w:color="0336FF"/>
            </w:tcBorders>
            <w:shd w:val="clear" w:color="auto" w:fill="F0F1F2"/>
          </w:tcPr>
          <w:p>
            <w:pPr>
              <w:jc w:val="right"/>
              <w:ind w:right="88"/>
              <w:spacing w:after="0"/>
              <w:rPr>
                <w:sz w:val="20"/>
                <w:szCs w:val="20"/>
                <w:color w:val="auto"/>
              </w:rPr>
            </w:pPr>
            <w:r>
              <w:rPr>
                <w:rFonts w:ascii="Arial" w:cs="Arial" w:eastAsia="Arial" w:hAnsi="Arial"/>
                <w:sz w:val="14"/>
                <w:szCs w:val="14"/>
                <w:color w:val="2D3243"/>
              </w:rPr>
              <w:t>254,419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40" w:hanging="332"/>
        <w:spacing w:after="0" w:line="362" w:lineRule="auto"/>
        <w:tabs>
          <w:tab w:leader="none" w:pos="338" w:val="left"/>
        </w:tabs>
        <w:numPr>
          <w:ilvl w:val="0"/>
          <w:numId w:val="21"/>
        </w:numPr>
        <w:rPr>
          <w:rFonts w:ascii="Arial" w:cs="Arial" w:eastAsia="Arial" w:hAnsi="Arial"/>
          <w:sz w:val="14"/>
          <w:szCs w:val="14"/>
          <w:color w:val="2D3243"/>
        </w:rPr>
      </w:pPr>
      <w:r>
        <w:rPr>
          <w:rFonts w:ascii="Arial" w:cs="Arial" w:eastAsia="Arial" w:hAnsi="Arial"/>
          <w:sz w:val="14"/>
          <w:szCs w:val="14"/>
          <w:color w:val="2D3243"/>
        </w:rPr>
        <w:t>Amounts reported in this column represent the fees earned by or paid in cash to our non-employee directors in 2023 based on our non-employee director compensation policy set forth above.</w:t>
      </w:r>
    </w:p>
    <w:p>
      <w:pPr>
        <w:ind w:left="340" w:right="220" w:hanging="332"/>
        <w:spacing w:after="0" w:line="336" w:lineRule="auto"/>
        <w:tabs>
          <w:tab w:leader="none" w:pos="338" w:val="left"/>
        </w:tabs>
        <w:numPr>
          <w:ilvl w:val="0"/>
          <w:numId w:val="21"/>
        </w:numPr>
        <w:rPr>
          <w:rFonts w:ascii="Arial" w:cs="Arial" w:eastAsia="Arial" w:hAnsi="Arial"/>
          <w:sz w:val="14"/>
          <w:szCs w:val="14"/>
          <w:color w:val="2D3243"/>
        </w:rPr>
      </w:pPr>
      <w:r>
        <w:rPr>
          <w:rFonts w:ascii="Arial" w:cs="Arial" w:eastAsia="Arial" w:hAnsi="Arial"/>
          <w:sz w:val="14"/>
          <w:szCs w:val="14"/>
          <w:color w:val="2D3243"/>
        </w:rPr>
        <w:t>The aggregate grant date fair values of equity awards reported in this column have been calculated in accordance with FASB ASC Topic 718. See Note 7 of the notes to our consolidated financial statements in our Annual Report on Form 10-K for the year ended December 31, 2023 filed with the Securities and Exchange Commission on February 21, 2024 for a discussion of assumptions made in determining the grant date fair value of these equity awards. All unvested and outstanding stock awards granted to our non-employee directors will become fully vested upon a change in control (as defined in our 2014 Plan) of the Company.</w:t>
      </w:r>
    </w:p>
    <w:p>
      <w:pPr>
        <w:spacing w:after="0" w:line="16" w:lineRule="exact"/>
        <w:rPr>
          <w:rFonts w:ascii="Arial" w:cs="Arial" w:eastAsia="Arial" w:hAnsi="Arial"/>
          <w:sz w:val="14"/>
          <w:szCs w:val="14"/>
          <w:color w:val="2D3243"/>
        </w:rPr>
      </w:pPr>
    </w:p>
    <w:p>
      <w:pPr>
        <w:ind w:left="340" w:right="180" w:hanging="332"/>
        <w:spacing w:after="0" w:line="365" w:lineRule="auto"/>
        <w:tabs>
          <w:tab w:leader="none" w:pos="338" w:val="left"/>
        </w:tabs>
        <w:numPr>
          <w:ilvl w:val="0"/>
          <w:numId w:val="21"/>
        </w:numPr>
        <w:rPr>
          <w:rFonts w:ascii="Arial" w:cs="Arial" w:eastAsia="Arial" w:hAnsi="Arial"/>
          <w:sz w:val="14"/>
          <w:szCs w:val="14"/>
          <w:color w:val="2D3243"/>
        </w:rPr>
      </w:pPr>
      <w:r>
        <w:rPr>
          <w:rFonts w:ascii="Arial" w:cs="Arial" w:eastAsia="Arial" w:hAnsi="Arial"/>
          <w:sz w:val="14"/>
          <w:szCs w:val="14"/>
          <w:color w:val="2D3243"/>
        </w:rPr>
        <w:t>As of December 31, 2023, the number of shares of our common stock subject to outstanding stock options and unvested RSUs held by our non-employee directors were as follows:</w:t>
      </w: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5820" w:type="dxa"/>
            <w:vAlign w:val="bottom"/>
            <w:shd w:val="clear" w:color="auto" w:fill="0336FF"/>
          </w:tcPr>
          <w:p>
            <w:pPr>
              <w:spacing w:after="0"/>
              <w:rPr>
                <w:sz w:val="15"/>
                <w:szCs w:val="15"/>
                <w:color w:val="auto"/>
              </w:rPr>
            </w:pPr>
          </w:p>
        </w:tc>
        <w:tc>
          <w:tcPr>
            <w:tcW w:w="2480" w:type="dxa"/>
            <w:vAlign w:val="bottom"/>
            <w:shd w:val="clear" w:color="auto" w:fill="0336FF"/>
          </w:tcPr>
          <w:p>
            <w:pPr>
              <w:ind w:left="420"/>
              <w:spacing w:after="0"/>
              <w:rPr>
                <w:sz w:val="20"/>
                <w:szCs w:val="20"/>
                <w:color w:val="auto"/>
              </w:rPr>
            </w:pPr>
            <w:r>
              <w:rPr>
                <w:rFonts w:ascii="Arial" w:cs="Arial" w:eastAsia="Arial" w:hAnsi="Arial"/>
                <w:sz w:val="14"/>
                <w:szCs w:val="14"/>
                <w:b w:val="1"/>
                <w:bCs w:val="1"/>
                <w:color w:val="FFFFFF"/>
              </w:rPr>
              <w:t>Stock Options Outstanding</w:t>
            </w:r>
          </w:p>
        </w:tc>
        <w:tc>
          <w:tcPr>
            <w:tcW w:w="222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RSUs That Have Not Vested</w:t>
            </w:r>
          </w:p>
        </w:tc>
      </w:tr>
      <w:tr>
        <w:trPr>
          <w:trHeight w:val="210"/>
        </w:trPr>
        <w:tc>
          <w:tcPr>
            <w:tcW w:w="582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2480" w:type="dxa"/>
            <w:vAlign w:val="bottom"/>
            <w:shd w:val="clear" w:color="auto" w:fill="0336FF"/>
          </w:tcPr>
          <w:p>
            <w:pPr>
              <w:ind w:left="2100"/>
              <w:spacing w:after="0"/>
              <w:rPr>
                <w:sz w:val="20"/>
                <w:szCs w:val="20"/>
                <w:color w:val="auto"/>
              </w:rPr>
            </w:pPr>
            <w:r>
              <w:rPr>
                <w:rFonts w:ascii="Arial" w:cs="Arial" w:eastAsia="Arial" w:hAnsi="Arial"/>
                <w:sz w:val="14"/>
                <w:szCs w:val="14"/>
                <w:b w:val="1"/>
                <w:bCs w:val="1"/>
                <w:color w:val="FFFFFF"/>
              </w:rPr>
              <w:t>(#)</w:t>
            </w:r>
          </w:p>
        </w:tc>
        <w:tc>
          <w:tcPr>
            <w:tcW w:w="222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5820" w:type="dxa"/>
            <w:vAlign w:val="bottom"/>
            <w:shd w:val="clear" w:color="auto" w:fill="0336FF"/>
          </w:tcPr>
          <w:p>
            <w:pPr>
              <w:spacing w:after="0"/>
              <w:rPr>
                <w:sz w:val="6"/>
                <w:szCs w:val="6"/>
                <w:color w:val="auto"/>
              </w:rPr>
            </w:pPr>
          </w:p>
        </w:tc>
        <w:tc>
          <w:tcPr>
            <w:tcW w:w="2480" w:type="dxa"/>
            <w:vAlign w:val="bottom"/>
            <w:shd w:val="clear" w:color="auto" w:fill="0336FF"/>
          </w:tcPr>
          <w:p>
            <w:pPr>
              <w:spacing w:after="0"/>
              <w:rPr>
                <w:sz w:val="6"/>
                <w:szCs w:val="6"/>
                <w:color w:val="auto"/>
              </w:rPr>
            </w:pPr>
          </w:p>
        </w:tc>
        <w:tc>
          <w:tcPr>
            <w:tcW w:w="2220" w:type="dxa"/>
            <w:vAlign w:val="bottom"/>
            <w:shd w:val="clear" w:color="auto" w:fill="0336FF"/>
          </w:tcPr>
          <w:p>
            <w:pPr>
              <w:spacing w:after="0"/>
              <w:rPr>
                <w:sz w:val="6"/>
                <w:szCs w:val="6"/>
                <w:color w:val="auto"/>
              </w:rPr>
            </w:pPr>
          </w:p>
        </w:tc>
      </w:tr>
      <w:tr>
        <w:trPr>
          <w:trHeight w:val="222"/>
        </w:trPr>
        <w:tc>
          <w:tcPr>
            <w:tcW w:w="5820" w:type="dxa"/>
            <w:vAlign w:val="bottom"/>
          </w:tcPr>
          <w:p>
            <w:pPr>
              <w:ind w:left="100"/>
              <w:spacing w:after="0"/>
              <w:rPr>
                <w:sz w:val="20"/>
                <w:szCs w:val="20"/>
                <w:color w:val="auto"/>
              </w:rPr>
            </w:pPr>
            <w:r>
              <w:rPr>
                <w:rFonts w:ascii="Arial" w:cs="Arial" w:eastAsia="Arial" w:hAnsi="Arial"/>
                <w:sz w:val="14"/>
                <w:szCs w:val="14"/>
                <w:b w:val="1"/>
                <w:bCs w:val="1"/>
                <w:color w:val="2D3243"/>
              </w:rPr>
              <w:t>Jack Acosta</w:t>
            </w:r>
          </w:p>
        </w:tc>
        <w:tc>
          <w:tcPr>
            <w:tcW w:w="2480" w:type="dxa"/>
            <w:vAlign w:val="bottom"/>
          </w:tcPr>
          <w:p>
            <w:pPr>
              <w:ind w:left="2080"/>
              <w:spacing w:after="0"/>
              <w:rPr>
                <w:sz w:val="20"/>
                <w:szCs w:val="20"/>
                <w:color w:val="auto"/>
              </w:rPr>
            </w:pPr>
            <w:r>
              <w:rPr>
                <w:rFonts w:ascii="Arial" w:cs="Arial" w:eastAsia="Arial" w:hAnsi="Arial"/>
                <w:sz w:val="14"/>
                <w:szCs w:val="14"/>
                <w:color w:val="2D3243"/>
              </w:rPr>
              <w:t>—</w:t>
            </w:r>
          </w:p>
        </w:tc>
        <w:tc>
          <w:tcPr>
            <w:tcW w:w="2220" w:type="dxa"/>
            <w:vAlign w:val="bottom"/>
          </w:tcPr>
          <w:p>
            <w:pPr>
              <w:jc w:val="right"/>
              <w:ind w:right="88"/>
              <w:spacing w:after="0"/>
              <w:rPr>
                <w:sz w:val="20"/>
                <w:szCs w:val="20"/>
                <w:color w:val="auto"/>
              </w:rPr>
            </w:pPr>
            <w:r>
              <w:rPr>
                <w:rFonts w:ascii="Arial" w:cs="Arial" w:eastAsia="Arial" w:hAnsi="Arial"/>
                <w:sz w:val="14"/>
                <w:szCs w:val="14"/>
                <w:color w:val="2D3243"/>
              </w:rPr>
              <w:t>3,669</w:t>
            </w:r>
          </w:p>
        </w:tc>
      </w:tr>
      <w:tr>
        <w:trPr>
          <w:trHeight w:val="237"/>
        </w:trPr>
        <w:tc>
          <w:tcPr>
            <w:tcW w:w="58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Susan Barsamian</w:t>
            </w:r>
          </w:p>
        </w:tc>
        <w:tc>
          <w:tcPr>
            <w:tcW w:w="2480" w:type="dxa"/>
            <w:vAlign w:val="bottom"/>
            <w:shd w:val="clear" w:color="auto" w:fill="F0F1F2"/>
          </w:tcPr>
          <w:p>
            <w:pPr>
              <w:ind w:left="2080"/>
              <w:spacing w:after="0"/>
              <w:rPr>
                <w:sz w:val="20"/>
                <w:szCs w:val="20"/>
                <w:color w:val="auto"/>
              </w:rPr>
            </w:pPr>
            <w:r>
              <w:rPr>
                <w:rFonts w:ascii="Arial" w:cs="Arial" w:eastAsia="Arial" w:hAnsi="Arial"/>
                <w:sz w:val="14"/>
                <w:szCs w:val="14"/>
                <w:color w:val="2D3243"/>
              </w:rPr>
              <w:t>—</w:t>
            </w:r>
          </w:p>
        </w:tc>
        <w:tc>
          <w:tcPr>
            <w:tcW w:w="222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4,395</w:t>
            </w:r>
          </w:p>
        </w:tc>
      </w:tr>
      <w:tr>
        <w:trPr>
          <w:trHeight w:val="222"/>
        </w:trPr>
        <w:tc>
          <w:tcPr>
            <w:tcW w:w="5820" w:type="dxa"/>
            <w:vAlign w:val="bottom"/>
          </w:tcPr>
          <w:p>
            <w:pPr>
              <w:ind w:left="100"/>
              <w:spacing w:after="0"/>
              <w:rPr>
                <w:sz w:val="20"/>
                <w:szCs w:val="20"/>
                <w:color w:val="auto"/>
              </w:rPr>
            </w:pPr>
            <w:r>
              <w:rPr>
                <w:rFonts w:ascii="Arial" w:cs="Arial" w:eastAsia="Arial" w:hAnsi="Arial"/>
                <w:sz w:val="14"/>
                <w:szCs w:val="14"/>
                <w:b w:val="1"/>
                <w:bCs w:val="1"/>
                <w:color w:val="2D3243"/>
              </w:rPr>
              <w:t>Michael Burdiek</w:t>
            </w:r>
          </w:p>
        </w:tc>
        <w:tc>
          <w:tcPr>
            <w:tcW w:w="2480" w:type="dxa"/>
            <w:vAlign w:val="bottom"/>
          </w:tcPr>
          <w:p>
            <w:pPr>
              <w:ind w:left="2080"/>
              <w:spacing w:after="0"/>
              <w:rPr>
                <w:sz w:val="20"/>
                <w:szCs w:val="20"/>
                <w:color w:val="auto"/>
              </w:rPr>
            </w:pPr>
            <w:r>
              <w:rPr>
                <w:rFonts w:ascii="Arial" w:cs="Arial" w:eastAsia="Arial" w:hAnsi="Arial"/>
                <w:sz w:val="14"/>
                <w:szCs w:val="14"/>
                <w:color w:val="2D3243"/>
              </w:rPr>
              <w:t>—</w:t>
            </w:r>
          </w:p>
        </w:tc>
        <w:tc>
          <w:tcPr>
            <w:tcW w:w="2220" w:type="dxa"/>
            <w:vAlign w:val="bottom"/>
          </w:tcPr>
          <w:p>
            <w:pPr>
              <w:jc w:val="right"/>
              <w:ind w:right="88"/>
              <w:spacing w:after="0"/>
              <w:rPr>
                <w:sz w:val="20"/>
                <w:szCs w:val="20"/>
                <w:color w:val="auto"/>
              </w:rPr>
            </w:pPr>
            <w:r>
              <w:rPr>
                <w:rFonts w:ascii="Arial" w:cs="Arial" w:eastAsia="Arial" w:hAnsi="Arial"/>
                <w:sz w:val="14"/>
                <w:szCs w:val="14"/>
                <w:color w:val="2D3243"/>
              </w:rPr>
              <w:t>3,669</w:t>
            </w:r>
          </w:p>
        </w:tc>
      </w:tr>
      <w:tr>
        <w:trPr>
          <w:trHeight w:val="237"/>
        </w:trPr>
        <w:tc>
          <w:tcPr>
            <w:tcW w:w="58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David DeWalt</w:t>
            </w:r>
          </w:p>
        </w:tc>
        <w:tc>
          <w:tcPr>
            <w:tcW w:w="2480" w:type="dxa"/>
            <w:vAlign w:val="bottom"/>
            <w:shd w:val="clear" w:color="auto" w:fill="F0F1F2"/>
          </w:tcPr>
          <w:p>
            <w:pPr>
              <w:ind w:left="2080"/>
              <w:spacing w:after="0"/>
              <w:rPr>
                <w:sz w:val="20"/>
                <w:szCs w:val="20"/>
                <w:color w:val="auto"/>
              </w:rPr>
            </w:pPr>
            <w:r>
              <w:rPr>
                <w:rFonts w:ascii="Arial" w:cs="Arial" w:eastAsia="Arial" w:hAnsi="Arial"/>
                <w:sz w:val="14"/>
                <w:szCs w:val="14"/>
                <w:color w:val="2D3243"/>
              </w:rPr>
              <w:t>—</w:t>
            </w:r>
          </w:p>
        </w:tc>
        <w:tc>
          <w:tcPr>
            <w:tcW w:w="222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3,669</w:t>
            </w:r>
          </w:p>
        </w:tc>
      </w:tr>
      <w:tr>
        <w:trPr>
          <w:trHeight w:val="222"/>
        </w:trPr>
        <w:tc>
          <w:tcPr>
            <w:tcW w:w="5820" w:type="dxa"/>
            <w:vAlign w:val="bottom"/>
          </w:tcPr>
          <w:p>
            <w:pPr>
              <w:ind w:left="100"/>
              <w:spacing w:after="0"/>
              <w:rPr>
                <w:sz w:val="20"/>
                <w:szCs w:val="20"/>
                <w:color w:val="auto"/>
              </w:rPr>
            </w:pPr>
            <w:r>
              <w:rPr>
                <w:rFonts w:ascii="Arial" w:cs="Arial" w:eastAsia="Arial" w:hAnsi="Arial"/>
                <w:sz w:val="14"/>
                <w:szCs w:val="14"/>
                <w:b w:val="1"/>
                <w:bCs w:val="1"/>
                <w:color w:val="2D3243"/>
              </w:rPr>
              <w:t>Julie Iskow</w:t>
            </w:r>
          </w:p>
        </w:tc>
        <w:tc>
          <w:tcPr>
            <w:tcW w:w="2480" w:type="dxa"/>
            <w:vAlign w:val="bottom"/>
          </w:tcPr>
          <w:p>
            <w:pPr>
              <w:ind w:left="2080"/>
              <w:spacing w:after="0"/>
              <w:rPr>
                <w:sz w:val="20"/>
                <w:szCs w:val="20"/>
                <w:color w:val="auto"/>
              </w:rPr>
            </w:pPr>
            <w:r>
              <w:rPr>
                <w:rFonts w:ascii="Arial" w:cs="Arial" w:eastAsia="Arial" w:hAnsi="Arial"/>
                <w:sz w:val="14"/>
                <w:szCs w:val="14"/>
                <w:color w:val="2D3243"/>
              </w:rPr>
              <w:t>—</w:t>
            </w:r>
          </w:p>
        </w:tc>
        <w:tc>
          <w:tcPr>
            <w:tcW w:w="2220" w:type="dxa"/>
            <w:vAlign w:val="bottom"/>
          </w:tcPr>
          <w:p>
            <w:pPr>
              <w:jc w:val="right"/>
              <w:ind w:right="88"/>
              <w:spacing w:after="0"/>
              <w:rPr>
                <w:sz w:val="20"/>
                <w:szCs w:val="20"/>
                <w:color w:val="auto"/>
              </w:rPr>
            </w:pPr>
            <w:r>
              <w:rPr>
                <w:rFonts w:ascii="Arial" w:cs="Arial" w:eastAsia="Arial" w:hAnsi="Arial"/>
                <w:sz w:val="14"/>
                <w:szCs w:val="14"/>
                <w:color w:val="2D3243"/>
              </w:rPr>
              <w:t>5,550</w:t>
            </w:r>
          </w:p>
        </w:tc>
      </w:tr>
      <w:tr>
        <w:trPr>
          <w:trHeight w:val="237"/>
        </w:trPr>
        <w:tc>
          <w:tcPr>
            <w:tcW w:w="58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Jonathan Mariner</w:t>
            </w:r>
          </w:p>
        </w:tc>
        <w:tc>
          <w:tcPr>
            <w:tcW w:w="2480" w:type="dxa"/>
            <w:vAlign w:val="bottom"/>
            <w:shd w:val="clear" w:color="auto" w:fill="F0F1F2"/>
          </w:tcPr>
          <w:p>
            <w:pPr>
              <w:ind w:left="2080"/>
              <w:spacing w:after="0"/>
              <w:rPr>
                <w:sz w:val="20"/>
                <w:szCs w:val="20"/>
                <w:color w:val="auto"/>
              </w:rPr>
            </w:pPr>
            <w:r>
              <w:rPr>
                <w:rFonts w:ascii="Arial" w:cs="Arial" w:eastAsia="Arial" w:hAnsi="Arial"/>
                <w:sz w:val="14"/>
                <w:szCs w:val="14"/>
                <w:color w:val="2D3243"/>
              </w:rPr>
              <w:t>—</w:t>
            </w:r>
          </w:p>
        </w:tc>
        <w:tc>
          <w:tcPr>
            <w:tcW w:w="222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10,335</w:t>
            </w:r>
          </w:p>
        </w:tc>
      </w:tr>
      <w:tr>
        <w:trPr>
          <w:trHeight w:val="222"/>
        </w:trPr>
        <w:tc>
          <w:tcPr>
            <w:tcW w:w="5820" w:type="dxa"/>
            <w:vAlign w:val="bottom"/>
          </w:tcPr>
          <w:p>
            <w:pPr>
              <w:ind w:left="100"/>
              <w:spacing w:after="0"/>
              <w:rPr>
                <w:sz w:val="20"/>
                <w:szCs w:val="20"/>
                <w:color w:val="auto"/>
              </w:rPr>
            </w:pPr>
            <w:r>
              <w:rPr>
                <w:rFonts w:ascii="Arial" w:cs="Arial" w:eastAsia="Arial" w:hAnsi="Arial"/>
                <w:sz w:val="14"/>
                <w:szCs w:val="14"/>
                <w:b w:val="1"/>
                <w:bCs w:val="1"/>
                <w:color w:val="2D3243"/>
              </w:rPr>
              <w:t>David Welsh</w:t>
            </w:r>
          </w:p>
        </w:tc>
        <w:tc>
          <w:tcPr>
            <w:tcW w:w="2480" w:type="dxa"/>
            <w:vAlign w:val="bottom"/>
          </w:tcPr>
          <w:p>
            <w:pPr>
              <w:ind w:left="2080"/>
              <w:spacing w:after="0"/>
              <w:rPr>
                <w:sz w:val="20"/>
                <w:szCs w:val="20"/>
                <w:color w:val="auto"/>
              </w:rPr>
            </w:pPr>
            <w:r>
              <w:rPr>
                <w:rFonts w:ascii="Arial" w:cs="Arial" w:eastAsia="Arial" w:hAnsi="Arial"/>
                <w:sz w:val="14"/>
                <w:szCs w:val="14"/>
                <w:color w:val="2D3243"/>
              </w:rPr>
              <w:t>—</w:t>
            </w:r>
          </w:p>
        </w:tc>
        <w:tc>
          <w:tcPr>
            <w:tcW w:w="2220" w:type="dxa"/>
            <w:vAlign w:val="bottom"/>
          </w:tcPr>
          <w:p>
            <w:pPr>
              <w:jc w:val="right"/>
              <w:ind w:right="88"/>
              <w:spacing w:after="0"/>
              <w:rPr>
                <w:sz w:val="20"/>
                <w:szCs w:val="20"/>
                <w:color w:val="auto"/>
              </w:rPr>
            </w:pPr>
            <w:r>
              <w:rPr>
                <w:rFonts w:ascii="Arial" w:cs="Arial" w:eastAsia="Arial" w:hAnsi="Arial"/>
                <w:sz w:val="14"/>
                <w:szCs w:val="14"/>
                <w:color w:val="2D3243"/>
              </w:rPr>
              <w:t>3,669</w:t>
            </w:r>
          </w:p>
        </w:tc>
      </w:tr>
      <w:tr>
        <w:trPr>
          <w:trHeight w:val="231"/>
        </w:trPr>
        <w:tc>
          <w:tcPr>
            <w:tcW w:w="5820" w:type="dxa"/>
            <w:vAlign w:val="bottom"/>
            <w:tcBorders>
              <w:bottom w:val="single" w:sz="8" w:color="0336FF"/>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Robert Zollars</w:t>
            </w:r>
          </w:p>
        </w:tc>
        <w:tc>
          <w:tcPr>
            <w:tcW w:w="2480" w:type="dxa"/>
            <w:vAlign w:val="bottom"/>
            <w:tcBorders>
              <w:bottom w:val="single" w:sz="8" w:color="0336FF"/>
            </w:tcBorders>
            <w:shd w:val="clear" w:color="auto" w:fill="F0F1F2"/>
          </w:tcPr>
          <w:p>
            <w:pPr>
              <w:ind w:left="2080"/>
              <w:spacing w:after="0"/>
              <w:rPr>
                <w:sz w:val="20"/>
                <w:szCs w:val="20"/>
                <w:color w:val="auto"/>
              </w:rPr>
            </w:pPr>
            <w:r>
              <w:rPr>
                <w:rFonts w:ascii="Arial" w:cs="Arial" w:eastAsia="Arial" w:hAnsi="Arial"/>
                <w:sz w:val="14"/>
                <w:szCs w:val="14"/>
                <w:color w:val="2D3243"/>
              </w:rPr>
              <w:t>—</w:t>
            </w:r>
          </w:p>
        </w:tc>
        <w:tc>
          <w:tcPr>
            <w:tcW w:w="2220" w:type="dxa"/>
            <w:vAlign w:val="bottom"/>
            <w:tcBorders>
              <w:bottom w:val="single" w:sz="8" w:color="0336FF"/>
            </w:tcBorders>
            <w:shd w:val="clear" w:color="auto" w:fill="F0F1F2"/>
          </w:tcPr>
          <w:p>
            <w:pPr>
              <w:jc w:val="right"/>
              <w:ind w:right="88"/>
              <w:spacing w:after="0"/>
              <w:rPr>
                <w:sz w:val="20"/>
                <w:szCs w:val="20"/>
                <w:color w:val="auto"/>
              </w:rPr>
            </w:pPr>
            <w:r>
              <w:rPr>
                <w:rFonts w:ascii="Arial" w:cs="Arial" w:eastAsia="Arial" w:hAnsi="Arial"/>
                <w:sz w:val="14"/>
                <w:szCs w:val="14"/>
                <w:color w:val="2D3243"/>
              </w:rPr>
              <w:t>3,669</w:t>
            </w:r>
          </w:p>
        </w:tc>
      </w:tr>
    </w:tbl>
    <w:p>
      <w:pPr>
        <w:spacing w:after="0" w:line="13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2D3243"/>
        </w:rPr>
      </w:pPr>
      <w:r>
        <w:rPr>
          <w:rFonts w:ascii="Arial" w:cs="Arial" w:eastAsia="Arial" w:hAnsi="Arial"/>
          <w:sz w:val="14"/>
          <w:szCs w:val="14"/>
          <w:color w:val="2D3243"/>
        </w:rPr>
        <w:t>Amounts reported for Ms. Alexy was through her term as a director, which ended at the 2023 Annual Meeting.</w:t>
      </w:r>
    </w:p>
    <w:p>
      <w:pPr>
        <w:spacing w:after="0" w:line="109" w:lineRule="exact"/>
        <w:rPr>
          <w:rFonts w:ascii="Arial" w:cs="Arial" w:eastAsia="Arial" w:hAnsi="Arial"/>
          <w:sz w:val="14"/>
          <w:szCs w:val="14"/>
          <w:color w:val="2D3243"/>
        </w:rPr>
      </w:pPr>
    </w:p>
    <w:p>
      <w:pPr>
        <w:ind w:left="340" w:right="340" w:hanging="332"/>
        <w:spacing w:after="0" w:line="336" w:lineRule="auto"/>
        <w:tabs>
          <w:tab w:leader="none" w:pos="338" w:val="left"/>
        </w:tabs>
        <w:numPr>
          <w:ilvl w:val="0"/>
          <w:numId w:val="22"/>
        </w:numPr>
        <w:rPr>
          <w:rFonts w:ascii="Arial" w:cs="Arial" w:eastAsia="Arial" w:hAnsi="Arial"/>
          <w:sz w:val="14"/>
          <w:szCs w:val="14"/>
          <w:color w:val="2D3243"/>
        </w:rPr>
      </w:pPr>
      <w:r>
        <w:rPr>
          <w:rFonts w:ascii="Arial" w:cs="Arial" w:eastAsia="Arial" w:hAnsi="Arial"/>
          <w:sz w:val="14"/>
          <w:szCs w:val="14"/>
          <w:color w:val="2D3243"/>
        </w:rPr>
        <w:t>Upon Ms. Iskow's appointment to the Board of Directors on February 6, 2023, her initial equity grants consisted of (i) an RSU award with an award value of $400,000, which will vest in three equal annual installments on the first, second and third anniversaries of the date of grant, subject to her continued service through such vesting dates; and (ii) an RSU award with an award value of $50,000, which will vest in full in one installment on the first anniversary of the grant date subject to her continued service through such date (and, as previously disclosed, Ms. Iskow's RSUs were subject to the same vesting schedule described in note 6 below).</w:t>
      </w:r>
    </w:p>
    <w:p>
      <w:pPr>
        <w:spacing w:after="0" w:line="16" w:lineRule="exact"/>
        <w:rPr>
          <w:rFonts w:ascii="Arial" w:cs="Arial" w:eastAsia="Arial" w:hAnsi="Arial"/>
          <w:sz w:val="14"/>
          <w:szCs w:val="14"/>
          <w:color w:val="2D3243"/>
        </w:rPr>
      </w:pPr>
    </w:p>
    <w:p>
      <w:pPr>
        <w:jc w:val="both"/>
        <w:ind w:left="340" w:right="60" w:hanging="332"/>
        <w:spacing w:after="0" w:line="343" w:lineRule="auto"/>
        <w:tabs>
          <w:tab w:leader="none" w:pos="378" w:val="left"/>
        </w:tabs>
        <w:numPr>
          <w:ilvl w:val="0"/>
          <w:numId w:val="22"/>
        </w:numPr>
        <w:rPr>
          <w:rFonts w:ascii="Arial" w:cs="Arial" w:eastAsia="Arial" w:hAnsi="Arial"/>
          <w:sz w:val="14"/>
          <w:szCs w:val="14"/>
          <w:color w:val="2D3243"/>
        </w:rPr>
      </w:pPr>
      <w:r>
        <w:rPr>
          <w:rFonts w:ascii="Arial" w:cs="Arial" w:eastAsia="Arial" w:hAnsi="Arial"/>
          <w:sz w:val="14"/>
          <w:szCs w:val="14"/>
          <w:color w:val="2D3243"/>
        </w:rPr>
        <w:t>Upon Mr. Mariner's appointment to the Board of Directors on May 24, 2023, his initial equity grants consisted of (i) an RSU award with an award value of $400,000, which will vest in three equal annual installments on the first, second and third anniversaries of the date of grant, subject to his continued service through such vesting dates; and (ii) an RSU award with an award value of $200,000, which will vest in full in one installment 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26</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4" w:name="page35"/>
    <w:bookmarkEnd w:id="34"/>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right="200"/>
        <w:spacing w:after="0" w:line="330" w:lineRule="auto"/>
        <w:rPr>
          <w:sz w:val="20"/>
          <w:szCs w:val="20"/>
          <w:color w:val="auto"/>
        </w:rPr>
      </w:pPr>
      <w:r>
        <w:rPr>
          <w:rFonts w:ascii="Arial" w:cs="Arial" w:eastAsia="Arial" w:hAnsi="Arial"/>
          <w:sz w:val="14"/>
          <w:szCs w:val="14"/>
          <w:color w:val="2D3243"/>
        </w:rPr>
        <w:t>the first anniversary of the grant date subject to his continued service through such date. Vesting of these awards will accelerate upon (A) a change of control of the Company or (B) the termination of Mr. Mariner’s continuous service due to his death or disability. 100% of the remaining unvested portion of the awards, if any, will immediately vest in full in the case of a change of control or Mr. Mariner’s death. 50% of the remaining unvested portion of the grants will immediately vest in the case of termination of Mr. Mariner’s continuous service due to his disability. Mr. Mariner will not be eligible for the regular 2024 automatic annual grant of RSUs to non-employee directors scheduled to occur on the date of the 2024 Annual Meeting, but would be eligible for regular automatic grants thereafter assuming his continued service on the Board of Directors.</w:t>
      </w:r>
    </w:p>
    <w:p>
      <w:pPr>
        <w:spacing w:after="0" w:line="2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2D3243"/>
        </w:rPr>
      </w:pPr>
      <w:r>
        <w:rPr>
          <w:rFonts w:ascii="Arial" w:cs="Arial" w:eastAsia="Arial" w:hAnsi="Arial"/>
          <w:sz w:val="14"/>
          <w:szCs w:val="14"/>
          <w:color w:val="2D3243"/>
        </w:rPr>
        <w:t>Amounts reported for Ms. Pinczuk are for fees paid during her term as a director, which ended upon her resignation effective February 6,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2024 Director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D3243"/>
        </w:rPr>
        <w:t>No changes were made to the non-employee director compensation policy for 2024.</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Employees and Human Capital Resources</w:t>
      </w:r>
    </w:p>
    <w:p>
      <w:pPr>
        <w:spacing w:after="0" w:line="193" w:lineRule="exact"/>
        <w:rPr>
          <w:sz w:val="20"/>
          <w:szCs w:val="20"/>
          <w:color w:val="auto"/>
        </w:rPr>
      </w:pPr>
    </w:p>
    <w:p>
      <w:pPr>
        <w:jc w:val="both"/>
        <w:ind w:right="100"/>
        <w:spacing w:after="0" w:line="363" w:lineRule="auto"/>
        <w:rPr>
          <w:sz w:val="20"/>
          <w:szCs w:val="20"/>
          <w:color w:val="auto"/>
        </w:rPr>
      </w:pPr>
      <w:r>
        <w:rPr>
          <w:rFonts w:ascii="Arial" w:cs="Arial" w:eastAsia="Arial" w:hAnsi="Arial"/>
          <w:sz w:val="16"/>
          <w:szCs w:val="16"/>
          <w:color w:val="2D3243"/>
        </w:rPr>
        <w:t>Our employees and the culture we have established are the keys to our success. As of December 31, 2023, we had 2,684 full-time employees. 46% of our employees are in various cost of revenue functions, 19% in research and development, 24% in sales and marketing and 11% in general and administrative. Our employee turnover for the last three years has averaged 8.8%.</w:t>
      </w:r>
    </w:p>
    <w:p>
      <w:pPr>
        <w:spacing w:after="0" w:line="110" w:lineRule="exact"/>
        <w:rPr>
          <w:sz w:val="20"/>
          <w:szCs w:val="20"/>
          <w:color w:val="auto"/>
        </w:rPr>
      </w:pPr>
    </w:p>
    <w:p>
      <w:pPr>
        <w:ind w:right="260"/>
        <w:spacing w:after="0" w:line="374" w:lineRule="auto"/>
        <w:rPr>
          <w:sz w:val="20"/>
          <w:szCs w:val="20"/>
          <w:color w:val="auto"/>
        </w:rPr>
      </w:pPr>
      <w:r>
        <w:rPr>
          <w:rFonts w:ascii="Arial" w:cs="Arial" w:eastAsia="Arial" w:hAnsi="Arial"/>
          <w:sz w:val="16"/>
          <w:szCs w:val="16"/>
          <w:color w:val="2D3243"/>
        </w:rPr>
        <w:t>The key human capital measures and objectives that we focus on in managing our business are maintaining our company values, promoting our diversity and inclusion, our total rewards philosophy, our talent development, and our employees’ safety and wellness.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Five9 Values - Bringing Passion and Purpose</w:t>
      </w:r>
    </w:p>
    <w:p>
      <w:pPr>
        <w:spacing w:after="0" w:line="257" w:lineRule="exact"/>
        <w:rPr>
          <w:sz w:val="20"/>
          <w:szCs w:val="20"/>
          <w:color w:val="auto"/>
        </w:rPr>
      </w:pPr>
    </w:p>
    <w:p>
      <w:pPr>
        <w:ind w:right="220"/>
        <w:spacing w:after="0" w:line="363" w:lineRule="auto"/>
        <w:rPr>
          <w:sz w:val="20"/>
          <w:szCs w:val="20"/>
          <w:color w:val="auto"/>
        </w:rPr>
      </w:pPr>
      <w:r>
        <w:rPr>
          <w:rFonts w:ascii="Arial" w:cs="Arial" w:eastAsia="Arial" w:hAnsi="Arial"/>
          <w:sz w:val="16"/>
          <w:szCs w:val="16"/>
          <w:color w:val="2D3243"/>
        </w:rPr>
        <w:t>At Five9 we are focused on delivering success for our customers, partners and employees. Living our values everyday results in a unique and powerful culture that we call “winning culture” in which every member on our team is passionately committed to achieve collective success. This powerful team-first culture enables us to overcome obstacles and win year after year, while enjoying the journey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5966460" cy="27343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646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color w:val="2D3243"/>
        </w:rPr>
        <w:t>Our values are woven throughout the entire employee lifecycle and used in the interview process to ensure we hire candidates that have personal values that align with ours. Our values are instrumental in the semi-annual employee performance self-reflection cycle, and we request that employees share how they have lived our values. In addition, we regularly celebrate employees that live our values through recognition and rewards. We introduce new employees to our values during new hire orientation and our values are</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27</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35" w:name="page36"/>
    <w:bookmarkEnd w:id="35"/>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374" w:lineRule="auto"/>
        <w:rPr>
          <w:sz w:val="20"/>
          <w:szCs w:val="20"/>
          <w:color w:val="auto"/>
        </w:rPr>
      </w:pPr>
      <w:r>
        <w:rPr>
          <w:rFonts w:ascii="Arial" w:cs="Arial" w:eastAsia="Arial" w:hAnsi="Arial"/>
          <w:sz w:val="16"/>
          <w:szCs w:val="16"/>
          <w:color w:val="2D3243"/>
        </w:rPr>
        <w:t>visible in the offer package as well as company employee resource pages. Our CEO also weaves these values into quarterly company meetings and regular smaller meetings, where one of the values may be highlighted through a story and employee example.</w:t>
      </w:r>
    </w:p>
    <w:p>
      <w:pPr>
        <w:spacing w:after="0" w:line="102" w:lineRule="exact"/>
        <w:rPr>
          <w:sz w:val="20"/>
          <w:szCs w:val="20"/>
          <w:color w:val="auto"/>
        </w:rPr>
      </w:pPr>
    </w:p>
    <w:p>
      <w:pPr>
        <w:ind w:right="140"/>
        <w:spacing w:after="0" w:line="353" w:lineRule="auto"/>
        <w:rPr>
          <w:sz w:val="20"/>
          <w:szCs w:val="20"/>
          <w:color w:val="auto"/>
        </w:rPr>
      </w:pPr>
      <w:r>
        <w:rPr>
          <w:rFonts w:ascii="Arial" w:cs="Arial" w:eastAsia="Arial" w:hAnsi="Arial"/>
          <w:sz w:val="16"/>
          <w:szCs w:val="16"/>
          <w:color w:val="2D3243"/>
        </w:rPr>
        <w:t>We regularly collect feedback to better understand and improve the employee experience and identify opportunities to continually strengthen our culture. 85% of our employees participated in our most recent employee survey in 2023. Last year we maintained the highest level of employee engagement according to our vendor, Culture Amp, as noted in its Engagement and Inclusion benchmark (top quartile) based upon responses from approximately 2,000 companies. Employees’ highest rated areas were the following: employee productivity (91%) and engagement (90%).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Diversity &amp; Inclusion at Five9</w:t>
      </w:r>
    </w:p>
    <w:p>
      <w:pPr>
        <w:spacing w:after="0" w:line="257" w:lineRule="exact"/>
        <w:rPr>
          <w:sz w:val="20"/>
          <w:szCs w:val="20"/>
          <w:color w:val="auto"/>
        </w:rPr>
      </w:pPr>
    </w:p>
    <w:p>
      <w:pPr>
        <w:ind w:right="200"/>
        <w:spacing w:after="0" w:line="343" w:lineRule="auto"/>
        <w:rPr>
          <w:sz w:val="20"/>
          <w:szCs w:val="20"/>
          <w:color w:val="auto"/>
        </w:rPr>
      </w:pPr>
      <w:r>
        <w:rPr>
          <w:rFonts w:ascii="Arial" w:cs="Arial" w:eastAsia="Arial" w:hAnsi="Arial"/>
          <w:sz w:val="16"/>
          <w:szCs w:val="16"/>
          <w:color w:val="2D3243"/>
        </w:rPr>
        <w:t>At Five9, we celebrate diversity and foster an inclusive environment by creating a culture where our employees can be their authentic selves. We integrate our core values of honesty and respect and lead with transparency and inclusivity. We are committed to building belonging in our workplace and society at large. Our goal is to empower our employees to have a voice that’s heard and foster a community where they feel they belong. Our recruiting programs support and encourage diversity. We recruit from various diversity organizations, including historically black colleges and universities, the Professional Diversity Network, Military 2 Career, Ability Careers, Asian Career Network, Women’s Career Channel, Black Career Network, LGBTQ+ Career Network, and Ihispano. In addition, we have several Employee Resource Groups, or ERGs, that are committed to diversity and creating and fostering a culture of inclusion. Our ERGs include Women In Tech, Blatinx, Veterans, Five9 Faith, APIDA and Pride @ Five9. We have implemented an annual ERG leadership summit where our ERG leader’s share ideas and the HR People team shares current Diversity and Inclusion initiatives for feedback and to foster partnership.</w:t>
      </w:r>
    </w:p>
    <w:p>
      <w:pPr>
        <w:spacing w:after="0" w:line="131" w:lineRule="exact"/>
        <w:rPr>
          <w:sz w:val="20"/>
          <w:szCs w:val="20"/>
          <w:color w:val="auto"/>
        </w:rPr>
      </w:pPr>
    </w:p>
    <w:p>
      <w:pPr>
        <w:ind w:right="140"/>
        <w:spacing w:after="0" w:line="354" w:lineRule="auto"/>
        <w:rPr>
          <w:sz w:val="20"/>
          <w:szCs w:val="20"/>
          <w:color w:val="auto"/>
        </w:rPr>
      </w:pPr>
      <w:r>
        <w:rPr>
          <w:rFonts w:ascii="Arial" w:cs="Arial" w:eastAsia="Arial" w:hAnsi="Arial"/>
          <w:sz w:val="16"/>
          <w:szCs w:val="16"/>
          <w:color w:val="2D3243"/>
        </w:rPr>
        <w:t>Women represented 31% of our worldwide employees and racial and ethnic minorities represented 31% of our U.S. employees as of April 1, 2024. Women and ethnic minorities each represented 27% and 9%, respectively, of our executive leadership team and 22% and 22%, respectively, of our Board of Directors as of April 1, 2024.</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Total Rewards Philosophy</w:t>
      </w:r>
    </w:p>
    <w:p>
      <w:pPr>
        <w:spacing w:after="0" w:line="257" w:lineRule="exact"/>
        <w:rPr>
          <w:sz w:val="20"/>
          <w:szCs w:val="20"/>
          <w:color w:val="auto"/>
        </w:rPr>
      </w:pPr>
    </w:p>
    <w:p>
      <w:pPr>
        <w:jc w:val="both"/>
        <w:ind w:right="40"/>
        <w:spacing w:after="0" w:line="353" w:lineRule="auto"/>
        <w:rPr>
          <w:sz w:val="20"/>
          <w:szCs w:val="20"/>
          <w:color w:val="auto"/>
        </w:rPr>
      </w:pPr>
      <w:r>
        <w:rPr>
          <w:rFonts w:ascii="Arial" w:cs="Arial" w:eastAsia="Arial" w:hAnsi="Arial"/>
          <w:sz w:val="16"/>
          <w:szCs w:val="16"/>
          <w:color w:val="2D3243"/>
        </w:rPr>
        <w:t>Our total rewards philosophy is a comprehensive approach designed to attract, engage, and retain the best talent in our industry by providing a total rewards package that is at or above market rates and, in cases where business demands are unique, we may lead the competitive market. This philosophy is rooted in our understanding that our employees are the cornerstone of our success and that their well-being and satisfaction are paramount to our sustained growth and market leadership.</w:t>
      </w:r>
    </w:p>
    <w:p>
      <w:pPr>
        <w:spacing w:after="0" w:line="119" w:lineRule="exact"/>
        <w:rPr>
          <w:sz w:val="20"/>
          <w:szCs w:val="20"/>
          <w:color w:val="auto"/>
        </w:rPr>
      </w:pPr>
    </w:p>
    <w:p>
      <w:pPr>
        <w:spacing w:after="0" w:line="374" w:lineRule="auto"/>
        <w:rPr>
          <w:sz w:val="20"/>
          <w:szCs w:val="20"/>
          <w:color w:val="auto"/>
        </w:rPr>
      </w:pPr>
      <w:r>
        <w:rPr>
          <w:rFonts w:ascii="Arial" w:cs="Arial" w:eastAsia="Arial" w:hAnsi="Arial"/>
          <w:sz w:val="16"/>
          <w:szCs w:val="16"/>
          <w:color w:val="2D3243"/>
        </w:rPr>
        <w:t>Central to our philosophy is the principle of equity and inclusivity. We strive to ensure that our rewards system is fair and transparent. This approach fosters a sense of belonging and commitment among our workforce, driving engagement and productivity.</w:t>
      </w:r>
    </w:p>
    <w:p>
      <w:pPr>
        <w:spacing w:after="0" w:line="115"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2D3243"/>
        </w:rPr>
        <w:t>Our total rewards philosophy reflects our commitment to creating a supportive and empowering environment for our employees, where they can thrive professionally and personally. By investing in our people in this way, we not only enhance individual well-being but also drive organizational performance and stakeholder value, securing our position as a leader in our industry.</w:t>
      </w:r>
    </w:p>
    <w:p>
      <w:pPr>
        <w:spacing w:after="0" w:line="117" w:lineRule="exact"/>
        <w:rPr>
          <w:sz w:val="20"/>
          <w:szCs w:val="20"/>
          <w:color w:val="auto"/>
        </w:rPr>
      </w:pPr>
    </w:p>
    <w:p>
      <w:pPr>
        <w:ind w:right="180"/>
        <w:spacing w:after="0" w:line="354" w:lineRule="auto"/>
        <w:rPr>
          <w:sz w:val="20"/>
          <w:szCs w:val="20"/>
          <w:color w:val="auto"/>
        </w:rPr>
      </w:pPr>
      <w:r>
        <w:rPr>
          <w:rFonts w:ascii="Arial" w:cs="Arial" w:eastAsia="Arial" w:hAnsi="Arial"/>
          <w:sz w:val="16"/>
          <w:szCs w:val="16"/>
          <w:color w:val="2D3243"/>
        </w:rPr>
        <w:t>Our total rewards system encompasses not just competitive cash compensation, but a holistic package that addresses the diverse needs of our workforce. This includes healthcare benefits, mental health benefits to employees and their dependents, financial and physical well-being programs, parental leave, fertility reimbursement, retirement plans, performance bonuses, equity awards, and work-life balance initiatives.</w:t>
      </w:r>
    </w:p>
    <w:p>
      <w:pPr>
        <w:spacing w:after="0" w:line="131" w:lineRule="exact"/>
        <w:rPr>
          <w:sz w:val="20"/>
          <w:szCs w:val="20"/>
          <w:color w:val="auto"/>
        </w:rPr>
      </w:pPr>
    </w:p>
    <w:p>
      <w:pPr>
        <w:ind w:right="420"/>
        <w:spacing w:after="0" w:line="354" w:lineRule="auto"/>
        <w:rPr>
          <w:sz w:val="20"/>
          <w:szCs w:val="20"/>
          <w:color w:val="auto"/>
        </w:rPr>
      </w:pPr>
      <w:r>
        <w:rPr>
          <w:rFonts w:ascii="Arial" w:cs="Arial" w:eastAsia="Arial" w:hAnsi="Arial"/>
          <w:sz w:val="16"/>
          <w:szCs w:val="16"/>
          <w:color w:val="2D3243"/>
        </w:rPr>
        <w:t>Our total rewards strategy is dynamic and responsive to the changing marketplace and workforce demographics. We regularly benchmark our offerings against prevailing industry practices to ensure we remain competitive and appealing as an employer. Additionally, we embrace a culture of continuous feedback, allowing us to adapt and refine our rewards in alignment with employee needs and business objectives.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28</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6" w:name="page37"/>
    <w:bookmarkEnd w:id="36"/>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Talent Development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Talent development is a pivotal element of our organizational strategy and is essential for maintaining our competitive advantage in a dynamic global market.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We are deeply committed to the growth of our employees, as evidenced by our multifaceted talent development programs.</w:t>
      </w:r>
    </w:p>
    <w:p>
      <w:pPr>
        <w:spacing w:after="0" w:line="235" w:lineRule="exact"/>
        <w:rPr>
          <w:sz w:val="20"/>
          <w:szCs w:val="20"/>
          <w:color w:val="auto"/>
        </w:rPr>
      </w:pPr>
    </w:p>
    <w:p>
      <w:pPr>
        <w:ind w:right="120"/>
        <w:spacing w:after="0" w:line="363" w:lineRule="auto"/>
        <w:rPr>
          <w:sz w:val="20"/>
          <w:szCs w:val="20"/>
          <w:color w:val="auto"/>
        </w:rPr>
      </w:pPr>
      <w:r>
        <w:rPr>
          <w:rFonts w:ascii="Arial" w:cs="Arial" w:eastAsia="Arial" w:hAnsi="Arial"/>
          <w:sz w:val="16"/>
          <w:szCs w:val="16"/>
          <w:color w:val="2D3243"/>
        </w:rPr>
        <w:t>Our Leadership Principles guide the cultivation of a forward-thinking and agile leadership pipeline at all levels within our organization. Leadership Principles inform our Talent Acquisition, Learning and Development and Performance Management practices to ensure we identify, grow and develop the right leadership skills for the future. Our talent review process focuses on identifying employees that are high potential and high performing.</w:t>
      </w:r>
    </w:p>
    <w:p>
      <w:pPr>
        <w:spacing w:after="0" w:line="110"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2D3243"/>
        </w:rPr>
        <w:t>We believe learning happens at every part of an employee's tenure at our company. We continuously strengthen our onboarding practices to ensure employees have the skillset to be successful in their jobs. To support ongoing in-role development, we have semi-annual development conversations between employees and managers to ensure employees have individualized career discussions that align both with organizational goals and the employee’s professional development. We also make learning pathways available through a platform where all employees can take courses to grow their skillsets.</w:t>
      </w:r>
    </w:p>
    <w:p>
      <w:pPr>
        <w:spacing w:after="0" w:line="119" w:lineRule="exact"/>
        <w:rPr>
          <w:sz w:val="20"/>
          <w:szCs w:val="20"/>
          <w:color w:val="auto"/>
        </w:rPr>
      </w:pPr>
    </w:p>
    <w:p>
      <w:pPr>
        <w:ind w:right="320"/>
        <w:spacing w:after="0" w:line="374" w:lineRule="auto"/>
        <w:rPr>
          <w:sz w:val="20"/>
          <w:szCs w:val="20"/>
          <w:color w:val="auto"/>
        </w:rPr>
      </w:pPr>
      <w:r>
        <w:rPr>
          <w:rFonts w:ascii="Arial" w:cs="Arial" w:eastAsia="Arial" w:hAnsi="Arial"/>
          <w:sz w:val="16"/>
          <w:szCs w:val="16"/>
          <w:color w:val="2D3243"/>
        </w:rPr>
        <w:t>By investing in our Leadership Principles, employee onboarding, ongoing development, and talent reviews, we create a dynamic and resilient workforce, poised to drive innovation and growth.</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Workplace Practices and Policies</w:t>
      </w:r>
    </w:p>
    <w:p>
      <w:pPr>
        <w:spacing w:after="0" w:line="257" w:lineRule="exact"/>
        <w:rPr>
          <w:sz w:val="20"/>
          <w:szCs w:val="20"/>
          <w:color w:val="auto"/>
        </w:rPr>
      </w:pPr>
    </w:p>
    <w:p>
      <w:pPr>
        <w:ind w:right="300"/>
        <w:spacing w:after="0" w:line="354" w:lineRule="auto"/>
        <w:rPr>
          <w:sz w:val="20"/>
          <w:szCs w:val="20"/>
          <w:color w:val="auto"/>
        </w:rPr>
      </w:pPr>
      <w:r>
        <w:rPr>
          <w:rFonts w:ascii="Arial" w:cs="Arial" w:eastAsia="Arial" w:hAnsi="Arial"/>
          <w:sz w:val="16"/>
          <w:szCs w:val="16"/>
          <w:color w:val="2D3243"/>
        </w:rPr>
        <w:t>We are committed to providing a workplace free of harassment or discrimination based on race, color, religion, sex, sexual orientation, gender identity, national origin, disability, veteran status, caste or other legally protected characteristic. We are an equal opportunity employer committed to inclusion and diversity.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Environmental Sustainability</w:t>
      </w:r>
    </w:p>
    <w:p>
      <w:pPr>
        <w:spacing w:after="0" w:line="203" w:lineRule="exact"/>
        <w:rPr>
          <w:sz w:val="20"/>
          <w:szCs w:val="20"/>
          <w:color w:val="auto"/>
        </w:rPr>
      </w:pPr>
    </w:p>
    <w:p>
      <w:pPr>
        <w:ind w:right="20"/>
        <w:spacing w:after="0" w:line="344" w:lineRule="auto"/>
        <w:rPr>
          <w:sz w:val="20"/>
          <w:szCs w:val="20"/>
          <w:color w:val="auto"/>
        </w:rPr>
      </w:pPr>
      <w:r>
        <w:rPr>
          <w:rFonts w:ascii="Arial" w:cs="Arial" w:eastAsia="Arial" w:hAnsi="Arial"/>
          <w:sz w:val="16"/>
          <w:szCs w:val="16"/>
          <w:color w:val="2D3243"/>
        </w:rPr>
        <w:t>We are committed to reducing workplace-related resource consumption through our site selection, facilities design and energy procurement practices through our landlords, to ensure our corporate responsibility goals are achieved. We participate in building sustainability by occupying LEED certified and 5-Star NABERS Energy Rated multi-tenant buildings. Our corporate headquarters offers a transportation program to cut down on emissions. We have made strides in reducing energy consumption by upgrading our lighting system and installing motion sensors for lighting and convenience electrical outlets. To reduce waste, we use source compostable/recyclable kitchen products, centralized waste collection with an emphasis on recycling, established an E-waste program, implemented software tools to minimize printing waste and reduce equipment and toner purchases, and expanded our battery recycling program to include work-related and personal battery recycling.</w:t>
      </w:r>
    </w:p>
    <w:p>
      <w:pPr>
        <w:spacing w:after="0" w:line="125" w:lineRule="exact"/>
        <w:rPr>
          <w:sz w:val="20"/>
          <w:szCs w:val="20"/>
          <w:color w:val="auto"/>
        </w:rPr>
      </w:pPr>
    </w:p>
    <w:p>
      <w:pPr>
        <w:ind w:right="180"/>
        <w:spacing w:after="0" w:line="374" w:lineRule="auto"/>
        <w:rPr>
          <w:sz w:val="20"/>
          <w:szCs w:val="20"/>
          <w:color w:val="auto"/>
        </w:rPr>
      </w:pPr>
      <w:r>
        <w:rPr>
          <w:rFonts w:ascii="Arial" w:cs="Arial" w:eastAsia="Arial" w:hAnsi="Arial"/>
          <w:sz w:val="16"/>
          <w:szCs w:val="16"/>
          <w:color w:val="2D3243"/>
        </w:rPr>
        <w:t>We are also committed to complying with California’s climate legislation, SB-253 and SB-261. This commitment involves the reporting of Scope 1, 2, and 3 emissions within the mandated reporting period.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29</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7" w:name="page38"/>
    <w:bookmarkEnd w:id="37"/>
    <w:p>
      <w:pPr>
        <w:ind w:left="1010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58"/>
          <w:szCs w:val="58"/>
          <w:color w:val="2D3243"/>
        </w:rPr>
        <w:t>Proposal No. 2</w:t>
      </w:r>
    </w:p>
    <w:p>
      <w:pPr>
        <w:spacing w:after="0" w:line="80" w:lineRule="exact"/>
        <w:rPr>
          <w:sz w:val="20"/>
          <w:szCs w:val="20"/>
          <w:color w:val="auto"/>
        </w:rPr>
      </w:pPr>
    </w:p>
    <w:p>
      <w:pPr>
        <w:ind w:right="80"/>
        <w:spacing w:after="0" w:line="262" w:lineRule="auto"/>
        <w:rPr>
          <w:sz w:val="20"/>
          <w:szCs w:val="20"/>
          <w:color w:val="auto"/>
        </w:rPr>
      </w:pPr>
      <w:r>
        <w:rPr>
          <w:rFonts w:ascii="Arial" w:cs="Arial" w:eastAsia="Arial" w:hAnsi="Arial"/>
          <w:sz w:val="58"/>
          <w:szCs w:val="58"/>
          <w:color w:val="2D3243"/>
        </w:rPr>
        <w:t>Advisory Vote to Approve Named Executive Officer Compensation</w:t>
      </w:r>
    </w:p>
    <w:p>
      <w:pPr>
        <w:spacing w:after="0" w:line="306" w:lineRule="exact"/>
        <w:rPr>
          <w:sz w:val="20"/>
          <w:szCs w:val="20"/>
          <w:color w:val="auto"/>
        </w:rPr>
      </w:pPr>
    </w:p>
    <w:p>
      <w:pPr>
        <w:spacing w:after="0" w:line="347" w:lineRule="auto"/>
        <w:rPr>
          <w:sz w:val="20"/>
          <w:szCs w:val="20"/>
          <w:color w:val="auto"/>
        </w:rPr>
      </w:pPr>
      <w:r>
        <w:rPr>
          <w:rFonts w:ascii="Arial" w:cs="Arial" w:eastAsia="Arial" w:hAnsi="Arial"/>
          <w:sz w:val="16"/>
          <w:szCs w:val="16"/>
          <w:color w:val="2D3243"/>
        </w:rPr>
        <w:t>Pursuant to Section 14A of the Securities Exchange Act, we are providing our stockholders with the opportunity to vote to approve, on a non-binding, advisory basis, the compensation of our named executive officers (“NEOs”) as disclosed in this Proxy Statement. In accordance with the frequency approved by stockholders at our 2018 annual stockholders meeting and consistent with the Board of Directors’ recommendation, we are submitting this proposal for a non-binding advisory vote on an annual basis.</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2D3243"/>
        </w:rPr>
        <w:t>As described in detail in the “Compensation Discussion and Analysis” section in this Proxy Statement, our executive compensation program is designed to attract, motivate and retain our executive officers, who are critical to our success. Under this program, our executive officers are rewarded for the achievement of specific short-term, long-term and strategic goals, as well as increasing stockholder value. The Board of Directors believes our executive compensation program achieves the important goal of attracting and retaining talented professionals, while at the same time tying a substantial portion of the potential compensation for such executive officers to the achievement of Company goals. In addition, the Board of Directors believes that through the use of a blend of different elements of compensation, such as a performance bonus and performance-based and service-based equity awards, our executive compensation program balances incentives for both short-term and long-term Company performance. Overall, the Board of Directors believes our executive compensation program is fair to both the Company and our executive officers, appropriate for our industry and competitive with what our executive officers could receive elsewhere. Please read the “Compensation Discussion and Analysis” section in this Proxy Statement for additional details about our executive compensation program, including “Key Elements of Our 2023 Executive Compensation Program.”</w:t>
      </w:r>
    </w:p>
    <w:p>
      <w:pPr>
        <w:spacing w:after="0" w:line="132"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2D3243"/>
        </w:rPr>
        <w:t>The Board of Directors is asking our stockholders to indicate their support for the compensation of our NEOs as described in this Proxy Statement. This proposal, commonly known as a “say-on-pay” proposal, gives our stockholders the opportunity to express their views on our NEOs’ compensation. This vote is not intended to address any specific item of compensation or any single compensation philosophy, policy or practice, but rather the overall compensation of our NEOs as described in this Proxy Statement. Accordingly, we are asking our stockholders to vote “FOR” the following resolution at the Annual Meeting:</w:t>
      </w:r>
    </w:p>
    <w:p>
      <w:pPr>
        <w:spacing w:after="0" w:line="119" w:lineRule="exact"/>
        <w:rPr>
          <w:sz w:val="20"/>
          <w:szCs w:val="20"/>
          <w:color w:val="auto"/>
        </w:rPr>
      </w:pPr>
    </w:p>
    <w:p>
      <w:pPr>
        <w:jc w:val="both"/>
        <w:ind w:right="220"/>
        <w:spacing w:after="0" w:line="354" w:lineRule="auto"/>
        <w:rPr>
          <w:sz w:val="20"/>
          <w:szCs w:val="20"/>
          <w:color w:val="auto"/>
        </w:rPr>
      </w:pPr>
      <w:r>
        <w:rPr>
          <w:rFonts w:ascii="Arial" w:cs="Arial" w:eastAsia="Arial" w:hAnsi="Arial"/>
          <w:sz w:val="16"/>
          <w:szCs w:val="16"/>
          <w:color w:val="2D3243"/>
        </w:rPr>
        <w:t>“RESOLVED, that the Company’s stockholders approve, on a non-binding, advisory basis, the compensation of the Company’s NEOs, as disclosed in the Company’s proxy statement for the 2024 Annual Meeting of Stockholders pursuant to Item 402 of Regulation S-K, including the Compensation Discussion and Analysis, the Summary Compensation Table and the other related compensation tables and accompanying narrative disclosure.”</w:t>
      </w:r>
    </w:p>
    <w:p>
      <w:pPr>
        <w:spacing w:after="0" w:line="131"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2D3243"/>
        </w:rPr>
        <w:t>The say-on-pay vote is advisory and, therefore, not binding on Five9, the Compensation Committee or the Board of Directors. The Board of Directors and Compensation Committee value the opinions of our stockholders and to the extent there is any significant vote against the NEO compensation as disclosed in this Proxy Statement, the Board of Directors and the Compensation Committee will consider our stockholders’ concerns and will evaluate whether any actions are necessary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121920</wp:posOffset>
            </wp:positionV>
            <wp:extent cx="48006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0060" cy="68580"/>
                    </a:xfrm>
                    <a:prstGeom prst="rect">
                      <a:avLst/>
                    </a:prstGeom>
                    <a:noFill/>
                  </pic:spPr>
                </pic:pic>
              </a:graphicData>
            </a:graphic>
          </wp:anchor>
        </w:drawing>
      </w:r>
    </w:p>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336FF"/>
        </w:rPr>
        <w:t>VOTE</w:t>
      </w:r>
    </w:p>
    <w:p>
      <w:pPr>
        <w:spacing w:after="0" w:line="98" w:lineRule="exact"/>
        <w:rPr>
          <w:sz w:val="20"/>
          <w:szCs w:val="20"/>
          <w:color w:val="auto"/>
        </w:rPr>
      </w:pPr>
    </w:p>
    <w:p>
      <w:pPr>
        <w:ind w:left="20" w:right="780"/>
        <w:spacing w:after="0" w:line="362" w:lineRule="auto"/>
        <w:rPr>
          <w:sz w:val="20"/>
          <w:szCs w:val="20"/>
          <w:color w:val="auto"/>
        </w:rPr>
      </w:pPr>
      <w:r>
        <w:rPr>
          <w:rFonts w:ascii="Arial" w:cs="Arial" w:eastAsia="Arial" w:hAnsi="Arial"/>
          <w:sz w:val="20"/>
          <w:szCs w:val="20"/>
          <w:b w:val="1"/>
          <w:bCs w:val="1"/>
          <w:color w:val="2D3243"/>
        </w:rPr>
        <w:t xml:space="preserve">The Board of Directors Recommends a Vote </w:t>
      </w:r>
      <w:r>
        <w:rPr>
          <w:rFonts w:ascii="Arial" w:cs="Arial" w:eastAsia="Arial" w:hAnsi="Arial"/>
          <w:sz w:val="21"/>
          <w:szCs w:val="21"/>
          <w:b w:val="1"/>
          <w:bCs w:val="1"/>
          <w:color w:val="0336FF"/>
        </w:rPr>
        <w:t>“FOR”</w:t>
      </w:r>
      <w:r>
        <w:rPr>
          <w:rFonts w:ascii="Arial" w:cs="Arial" w:eastAsia="Arial" w:hAnsi="Arial"/>
          <w:sz w:val="20"/>
          <w:szCs w:val="20"/>
          <w:b w:val="1"/>
          <w:bCs w:val="1"/>
          <w:color w:val="2D3243"/>
        </w:rPr>
        <w:t xml:space="preserve"> the Advisory Approval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30</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58"/>
          <w:szCs w:val="58"/>
          <w:color w:val="2D3243"/>
        </w:rPr>
        <w:t>Proposal No. 3</w:t>
      </w:r>
    </w:p>
    <w:p>
      <w:pPr>
        <w:spacing w:after="0" w:line="80" w:lineRule="exact"/>
        <w:rPr>
          <w:sz w:val="20"/>
          <w:szCs w:val="20"/>
          <w:color w:val="auto"/>
        </w:rPr>
      </w:pPr>
    </w:p>
    <w:p>
      <w:pPr>
        <w:ind w:right="160"/>
        <w:spacing w:after="0" w:line="262" w:lineRule="auto"/>
        <w:rPr>
          <w:sz w:val="20"/>
          <w:szCs w:val="20"/>
          <w:color w:val="auto"/>
        </w:rPr>
      </w:pPr>
      <w:r>
        <w:rPr>
          <w:rFonts w:ascii="Arial" w:cs="Arial" w:eastAsia="Arial" w:hAnsi="Arial"/>
          <w:sz w:val="58"/>
          <w:szCs w:val="58"/>
          <w:color w:val="2D3243"/>
        </w:rPr>
        <w:t>Advisory Vote on the Frequency of Votes to Approve Executive Compensation</w:t>
      </w:r>
    </w:p>
    <w:p>
      <w:pPr>
        <w:spacing w:after="0" w:line="306" w:lineRule="exact"/>
        <w:rPr>
          <w:sz w:val="20"/>
          <w:szCs w:val="20"/>
          <w:color w:val="auto"/>
        </w:rPr>
      </w:pPr>
    </w:p>
    <w:p>
      <w:pPr>
        <w:ind w:right="360"/>
        <w:spacing w:after="0" w:line="354" w:lineRule="auto"/>
        <w:rPr>
          <w:sz w:val="20"/>
          <w:szCs w:val="20"/>
          <w:color w:val="auto"/>
        </w:rPr>
      </w:pPr>
      <w:r>
        <w:rPr>
          <w:rFonts w:ascii="Arial" w:cs="Arial" w:eastAsia="Arial" w:hAnsi="Arial"/>
          <w:sz w:val="16"/>
          <w:szCs w:val="16"/>
          <w:color w:val="2D3243"/>
        </w:rPr>
        <w:t>Pursuant to the Dodd-Frank Act and Section 14A of the Securities Exchange Act, we are also providing our stockholders the opportunity to cast a non-binding, advisory vote on how frequently to hold advisory votes to approve executive compensation. Stockholders may specify whether they prefer such votes to occur every one year, two years, or three years, or abstain from voting.</w:t>
      </w:r>
    </w:p>
    <w:p>
      <w:pPr>
        <w:spacing w:after="0" w:line="117" w:lineRule="exact"/>
        <w:rPr>
          <w:sz w:val="20"/>
          <w:szCs w:val="20"/>
          <w:color w:val="auto"/>
        </w:rPr>
      </w:pPr>
    </w:p>
    <w:p>
      <w:pPr>
        <w:ind w:right="320"/>
        <w:spacing w:after="0" w:line="348" w:lineRule="auto"/>
        <w:rPr>
          <w:sz w:val="20"/>
          <w:szCs w:val="20"/>
          <w:color w:val="auto"/>
        </w:rPr>
      </w:pPr>
      <w:r>
        <w:rPr>
          <w:rFonts w:ascii="Arial" w:cs="Arial" w:eastAsia="Arial" w:hAnsi="Arial"/>
          <w:sz w:val="16"/>
          <w:szCs w:val="16"/>
          <w:color w:val="2D3243"/>
        </w:rPr>
        <w:t>After careful consideration, the Board of Directors, recommends that future advisory votes to approve executive compensation occur every one year. In formulating its recommendation, the Board of Directors considered that an annual advisory vote to approve executive compensation will allow our stockholders to provide us with their direct input on our compensation philosophy, policies and practices as disclosed in the proxy statement every year. Additionally, an annual advisory vote to approve executive compensation is consistent with our policy of seeking input from, and engaging in discussions with, stockholders to approve executive compensation philosophy, policies and practices, as well as corporate governance matters.</w:t>
      </w:r>
    </w:p>
    <w:p>
      <w:pPr>
        <w:spacing w:after="0" w:line="124" w:lineRule="exact"/>
        <w:rPr>
          <w:sz w:val="20"/>
          <w:szCs w:val="20"/>
          <w:color w:val="auto"/>
        </w:rPr>
      </w:pPr>
    </w:p>
    <w:p>
      <w:pPr>
        <w:ind w:right="420"/>
        <w:spacing w:after="0" w:line="354" w:lineRule="auto"/>
        <w:rPr>
          <w:sz w:val="20"/>
          <w:szCs w:val="20"/>
          <w:color w:val="auto"/>
        </w:rPr>
      </w:pPr>
      <w:r>
        <w:rPr>
          <w:rFonts w:ascii="Arial" w:cs="Arial" w:eastAsia="Arial" w:hAnsi="Arial"/>
          <w:sz w:val="16"/>
          <w:szCs w:val="16"/>
          <w:color w:val="2D3243"/>
        </w:rPr>
        <w:t>This proposal is not binding on Five9, the Board of Directors, or the Compensation Committee. However, the Board of Directors and the Compensation Committee value the opinions expressed by stockholders in their votes on this proposal and will consider the outcome of the vote when making future decisions regarding the frequency of conducting a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92075</wp:posOffset>
            </wp:positionV>
            <wp:extent cx="488315"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8315" cy="68580"/>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336FF"/>
        </w:rPr>
        <w:t>VOTE</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D3243"/>
        </w:rPr>
        <w:t>The Board of Directors Recommends A Vote for Every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31</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9" w:name="page40"/>
    <w:bookmarkEnd w:id="39"/>
    <w:p>
      <w:pPr>
        <w:jc w:val="right"/>
        <w:ind w:right="2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58"/>
          <w:szCs w:val="58"/>
          <w:color w:val="2D3243"/>
        </w:rPr>
        <w:t>Proposal No. 4</w:t>
      </w:r>
    </w:p>
    <w:p>
      <w:pPr>
        <w:spacing w:after="0" w:line="80" w:lineRule="exact"/>
        <w:rPr>
          <w:sz w:val="20"/>
          <w:szCs w:val="20"/>
          <w:color w:val="auto"/>
        </w:rPr>
      </w:pPr>
    </w:p>
    <w:p>
      <w:pPr>
        <w:spacing w:after="0"/>
        <w:rPr>
          <w:sz w:val="20"/>
          <w:szCs w:val="20"/>
          <w:color w:val="auto"/>
        </w:rPr>
      </w:pPr>
      <w:r>
        <w:rPr>
          <w:rFonts w:ascii="Arial" w:cs="Arial" w:eastAsia="Arial" w:hAnsi="Arial"/>
          <w:sz w:val="58"/>
          <w:szCs w:val="58"/>
          <w:color w:val="2D3243"/>
        </w:rPr>
        <w:t>Ratification Of Appointment Of Independent</w:t>
      </w:r>
    </w:p>
    <w:p>
      <w:pPr>
        <w:spacing w:after="0" w:line="22" w:lineRule="exact"/>
        <w:rPr>
          <w:sz w:val="20"/>
          <w:szCs w:val="20"/>
          <w:color w:val="auto"/>
        </w:rPr>
      </w:pPr>
    </w:p>
    <w:p>
      <w:pPr>
        <w:spacing w:after="0"/>
        <w:rPr>
          <w:sz w:val="20"/>
          <w:szCs w:val="20"/>
          <w:color w:val="auto"/>
        </w:rPr>
      </w:pPr>
      <w:r>
        <w:rPr>
          <w:rFonts w:ascii="Arial" w:cs="Arial" w:eastAsia="Arial" w:hAnsi="Arial"/>
          <w:sz w:val="58"/>
          <w:szCs w:val="58"/>
          <w:color w:val="2D3243"/>
        </w:rPr>
        <w:t>Registered Public Accounting Firm</w:t>
      </w:r>
    </w:p>
    <w:p>
      <w:pPr>
        <w:spacing w:after="0" w:line="200" w:lineRule="exact"/>
        <w:rPr>
          <w:sz w:val="20"/>
          <w:szCs w:val="20"/>
          <w:color w:val="auto"/>
        </w:rPr>
      </w:pPr>
    </w:p>
    <w:p>
      <w:pPr>
        <w:spacing w:after="0" w:line="207"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2D3243"/>
        </w:rPr>
        <w:t>The Audit Committee of the Board of Directors has selected KPMG LLP as our independent registered public accounting firm for the fiscal year ending December 31, 2024. KPMG LLP has audited our financial statements since their appointment in 2012. Representatives of KPMG LLP are expected to be present at the Annual Meeting. They will have an opportunity to make a statement if they so desire and will be available to respond to appropriate questions.</w:t>
      </w:r>
    </w:p>
    <w:p>
      <w:pPr>
        <w:spacing w:after="0" w:line="117" w:lineRule="exact"/>
        <w:rPr>
          <w:sz w:val="20"/>
          <w:szCs w:val="20"/>
          <w:color w:val="auto"/>
        </w:rPr>
      </w:pPr>
    </w:p>
    <w:p>
      <w:pPr>
        <w:ind w:right="220"/>
        <w:spacing w:after="0" w:line="348" w:lineRule="auto"/>
        <w:rPr>
          <w:sz w:val="20"/>
          <w:szCs w:val="20"/>
          <w:color w:val="auto"/>
        </w:rPr>
      </w:pPr>
      <w:r>
        <w:rPr>
          <w:rFonts w:ascii="Arial" w:cs="Arial" w:eastAsia="Arial" w:hAnsi="Arial"/>
          <w:sz w:val="16"/>
          <w:szCs w:val="16"/>
          <w:color w:val="2D3243"/>
        </w:rPr>
        <w:t>Neither our Bylaws nor other governing documents or law require stockholder ratification of the appointment of KPMG LLP as our independent registered public accounting firm. However, the Board of Directors is submitting the appointment of KPMG LLP to the stockholders for ratification as a matter of good corporate practice. If the stockholders fail to ratify the appointment, the Audit Committee will reconsider whether or not to retain that firm. Even if the appointment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Independent Registered Public Accounting Firm’s Fees</w:t>
      </w:r>
    </w:p>
    <w:p>
      <w:pPr>
        <w:spacing w:after="0" w:line="193" w:lineRule="exact"/>
        <w:rPr>
          <w:sz w:val="20"/>
          <w:szCs w:val="20"/>
          <w:color w:val="auto"/>
        </w:rPr>
      </w:pPr>
    </w:p>
    <w:p>
      <w:pPr>
        <w:ind w:right="620"/>
        <w:spacing w:after="0" w:line="374" w:lineRule="auto"/>
        <w:rPr>
          <w:sz w:val="20"/>
          <w:szCs w:val="20"/>
          <w:color w:val="auto"/>
        </w:rPr>
      </w:pPr>
      <w:r>
        <w:rPr>
          <w:rFonts w:ascii="Arial" w:cs="Arial" w:eastAsia="Arial" w:hAnsi="Arial"/>
          <w:sz w:val="16"/>
          <w:szCs w:val="16"/>
          <w:color w:val="2D3243"/>
        </w:rPr>
        <w:t>The following table summarizes the aggregate fees billed by KPMG LLP, our independent registered public accounting firm, for professional services provided for fiscal years 2023 and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0336FF"/>
          </w:tcPr>
          <w:p>
            <w:pPr>
              <w:spacing w:after="0"/>
              <w:rPr>
                <w:sz w:val="18"/>
                <w:szCs w:val="18"/>
                <w:color w:val="auto"/>
              </w:rPr>
            </w:pPr>
          </w:p>
        </w:tc>
        <w:tc>
          <w:tcPr>
            <w:tcW w:w="1480" w:type="dxa"/>
            <w:vAlign w:val="bottom"/>
            <w:shd w:val="clear" w:color="auto" w:fill="0336FF"/>
          </w:tcPr>
          <w:p>
            <w:pPr>
              <w:jc w:val="right"/>
              <w:ind w:right="168"/>
              <w:spacing w:after="0"/>
              <w:rPr>
                <w:sz w:val="20"/>
                <w:szCs w:val="20"/>
                <w:color w:val="auto"/>
              </w:rPr>
            </w:pPr>
            <w:r>
              <w:rPr>
                <w:rFonts w:ascii="Arial" w:cs="Arial" w:eastAsia="Arial" w:hAnsi="Arial"/>
                <w:sz w:val="14"/>
                <w:szCs w:val="14"/>
                <w:b w:val="1"/>
                <w:bCs w:val="1"/>
                <w:color w:val="FFFFFF"/>
              </w:rPr>
              <w:t>2023</w:t>
            </w:r>
          </w:p>
        </w:tc>
        <w:tc>
          <w:tcPr>
            <w:tcW w:w="680" w:type="dxa"/>
            <w:vAlign w:val="bottom"/>
            <w:shd w:val="clear" w:color="auto" w:fill="0336FF"/>
          </w:tcPr>
          <w:p>
            <w:pPr>
              <w:spacing w:after="0"/>
              <w:rPr>
                <w:sz w:val="18"/>
                <w:szCs w:val="18"/>
                <w:color w:val="auto"/>
              </w:rPr>
            </w:pPr>
          </w:p>
        </w:tc>
        <w:tc>
          <w:tcPr>
            <w:tcW w:w="200" w:type="dxa"/>
            <w:vAlign w:val="bottom"/>
            <w:shd w:val="clear" w:color="auto" w:fill="0336FF"/>
          </w:tcPr>
          <w:p>
            <w:pPr>
              <w:spacing w:after="0"/>
              <w:rPr>
                <w:sz w:val="18"/>
                <w:szCs w:val="18"/>
                <w:color w:val="auto"/>
              </w:rPr>
            </w:pPr>
          </w:p>
        </w:tc>
        <w:tc>
          <w:tcPr>
            <w:tcW w:w="660" w:type="dxa"/>
            <w:vAlign w:val="bottom"/>
            <w:shd w:val="clear" w:color="auto" w:fill="0336FF"/>
          </w:tcPr>
          <w:p>
            <w:pPr>
              <w:spacing w:after="0"/>
              <w:rPr>
                <w:sz w:val="18"/>
                <w:szCs w:val="18"/>
                <w:color w:val="auto"/>
              </w:rPr>
            </w:pPr>
          </w:p>
        </w:tc>
        <w:tc>
          <w:tcPr>
            <w:tcW w:w="1480" w:type="dxa"/>
            <w:vAlign w:val="bottom"/>
            <w:shd w:val="clear" w:color="auto" w:fill="0336FF"/>
          </w:tcPr>
          <w:p>
            <w:pPr>
              <w:jc w:val="right"/>
              <w:ind w:right="828"/>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336FF"/>
          </w:tcPr>
          <w:p>
            <w:pPr>
              <w:spacing w:after="0"/>
              <w:rPr>
                <w:sz w:val="18"/>
                <w:szCs w:val="18"/>
                <w:color w:val="auto"/>
              </w:rPr>
            </w:pPr>
          </w:p>
        </w:tc>
      </w:tr>
      <w:tr>
        <w:trPr>
          <w:trHeight w:val="241"/>
        </w:trPr>
        <w:tc>
          <w:tcPr>
            <w:tcW w:w="6640" w:type="dxa"/>
            <w:vAlign w:val="bottom"/>
            <w:shd w:val="clear" w:color="auto" w:fill="0336FF"/>
          </w:tcPr>
          <w:p>
            <w:pPr>
              <w:spacing w:after="0"/>
              <w:rPr>
                <w:sz w:val="20"/>
                <w:szCs w:val="20"/>
                <w:color w:val="auto"/>
              </w:rPr>
            </w:pPr>
          </w:p>
        </w:tc>
        <w:tc>
          <w:tcPr>
            <w:tcW w:w="1480" w:type="dxa"/>
            <w:vAlign w:val="bottom"/>
            <w:shd w:val="clear" w:color="auto" w:fill="0336FF"/>
          </w:tcPr>
          <w:p>
            <w:pPr>
              <w:spacing w:after="0"/>
              <w:rPr>
                <w:sz w:val="20"/>
                <w:szCs w:val="20"/>
                <w:color w:val="auto"/>
              </w:rPr>
            </w:pPr>
          </w:p>
        </w:tc>
        <w:tc>
          <w:tcPr>
            <w:tcW w:w="1540" w:type="dxa"/>
            <w:vAlign w:val="bottom"/>
            <w:gridSpan w:val="3"/>
            <w:shd w:val="clear" w:color="auto" w:fill="0336FF"/>
          </w:tcPr>
          <w:p>
            <w:pPr>
              <w:jc w:val="right"/>
              <w:ind w:right="188"/>
              <w:spacing w:after="0"/>
              <w:rPr>
                <w:sz w:val="20"/>
                <w:szCs w:val="20"/>
                <w:color w:val="auto"/>
              </w:rPr>
            </w:pPr>
            <w:r>
              <w:rPr>
                <w:rFonts w:ascii="Arial" w:cs="Arial" w:eastAsia="Arial" w:hAnsi="Arial"/>
                <w:sz w:val="14"/>
                <w:szCs w:val="14"/>
                <w:b w:val="1"/>
                <w:bCs w:val="1"/>
                <w:color w:val="FFFFFF"/>
              </w:rPr>
              <w:t>(In thousands)</w:t>
            </w:r>
          </w:p>
        </w:tc>
        <w:tc>
          <w:tcPr>
            <w:tcW w:w="1480" w:type="dxa"/>
            <w:vAlign w:val="bottom"/>
            <w:shd w:val="clear" w:color="auto" w:fill="0336FF"/>
          </w:tcPr>
          <w:p>
            <w:pPr>
              <w:spacing w:after="0"/>
              <w:rPr>
                <w:sz w:val="20"/>
                <w:szCs w:val="20"/>
                <w:color w:val="auto"/>
              </w:rPr>
            </w:pPr>
          </w:p>
        </w:tc>
        <w:tc>
          <w:tcPr>
            <w:tcW w:w="100" w:type="dxa"/>
            <w:vAlign w:val="bottom"/>
            <w:shd w:val="clear" w:color="auto" w:fill="0336FF"/>
          </w:tcPr>
          <w:p>
            <w:pPr>
              <w:spacing w:after="0"/>
              <w:rPr>
                <w:sz w:val="20"/>
                <w:szCs w:val="20"/>
                <w:color w:val="auto"/>
              </w:rPr>
            </w:pPr>
          </w:p>
        </w:tc>
      </w:tr>
      <w:tr>
        <w:trPr>
          <w:trHeight w:val="70"/>
        </w:trPr>
        <w:tc>
          <w:tcPr>
            <w:tcW w:w="6640" w:type="dxa"/>
            <w:vAlign w:val="bottom"/>
            <w:shd w:val="clear" w:color="auto" w:fill="0336FF"/>
          </w:tcPr>
          <w:p>
            <w:pPr>
              <w:spacing w:after="0"/>
              <w:rPr>
                <w:sz w:val="6"/>
                <w:szCs w:val="6"/>
                <w:color w:val="auto"/>
              </w:rPr>
            </w:pPr>
          </w:p>
        </w:tc>
        <w:tc>
          <w:tcPr>
            <w:tcW w:w="1480" w:type="dxa"/>
            <w:vAlign w:val="bottom"/>
            <w:shd w:val="clear" w:color="auto" w:fill="0336FF"/>
          </w:tcPr>
          <w:p>
            <w:pPr>
              <w:spacing w:after="0"/>
              <w:rPr>
                <w:sz w:val="6"/>
                <w:szCs w:val="6"/>
                <w:color w:val="auto"/>
              </w:rPr>
            </w:pPr>
          </w:p>
        </w:tc>
        <w:tc>
          <w:tcPr>
            <w:tcW w:w="680" w:type="dxa"/>
            <w:vAlign w:val="bottom"/>
            <w:shd w:val="clear" w:color="auto" w:fill="0336FF"/>
          </w:tcPr>
          <w:p>
            <w:pPr>
              <w:spacing w:after="0"/>
              <w:rPr>
                <w:sz w:val="6"/>
                <w:szCs w:val="6"/>
                <w:color w:val="auto"/>
              </w:rPr>
            </w:pPr>
          </w:p>
        </w:tc>
        <w:tc>
          <w:tcPr>
            <w:tcW w:w="200" w:type="dxa"/>
            <w:vAlign w:val="bottom"/>
            <w:shd w:val="clear" w:color="auto" w:fill="0336FF"/>
          </w:tcPr>
          <w:p>
            <w:pPr>
              <w:spacing w:after="0"/>
              <w:rPr>
                <w:sz w:val="6"/>
                <w:szCs w:val="6"/>
                <w:color w:val="auto"/>
              </w:rPr>
            </w:pPr>
          </w:p>
        </w:tc>
        <w:tc>
          <w:tcPr>
            <w:tcW w:w="660" w:type="dxa"/>
            <w:vAlign w:val="bottom"/>
            <w:shd w:val="clear" w:color="auto" w:fill="0336FF"/>
          </w:tcPr>
          <w:p>
            <w:pPr>
              <w:spacing w:after="0"/>
              <w:rPr>
                <w:sz w:val="6"/>
                <w:szCs w:val="6"/>
                <w:color w:val="auto"/>
              </w:rPr>
            </w:pPr>
          </w:p>
        </w:tc>
        <w:tc>
          <w:tcPr>
            <w:tcW w:w="1480" w:type="dxa"/>
            <w:vAlign w:val="bottom"/>
            <w:shd w:val="clear" w:color="auto" w:fill="0336FF"/>
          </w:tcPr>
          <w:p>
            <w:pPr>
              <w:spacing w:after="0"/>
              <w:rPr>
                <w:sz w:val="6"/>
                <w:szCs w:val="6"/>
                <w:color w:val="auto"/>
              </w:rPr>
            </w:pPr>
          </w:p>
        </w:tc>
        <w:tc>
          <w:tcPr>
            <w:tcW w:w="100" w:type="dxa"/>
            <w:vAlign w:val="bottom"/>
            <w:shd w:val="clear" w:color="auto" w:fill="0336FF"/>
          </w:tcPr>
          <w:p>
            <w:pPr>
              <w:spacing w:after="0"/>
              <w:rPr>
                <w:sz w:val="6"/>
                <w:szCs w:val="6"/>
                <w:color w:val="auto"/>
              </w:rPr>
            </w:pPr>
          </w:p>
        </w:tc>
      </w:tr>
      <w:tr>
        <w:trPr>
          <w:trHeight w:val="230"/>
        </w:trPr>
        <w:tc>
          <w:tcPr>
            <w:tcW w:w="6640" w:type="dxa"/>
            <w:vAlign w:val="bottom"/>
          </w:tcPr>
          <w:p>
            <w:pPr>
              <w:ind w:left="100"/>
              <w:spacing w:after="0"/>
              <w:rPr>
                <w:sz w:val="20"/>
                <w:szCs w:val="20"/>
                <w:color w:val="auto"/>
              </w:rPr>
            </w:pPr>
            <w:r>
              <w:rPr>
                <w:rFonts w:ascii="Arial" w:cs="Arial" w:eastAsia="Arial" w:hAnsi="Arial"/>
                <w:sz w:val="14"/>
                <w:szCs w:val="14"/>
                <w:color w:val="2D3243"/>
              </w:rPr>
              <w:t>Audit fees</w:t>
            </w:r>
            <w:r>
              <w:rPr>
                <w:rFonts w:ascii="Arial" w:cs="Arial" w:eastAsia="Arial" w:hAnsi="Arial"/>
                <w:sz w:val="18"/>
                <w:szCs w:val="18"/>
                <w:color w:val="2D3243"/>
                <w:vertAlign w:val="superscript"/>
              </w:rPr>
              <w:t>(1)</w:t>
            </w:r>
          </w:p>
        </w:tc>
        <w:tc>
          <w:tcPr>
            <w:tcW w:w="1480" w:type="dxa"/>
            <w:vAlign w:val="bottom"/>
          </w:tcPr>
          <w:p>
            <w:pPr>
              <w:jc w:val="right"/>
              <w:ind w:right="1308"/>
              <w:spacing w:after="0"/>
              <w:rPr>
                <w:sz w:val="20"/>
                <w:szCs w:val="20"/>
                <w:color w:val="auto"/>
              </w:rPr>
            </w:pPr>
            <w:r>
              <w:rPr>
                <w:rFonts w:ascii="Arial" w:cs="Arial" w:eastAsia="Arial" w:hAnsi="Arial"/>
                <w:sz w:val="14"/>
                <w:szCs w:val="14"/>
                <w:color w:val="2D3243"/>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2D3243"/>
              </w:rPr>
              <w:t>2,679</w:t>
            </w:r>
          </w:p>
        </w:tc>
        <w:tc>
          <w:tcPr>
            <w:tcW w:w="200" w:type="dxa"/>
            <w:vAlign w:val="bottom"/>
          </w:tcPr>
          <w:p>
            <w:pPr>
              <w:spacing w:after="0"/>
              <w:rPr>
                <w:sz w:val="19"/>
                <w:szCs w:val="19"/>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2D3243"/>
              </w:rPr>
              <w:t>$</w:t>
            </w:r>
          </w:p>
        </w:tc>
        <w:tc>
          <w:tcPr>
            <w:tcW w:w="1480" w:type="dxa"/>
            <w:vAlign w:val="bottom"/>
          </w:tcPr>
          <w:p>
            <w:pPr>
              <w:jc w:val="right"/>
              <w:spacing w:after="0"/>
              <w:rPr>
                <w:sz w:val="20"/>
                <w:szCs w:val="20"/>
                <w:color w:val="auto"/>
              </w:rPr>
            </w:pPr>
            <w:r>
              <w:rPr>
                <w:rFonts w:ascii="Arial" w:cs="Arial" w:eastAsia="Arial" w:hAnsi="Arial"/>
                <w:sz w:val="14"/>
                <w:szCs w:val="14"/>
                <w:color w:val="2D3243"/>
              </w:rPr>
              <w:t>2,234</w:t>
            </w:r>
          </w:p>
        </w:tc>
        <w:tc>
          <w:tcPr>
            <w:tcW w:w="100" w:type="dxa"/>
            <w:vAlign w:val="bottom"/>
          </w:tcPr>
          <w:p>
            <w:pPr>
              <w:spacing w:after="0"/>
              <w:rPr>
                <w:sz w:val="19"/>
                <w:szCs w:val="19"/>
                <w:color w:val="auto"/>
              </w:rPr>
            </w:pPr>
          </w:p>
        </w:tc>
      </w:tr>
      <w:tr>
        <w:trPr>
          <w:trHeight w:val="229"/>
        </w:trPr>
        <w:tc>
          <w:tcPr>
            <w:tcW w:w="6640" w:type="dxa"/>
            <w:vAlign w:val="bottom"/>
            <w:shd w:val="clear" w:color="auto" w:fill="F0F1F2"/>
          </w:tcPr>
          <w:p>
            <w:pPr>
              <w:ind w:left="100"/>
              <w:spacing w:after="0"/>
              <w:rPr>
                <w:sz w:val="20"/>
                <w:szCs w:val="20"/>
                <w:color w:val="auto"/>
              </w:rPr>
            </w:pPr>
            <w:r>
              <w:rPr>
                <w:rFonts w:ascii="Arial" w:cs="Arial" w:eastAsia="Arial" w:hAnsi="Arial"/>
                <w:sz w:val="14"/>
                <w:szCs w:val="14"/>
                <w:color w:val="2D3243"/>
              </w:rPr>
              <w:t>Tax fees</w:t>
            </w:r>
            <w:r>
              <w:rPr>
                <w:rFonts w:ascii="Arial" w:cs="Arial" w:eastAsia="Arial" w:hAnsi="Arial"/>
                <w:sz w:val="18"/>
                <w:szCs w:val="18"/>
                <w:color w:val="2D3243"/>
                <w:vertAlign w:val="superscript"/>
              </w:rPr>
              <w:t>(2)</w:t>
            </w:r>
          </w:p>
        </w:tc>
        <w:tc>
          <w:tcPr>
            <w:tcW w:w="1480" w:type="dxa"/>
            <w:vAlign w:val="bottom"/>
            <w:shd w:val="clear" w:color="auto" w:fill="F0F1F2"/>
          </w:tcPr>
          <w:p>
            <w:pPr>
              <w:spacing w:after="0"/>
              <w:rPr>
                <w:sz w:val="19"/>
                <w:szCs w:val="19"/>
                <w:color w:val="auto"/>
              </w:rPr>
            </w:pPr>
          </w:p>
        </w:tc>
        <w:tc>
          <w:tcPr>
            <w:tcW w:w="68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18</w:t>
            </w:r>
          </w:p>
        </w:tc>
        <w:tc>
          <w:tcPr>
            <w:tcW w:w="200" w:type="dxa"/>
            <w:vAlign w:val="bottom"/>
            <w:shd w:val="clear" w:color="auto" w:fill="F0F1F2"/>
          </w:tcPr>
          <w:p>
            <w:pPr>
              <w:spacing w:after="0"/>
              <w:rPr>
                <w:sz w:val="19"/>
                <w:szCs w:val="19"/>
                <w:color w:val="auto"/>
              </w:rPr>
            </w:pPr>
          </w:p>
        </w:tc>
        <w:tc>
          <w:tcPr>
            <w:tcW w:w="660" w:type="dxa"/>
            <w:vAlign w:val="bottom"/>
            <w:shd w:val="clear" w:color="auto" w:fill="F0F1F2"/>
          </w:tcPr>
          <w:p>
            <w:pPr>
              <w:spacing w:after="0"/>
              <w:rPr>
                <w:sz w:val="19"/>
                <w:szCs w:val="19"/>
                <w:color w:val="auto"/>
              </w:rPr>
            </w:pPr>
          </w:p>
        </w:tc>
        <w:tc>
          <w:tcPr>
            <w:tcW w:w="14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6</w:t>
            </w:r>
          </w:p>
        </w:tc>
        <w:tc>
          <w:tcPr>
            <w:tcW w:w="100" w:type="dxa"/>
            <w:vAlign w:val="bottom"/>
            <w:shd w:val="clear" w:color="auto" w:fill="F0F1F2"/>
          </w:tcPr>
          <w:p>
            <w:pPr>
              <w:spacing w:after="0"/>
              <w:rPr>
                <w:sz w:val="19"/>
                <w:szCs w:val="19"/>
                <w:color w:val="auto"/>
              </w:rPr>
            </w:pPr>
          </w:p>
        </w:tc>
      </w:tr>
      <w:tr>
        <w:trPr>
          <w:trHeight w:val="208"/>
        </w:trPr>
        <w:tc>
          <w:tcPr>
            <w:tcW w:w="6640" w:type="dxa"/>
            <w:vAlign w:val="bottom"/>
          </w:tcPr>
          <w:p>
            <w:pPr>
              <w:ind w:left="100"/>
              <w:spacing w:after="0"/>
              <w:rPr>
                <w:sz w:val="20"/>
                <w:szCs w:val="20"/>
                <w:color w:val="auto"/>
              </w:rPr>
            </w:pPr>
            <w:r>
              <w:rPr>
                <w:rFonts w:ascii="Arial" w:cs="Arial" w:eastAsia="Arial" w:hAnsi="Arial"/>
                <w:sz w:val="14"/>
                <w:szCs w:val="14"/>
                <w:color w:val="2D3243"/>
              </w:rPr>
              <w:t>All other fees</w:t>
            </w:r>
          </w:p>
        </w:tc>
        <w:tc>
          <w:tcPr>
            <w:tcW w:w="14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2D3243"/>
              </w:rPr>
              <w:t>—</w:t>
            </w:r>
          </w:p>
        </w:tc>
        <w:tc>
          <w:tcPr>
            <w:tcW w:w="6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2D3243"/>
              </w:rPr>
              <w:t>—</w:t>
            </w:r>
          </w:p>
        </w:tc>
      </w:tr>
      <w:tr>
        <w:trPr>
          <w:trHeight w:val="22"/>
        </w:trPr>
        <w:tc>
          <w:tcPr>
            <w:tcW w:w="6640" w:type="dxa"/>
            <w:vAlign w:val="bottom"/>
            <w:tcBorders>
              <w:bottom w:val="single" w:sz="8" w:color="F0F1F2"/>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1F2"/>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1F2"/>
            </w:tcBorders>
          </w:tcPr>
          <w:p>
            <w:pPr>
              <w:spacing w:after="0" w:line="20" w:lineRule="exact"/>
              <w:rPr>
                <w:sz w:val="1"/>
                <w:szCs w:val="1"/>
                <w:color w:val="auto"/>
              </w:rPr>
            </w:pPr>
          </w:p>
        </w:tc>
      </w:tr>
      <w:tr>
        <w:trPr>
          <w:trHeight w:val="248"/>
        </w:trPr>
        <w:tc>
          <w:tcPr>
            <w:tcW w:w="664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Total fees</w:t>
            </w:r>
          </w:p>
        </w:tc>
        <w:tc>
          <w:tcPr>
            <w:tcW w:w="1480" w:type="dxa"/>
            <w:vAlign w:val="bottom"/>
            <w:tcBorders>
              <w:bottom w:val="single" w:sz="8" w:color="F0F1F2"/>
            </w:tcBorders>
            <w:shd w:val="clear" w:color="auto" w:fill="F0F1F2"/>
          </w:tcPr>
          <w:p>
            <w:pPr>
              <w:jc w:val="right"/>
              <w:ind w:right="1308"/>
              <w:spacing w:after="0"/>
              <w:rPr>
                <w:sz w:val="20"/>
                <w:szCs w:val="20"/>
                <w:color w:val="auto"/>
              </w:rPr>
            </w:pPr>
            <w:r>
              <w:rPr>
                <w:rFonts w:ascii="Arial" w:cs="Arial" w:eastAsia="Arial" w:hAnsi="Arial"/>
                <w:sz w:val="14"/>
                <w:szCs w:val="14"/>
                <w:color w:val="2D3243"/>
              </w:rPr>
              <w:t>$</w:t>
            </w:r>
          </w:p>
        </w:tc>
        <w:tc>
          <w:tcPr>
            <w:tcW w:w="680" w:type="dxa"/>
            <w:vAlign w:val="bottom"/>
            <w:tcBorders>
              <w:bottom w:val="single" w:sz="8" w:color="F0F1F2"/>
            </w:tcBorders>
            <w:shd w:val="clear" w:color="auto" w:fill="F0F1F2"/>
          </w:tcPr>
          <w:p>
            <w:pPr>
              <w:jc w:val="right"/>
              <w:ind w:right="8"/>
              <w:spacing w:after="0"/>
              <w:rPr>
                <w:sz w:val="20"/>
                <w:szCs w:val="20"/>
                <w:color w:val="auto"/>
              </w:rPr>
            </w:pPr>
            <w:r>
              <w:rPr>
                <w:rFonts w:ascii="Arial" w:cs="Arial" w:eastAsia="Arial" w:hAnsi="Arial"/>
                <w:sz w:val="14"/>
                <w:szCs w:val="14"/>
                <w:color w:val="2D3243"/>
              </w:rPr>
              <w:t>2,697</w:t>
            </w:r>
          </w:p>
        </w:tc>
        <w:tc>
          <w:tcPr>
            <w:tcW w:w="200" w:type="dxa"/>
            <w:vAlign w:val="bottom"/>
            <w:tcBorders>
              <w:bottom w:val="single" w:sz="8" w:color="F0F1F2"/>
            </w:tcBorders>
            <w:shd w:val="clear" w:color="auto" w:fill="F0F1F2"/>
          </w:tcPr>
          <w:p>
            <w:pPr>
              <w:spacing w:after="0"/>
              <w:rPr>
                <w:sz w:val="21"/>
                <w:szCs w:val="21"/>
                <w:color w:val="auto"/>
              </w:rPr>
            </w:pPr>
          </w:p>
        </w:tc>
        <w:tc>
          <w:tcPr>
            <w:tcW w:w="660" w:type="dxa"/>
            <w:vAlign w:val="bottom"/>
            <w:tcBorders>
              <w:bottom w:val="single" w:sz="8" w:color="F0F1F2"/>
            </w:tcBorders>
            <w:shd w:val="clear" w:color="auto" w:fill="F0F1F2"/>
          </w:tcPr>
          <w:p>
            <w:pPr>
              <w:jc w:val="right"/>
              <w:ind w:right="488"/>
              <w:spacing w:after="0"/>
              <w:rPr>
                <w:sz w:val="20"/>
                <w:szCs w:val="20"/>
                <w:color w:val="auto"/>
              </w:rPr>
            </w:pPr>
            <w:r>
              <w:rPr>
                <w:rFonts w:ascii="Arial" w:cs="Arial" w:eastAsia="Arial" w:hAnsi="Arial"/>
                <w:sz w:val="14"/>
                <w:szCs w:val="14"/>
                <w:color w:val="2D3243"/>
              </w:rPr>
              <w:t>$</w:t>
            </w:r>
          </w:p>
        </w:tc>
        <w:tc>
          <w:tcPr>
            <w:tcW w:w="148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2,240</w:t>
            </w:r>
          </w:p>
        </w:tc>
        <w:tc>
          <w:tcPr>
            <w:tcW w:w="100" w:type="dxa"/>
            <w:vAlign w:val="bottom"/>
            <w:tcBorders>
              <w:bottom w:val="single" w:sz="8" w:color="F0F1F2"/>
            </w:tcBorders>
            <w:shd w:val="clear" w:color="auto" w:fill="F0F1F2"/>
          </w:tcPr>
          <w:p>
            <w:pPr>
              <w:spacing w:after="0"/>
              <w:rPr>
                <w:sz w:val="21"/>
                <w:szCs w:val="21"/>
                <w:color w:val="auto"/>
              </w:rPr>
            </w:pPr>
          </w:p>
        </w:tc>
      </w:tr>
      <w:tr>
        <w:trPr>
          <w:trHeight w:val="20"/>
        </w:trPr>
        <w:tc>
          <w:tcPr>
            <w:tcW w:w="6640" w:type="dxa"/>
            <w:vAlign w:val="bottom"/>
            <w:tcBorders>
              <w:top w:val="single" w:sz="8" w:color="F0F1F2"/>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1F2"/>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1F2"/>
            </w:tcBorders>
          </w:tcPr>
          <w:p>
            <w:pPr>
              <w:spacing w:after="0" w:line="20" w:lineRule="exact"/>
              <w:rPr>
                <w:sz w:val="1"/>
                <w:szCs w:val="1"/>
                <w:color w:val="auto"/>
              </w:rPr>
            </w:pPr>
          </w:p>
        </w:tc>
      </w:tr>
      <w:tr>
        <w:trPr>
          <w:trHeight w:val="55"/>
        </w:trPr>
        <w:tc>
          <w:tcPr>
            <w:tcW w:w="6640" w:type="dxa"/>
            <w:vAlign w:val="bottom"/>
            <w:tcBorders>
              <w:bottom w:val="single" w:sz="8" w:color="0336FF"/>
            </w:tcBorders>
          </w:tcPr>
          <w:p>
            <w:pPr>
              <w:spacing w:after="0"/>
              <w:rPr>
                <w:sz w:val="4"/>
                <w:szCs w:val="4"/>
                <w:color w:val="auto"/>
              </w:rPr>
            </w:pPr>
          </w:p>
        </w:tc>
        <w:tc>
          <w:tcPr>
            <w:tcW w:w="1480" w:type="dxa"/>
            <w:vAlign w:val="bottom"/>
            <w:tcBorders>
              <w:bottom w:val="single" w:sz="8" w:color="0336FF"/>
            </w:tcBorders>
          </w:tcPr>
          <w:p>
            <w:pPr>
              <w:spacing w:after="0"/>
              <w:rPr>
                <w:sz w:val="4"/>
                <w:szCs w:val="4"/>
                <w:color w:val="auto"/>
              </w:rPr>
            </w:pPr>
          </w:p>
        </w:tc>
        <w:tc>
          <w:tcPr>
            <w:tcW w:w="680" w:type="dxa"/>
            <w:vAlign w:val="bottom"/>
            <w:tcBorders>
              <w:bottom w:val="single" w:sz="8" w:color="0336FF"/>
            </w:tcBorders>
          </w:tcPr>
          <w:p>
            <w:pPr>
              <w:spacing w:after="0"/>
              <w:rPr>
                <w:sz w:val="4"/>
                <w:szCs w:val="4"/>
                <w:color w:val="auto"/>
              </w:rPr>
            </w:pPr>
          </w:p>
        </w:tc>
        <w:tc>
          <w:tcPr>
            <w:tcW w:w="200" w:type="dxa"/>
            <w:vAlign w:val="bottom"/>
            <w:tcBorders>
              <w:bottom w:val="single" w:sz="8" w:color="0336FF"/>
            </w:tcBorders>
          </w:tcPr>
          <w:p>
            <w:pPr>
              <w:spacing w:after="0"/>
              <w:rPr>
                <w:sz w:val="4"/>
                <w:szCs w:val="4"/>
                <w:color w:val="auto"/>
              </w:rPr>
            </w:pPr>
          </w:p>
        </w:tc>
        <w:tc>
          <w:tcPr>
            <w:tcW w:w="660" w:type="dxa"/>
            <w:vAlign w:val="bottom"/>
            <w:tcBorders>
              <w:bottom w:val="single" w:sz="8" w:color="0336FF"/>
            </w:tcBorders>
          </w:tcPr>
          <w:p>
            <w:pPr>
              <w:spacing w:after="0"/>
              <w:rPr>
                <w:sz w:val="4"/>
                <w:szCs w:val="4"/>
                <w:color w:val="auto"/>
              </w:rPr>
            </w:pPr>
          </w:p>
        </w:tc>
        <w:tc>
          <w:tcPr>
            <w:tcW w:w="1480" w:type="dxa"/>
            <w:vAlign w:val="bottom"/>
            <w:tcBorders>
              <w:bottom w:val="single" w:sz="8" w:color="0336FF"/>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-873760</wp:posOffset>
            </wp:positionV>
            <wp:extent cx="2854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33" w:lineRule="exact"/>
        <w:rPr>
          <w:sz w:val="20"/>
          <w:szCs w:val="20"/>
          <w:color w:val="auto"/>
        </w:rPr>
      </w:pPr>
    </w:p>
    <w:p>
      <w:pPr>
        <w:ind w:left="340" w:right="400" w:hanging="332"/>
        <w:spacing w:after="0" w:line="362" w:lineRule="auto"/>
        <w:tabs>
          <w:tab w:leader="none" w:pos="338" w:val="left"/>
        </w:tabs>
        <w:numPr>
          <w:ilvl w:val="0"/>
          <w:numId w:val="24"/>
        </w:numPr>
        <w:rPr>
          <w:rFonts w:ascii="Arial" w:cs="Arial" w:eastAsia="Arial" w:hAnsi="Arial"/>
          <w:sz w:val="14"/>
          <w:szCs w:val="14"/>
          <w:color w:val="2D3243"/>
        </w:rPr>
      </w:pPr>
      <w:r>
        <w:rPr>
          <w:rFonts w:ascii="Arial" w:cs="Arial" w:eastAsia="Arial" w:hAnsi="Arial"/>
          <w:sz w:val="14"/>
          <w:szCs w:val="14"/>
          <w:color w:val="2D3243"/>
        </w:rPr>
        <w:t>Represents fees for professional services rendered for the audit of our annual financial statements, review of our quarterly financial statements, international statutory audits, and work performed in connection with registration statements.</w:t>
      </w:r>
    </w:p>
    <w:p>
      <w:pPr>
        <w:ind w:left="340" w:hanging="332"/>
        <w:spacing w:after="0"/>
        <w:tabs>
          <w:tab w:leader="none" w:pos="340" w:val="left"/>
        </w:tabs>
        <w:numPr>
          <w:ilvl w:val="0"/>
          <w:numId w:val="24"/>
        </w:numPr>
        <w:rPr>
          <w:rFonts w:ascii="Arial" w:cs="Arial" w:eastAsia="Arial" w:hAnsi="Arial"/>
          <w:sz w:val="14"/>
          <w:szCs w:val="14"/>
          <w:color w:val="2D3243"/>
        </w:rPr>
      </w:pPr>
      <w:r>
        <w:rPr>
          <w:rFonts w:ascii="Arial" w:cs="Arial" w:eastAsia="Arial" w:hAnsi="Arial"/>
          <w:sz w:val="14"/>
          <w:szCs w:val="14"/>
          <w:color w:val="2D3243"/>
        </w:rPr>
        <w:t>Represents fees for tax compliance and consulting services performed.</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Pre-Approval Policies and Procedures</w:t>
      </w:r>
    </w:p>
    <w:p>
      <w:pPr>
        <w:spacing w:after="0" w:line="193"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2D3243"/>
        </w:rPr>
        <w:t>The Audit Committee’s policy is to pre-approve all audit and permissible non-audit services rendered by KPMG LLP, our independent registered public accounting firm, and related fees. The Audit Committee can pre-approve specified services in defined categories of audit services, audit-related services, tax services and related fees up to specified amounts, as part of the Audit Committee’s approval of the scope of the engagement of KPMG LLP or on an individual case-by-case basis before KPMG LLP is engaged to provide a service. Additionally, the Audit Committee Chair is authorized to pre-approve audit and non-audit services and the fees therefor if (i) they are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32</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0" w:name="page41"/>
    <w:bookmarkEnd w:id="40"/>
    <w:p>
      <w:pPr>
        <w:ind w:left="20"/>
        <w:spacing w:after="0"/>
        <w:tabs>
          <w:tab w:leader="none" w:pos="10060" w:val="left"/>
        </w:tabs>
        <w:rPr>
          <w:sz w:val="20"/>
          <w:szCs w:val="20"/>
          <w:color w:val="auto"/>
        </w:rPr>
      </w:pPr>
      <w:r>
        <w:rPr>
          <w:rFonts w:ascii="Arial" w:cs="Arial" w:eastAsia="Arial" w:hAnsi="Arial"/>
          <w:sz w:val="14"/>
          <w:szCs w:val="14"/>
          <w:color w:val="2D3243"/>
        </w:rPr>
        <w:t>Proposal 4</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2D3243"/>
        </w:rPr>
        <w:t>individually less than or equal to $50,000, (ii) the Audit Committee Chair reports such approvals to the Audit Committee at its next regular meeting thereafter and (iii) KPMG LLP confirms that such services will not impact KPMG LLP’s independence. All audit, audit-related and tax services were pre-approved by the Audit Committee or Audit Committee Chair (as set forth above). The Audit Committee has determined that, subject to reasonable limits, the rendering of the services other than audit services by KPMG LLP is compatible with maintaining the independent registered public accounting firm’s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118745</wp:posOffset>
            </wp:positionV>
            <wp:extent cx="488315"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8315" cy="68580"/>
                    </a:xfrm>
                    <a:prstGeom prst="rect">
                      <a:avLst/>
                    </a:prstGeom>
                    <a:noFill/>
                  </pic:spPr>
                </pic:pic>
              </a:graphicData>
            </a:graphic>
          </wp:anchor>
        </w:drawing>
      </w:r>
    </w:p>
    <w:p>
      <w:pPr>
        <w:spacing w:after="0" w:line="30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0336FF"/>
        </w:rPr>
        <w:t>VOTE</w:t>
      </w:r>
    </w:p>
    <w:p>
      <w:pPr>
        <w:spacing w:after="0" w:line="98" w:lineRule="exact"/>
        <w:rPr>
          <w:sz w:val="20"/>
          <w:szCs w:val="20"/>
          <w:color w:val="auto"/>
        </w:rPr>
      </w:pPr>
    </w:p>
    <w:p>
      <w:pPr>
        <w:ind w:left="100" w:right="580"/>
        <w:spacing w:after="0" w:line="348" w:lineRule="auto"/>
        <w:rPr>
          <w:sz w:val="20"/>
          <w:szCs w:val="20"/>
          <w:color w:val="auto"/>
        </w:rPr>
      </w:pPr>
      <w:r>
        <w:rPr>
          <w:rFonts w:ascii="Arial" w:cs="Arial" w:eastAsia="Arial" w:hAnsi="Arial"/>
          <w:sz w:val="20"/>
          <w:szCs w:val="20"/>
          <w:b w:val="1"/>
          <w:bCs w:val="1"/>
          <w:color w:val="2D3243"/>
        </w:rPr>
        <w:t xml:space="preserve">The Board of Directors Recommends a Vote </w:t>
      </w:r>
      <w:r>
        <w:rPr>
          <w:rFonts w:ascii="Arial" w:cs="Arial" w:eastAsia="Arial" w:hAnsi="Arial"/>
          <w:sz w:val="21"/>
          <w:szCs w:val="21"/>
          <w:b w:val="1"/>
          <w:bCs w:val="1"/>
          <w:color w:val="0336FF"/>
        </w:rPr>
        <w:t>“FOR”</w:t>
      </w:r>
      <w:r>
        <w:rPr>
          <w:rFonts w:ascii="Arial" w:cs="Arial" w:eastAsia="Arial" w:hAnsi="Arial"/>
          <w:sz w:val="20"/>
          <w:szCs w:val="20"/>
          <w:b w:val="1"/>
          <w:bCs w:val="1"/>
          <w:color w:val="2D3243"/>
        </w:rPr>
        <w:t xml:space="preserve"> the Ratification of the Appointment of KPMG LLP As Five9’s Independent Registered Public Accounting Firm for Its Fiscal Year Ending December 31, 2024.</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Audit Committee Report</w:t>
      </w:r>
    </w:p>
    <w:p>
      <w:pPr>
        <w:spacing w:after="0" w:line="207"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2D3243"/>
        </w:rPr>
        <w:t>The Audit Committee of the Board of Directors currently consists of the four non-employee directors named below. The Board of Directors annually reviews the NASDAQ listing standards’ definition of independence for Audit Committee members and has determined that each member of the Audit Committee meets that standard. The Board of Directors has also determined that Mr. Acosta is an audit committee financial expert as described in applicable rules and regulations of the SEC.</w:t>
      </w:r>
    </w:p>
    <w:p>
      <w:pPr>
        <w:spacing w:after="0" w:line="124"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2D3243"/>
        </w:rPr>
        <w:t>The principal purpose of the Audit Committee is to assist the Board of Directors in its general oversight of the Company’s accounting practices, system of internal controls, audit processes and financial reporting processes. The Audit Committee is responsible for appointing and retaining our independent registered public accounting firm and approving the audit and non-audit services to be provided by the independent registered public accounting firm. The Audit Committee’s function is more fully described in the Audit Committee Charter, which the Board of Directors has adopted and which the Audit Committee reviews on an annual basis.</w:t>
      </w:r>
    </w:p>
    <w:p>
      <w:pPr>
        <w:spacing w:after="0" w:line="124"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2D3243"/>
        </w:rPr>
        <w:t>The Company’s management is responsible for preparing our consolidated financial statements in accordance with generally accepted accounting principles in the United States (“U.S. GAAP”). KPMG LLP, our independent registered public accounting firm, is responsible for performing an independent audit of our consolidated financial statements and internal control over financial reporting and expressing an opinion as to whether those consolidated financial statements fairly present, in all material respects, the financial position, results of operations and cash flows of the Company in conformity with U.S. GAAP.</w:t>
      </w:r>
    </w:p>
    <w:p>
      <w:pPr>
        <w:spacing w:after="0" w:line="119" w:lineRule="exact"/>
        <w:rPr>
          <w:sz w:val="20"/>
          <w:szCs w:val="20"/>
          <w:color w:val="auto"/>
        </w:rPr>
      </w:pPr>
    </w:p>
    <w:p>
      <w:pPr>
        <w:ind w:right="440"/>
        <w:spacing w:after="0" w:line="374" w:lineRule="auto"/>
        <w:rPr>
          <w:sz w:val="20"/>
          <w:szCs w:val="20"/>
          <w:color w:val="auto"/>
        </w:rPr>
      </w:pPr>
      <w:r>
        <w:rPr>
          <w:rFonts w:ascii="Arial" w:cs="Arial" w:eastAsia="Arial" w:hAnsi="Arial"/>
          <w:sz w:val="16"/>
          <w:szCs w:val="16"/>
          <w:color w:val="2D3243"/>
        </w:rPr>
        <w:t>The Audit Committee has reviewed and discussed with our management the audited consolidated financial statements of the Company included in our Annual Report on Form 10-K for the fiscal year ended December 31, 2023 (the “10-K”).</w:t>
      </w:r>
    </w:p>
    <w:p>
      <w:pPr>
        <w:spacing w:after="0" w:line="102" w:lineRule="exact"/>
        <w:rPr>
          <w:sz w:val="20"/>
          <w:szCs w:val="20"/>
          <w:color w:val="auto"/>
        </w:rPr>
      </w:pPr>
    </w:p>
    <w:p>
      <w:pPr>
        <w:ind w:right="140"/>
        <w:spacing w:after="0" w:line="346" w:lineRule="auto"/>
        <w:rPr>
          <w:sz w:val="20"/>
          <w:szCs w:val="20"/>
          <w:color w:val="auto"/>
        </w:rPr>
      </w:pPr>
      <w:r>
        <w:rPr>
          <w:rFonts w:ascii="Arial" w:cs="Arial" w:eastAsia="Arial" w:hAnsi="Arial"/>
          <w:sz w:val="16"/>
          <w:szCs w:val="16"/>
          <w:color w:val="2D3243"/>
        </w:rPr>
        <w:t>The Audit Committee has also reviewed and discussed with KPMG LLP the audited consolidated financial statements in the 10-K and the audit results. In addition, the Audit Committee discussed with KPMG LLP the matters required to be discussed by Public Company Accounting Oversight Board (“PCAOB”) Auditing Standard No. 1301 “Communication with Audit Committees”, Rule 2-07 “Communication with Audit Committees” of Regulation S-X, and other PCAOB Rules and Standards. The Audit Committee also received from and discussed with KPMG LLP the written disclosures, as required by PCAOB Ethics and Independence Rule 3526 “Communication with Audit Committees Concerning Independence,” and discussed KPMG LLP’s independence with them. Upon completing these activities, the Audit Committee concluded that KPMG LLP is independent from the Company and its management.</w:t>
      </w:r>
    </w:p>
    <w:p>
      <w:pPr>
        <w:spacing w:after="0" w:line="137" w:lineRule="exact"/>
        <w:rPr>
          <w:sz w:val="20"/>
          <w:szCs w:val="20"/>
          <w:color w:val="auto"/>
        </w:rPr>
      </w:pPr>
    </w:p>
    <w:p>
      <w:pPr>
        <w:ind w:right="580"/>
        <w:spacing w:after="0" w:line="374" w:lineRule="auto"/>
        <w:rPr>
          <w:sz w:val="20"/>
          <w:szCs w:val="20"/>
          <w:color w:val="auto"/>
        </w:rPr>
      </w:pPr>
      <w:r>
        <w:rPr>
          <w:rFonts w:ascii="Arial" w:cs="Arial" w:eastAsia="Arial" w:hAnsi="Arial"/>
          <w:sz w:val="16"/>
          <w:szCs w:val="16"/>
          <w:color w:val="2D3243"/>
        </w:rPr>
        <w:t>Based upon the review and discussions described above, the Audit Committee recommended to the Board of Directors that the audited consolidated financial statements be included in the Company’s 10-K and filed with the Securities and Exchange Commission.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Submitted by the Audit Committee of the Board of Directors: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2D3243"/>
        </w:rPr>
        <w:t>Jack Acosta (Chair)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Susan Barsamian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Michael Burdiek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2D3243"/>
        </w:rPr>
        <w:t>Jonathan Mariner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33</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1" w:name="page42"/>
    <w:bookmarkEnd w:id="41"/>
    <w:p>
      <w:pPr>
        <w:jc w:val="right"/>
        <w:ind w:right="2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58"/>
          <w:szCs w:val="58"/>
          <w:color w:val="2D3243"/>
        </w:rPr>
        <w:t>Executive Officers</w:t>
      </w:r>
    </w:p>
    <w:p>
      <w:pPr>
        <w:spacing w:after="0" w:line="200" w:lineRule="exact"/>
        <w:rPr>
          <w:sz w:val="20"/>
          <w:szCs w:val="20"/>
          <w:color w:val="auto"/>
        </w:rPr>
      </w:pPr>
    </w:p>
    <w:p>
      <w:pPr>
        <w:spacing w:after="0" w:line="252" w:lineRule="exact"/>
        <w:rPr>
          <w:sz w:val="20"/>
          <w:szCs w:val="20"/>
          <w:color w:val="auto"/>
        </w:rPr>
      </w:pPr>
    </w:p>
    <w:p>
      <w:pPr>
        <w:ind w:right="140"/>
        <w:spacing w:after="0" w:line="352" w:lineRule="auto"/>
        <w:rPr>
          <w:sz w:val="20"/>
          <w:szCs w:val="20"/>
          <w:color w:val="auto"/>
        </w:rPr>
      </w:pPr>
      <w:r>
        <w:rPr>
          <w:rFonts w:ascii="Arial" w:cs="Arial" w:eastAsia="Arial" w:hAnsi="Arial"/>
          <w:sz w:val="16"/>
          <w:szCs w:val="16"/>
          <w:color w:val="2D3243"/>
        </w:rPr>
        <w:t>The following table sets forth the names, ages and positions of our executive officers who are not also directors of Five9 as of April 1, 2024, the date of this Proxy Statement.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520" w:type="dxa"/>
            <w:vAlign w:val="bottom"/>
            <w:shd w:val="clear" w:color="auto" w:fill="0336FF"/>
          </w:tcPr>
          <w:p>
            <w:pPr>
              <w:ind w:left="20"/>
              <w:spacing w:after="0"/>
              <w:rPr>
                <w:sz w:val="20"/>
                <w:szCs w:val="20"/>
                <w:color w:val="auto"/>
              </w:rPr>
            </w:pPr>
            <w:r>
              <w:rPr>
                <w:rFonts w:ascii="Arial" w:cs="Arial" w:eastAsia="Arial" w:hAnsi="Arial"/>
                <w:sz w:val="14"/>
                <w:szCs w:val="14"/>
                <w:b w:val="1"/>
                <w:bCs w:val="1"/>
                <w:color w:val="FFFFFF"/>
              </w:rPr>
              <w:t>Age</w:t>
            </w:r>
          </w:p>
        </w:tc>
        <w:tc>
          <w:tcPr>
            <w:tcW w:w="4620" w:type="dxa"/>
            <w:vAlign w:val="bottom"/>
            <w:shd w:val="clear" w:color="auto" w:fill="0336FF"/>
          </w:tcPr>
          <w:p>
            <w:pPr>
              <w:ind w:left="240"/>
              <w:spacing w:after="0"/>
              <w:rPr>
                <w:sz w:val="20"/>
                <w:szCs w:val="20"/>
                <w:color w:val="auto"/>
              </w:rPr>
            </w:pPr>
            <w:r>
              <w:rPr>
                <w:rFonts w:ascii="Arial" w:cs="Arial" w:eastAsia="Arial" w:hAnsi="Arial"/>
                <w:sz w:val="14"/>
                <w:szCs w:val="14"/>
                <w:b w:val="1"/>
                <w:bCs w:val="1"/>
                <w:color w:val="FFFFFF"/>
              </w:rPr>
              <w:t>Positions</w:t>
            </w:r>
          </w:p>
        </w:tc>
      </w:tr>
      <w:tr>
        <w:trPr>
          <w:trHeight w:val="67"/>
        </w:trPr>
        <w:tc>
          <w:tcPr>
            <w:tcW w:w="6100" w:type="dxa"/>
            <w:vAlign w:val="bottom"/>
            <w:shd w:val="clear" w:color="auto" w:fill="0336FF"/>
          </w:tcPr>
          <w:p>
            <w:pPr>
              <w:spacing w:after="0"/>
              <w:rPr>
                <w:sz w:val="5"/>
                <w:szCs w:val="5"/>
                <w:color w:val="auto"/>
              </w:rPr>
            </w:pPr>
          </w:p>
        </w:tc>
        <w:tc>
          <w:tcPr>
            <w:tcW w:w="520" w:type="dxa"/>
            <w:vAlign w:val="bottom"/>
            <w:shd w:val="clear" w:color="auto" w:fill="0336FF"/>
          </w:tcPr>
          <w:p>
            <w:pPr>
              <w:spacing w:after="0"/>
              <w:rPr>
                <w:sz w:val="5"/>
                <w:szCs w:val="5"/>
                <w:color w:val="auto"/>
              </w:rPr>
            </w:pPr>
          </w:p>
        </w:tc>
        <w:tc>
          <w:tcPr>
            <w:tcW w:w="4620" w:type="dxa"/>
            <w:vAlign w:val="bottom"/>
            <w:shd w:val="clear" w:color="auto" w:fill="0336FF"/>
          </w:tcPr>
          <w:p>
            <w:pPr>
              <w:spacing w:after="0"/>
              <w:rPr>
                <w:sz w:val="5"/>
                <w:szCs w:val="5"/>
                <w:color w:val="auto"/>
              </w:rPr>
            </w:pPr>
          </w:p>
        </w:tc>
      </w:tr>
      <w:tr>
        <w:trPr>
          <w:trHeight w:val="222"/>
        </w:trPr>
        <w:tc>
          <w:tcPr>
            <w:tcW w:w="6100" w:type="dxa"/>
            <w:vAlign w:val="bottom"/>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520" w:type="dxa"/>
            <w:vAlign w:val="bottom"/>
          </w:tcPr>
          <w:p>
            <w:pPr>
              <w:ind w:left="20"/>
              <w:spacing w:after="0"/>
              <w:rPr>
                <w:sz w:val="20"/>
                <w:szCs w:val="20"/>
                <w:color w:val="auto"/>
              </w:rPr>
            </w:pPr>
            <w:r>
              <w:rPr>
                <w:rFonts w:ascii="Arial" w:cs="Arial" w:eastAsia="Arial" w:hAnsi="Arial"/>
                <w:sz w:val="14"/>
                <w:szCs w:val="14"/>
                <w:color w:val="2D3243"/>
              </w:rPr>
              <w:t>75</w:t>
            </w:r>
          </w:p>
        </w:tc>
        <w:tc>
          <w:tcPr>
            <w:tcW w:w="4620" w:type="dxa"/>
            <w:vAlign w:val="bottom"/>
          </w:tcPr>
          <w:p>
            <w:pPr>
              <w:ind w:left="240"/>
              <w:spacing w:after="0"/>
              <w:rPr>
                <w:sz w:val="20"/>
                <w:szCs w:val="20"/>
                <w:color w:val="auto"/>
              </w:rPr>
            </w:pPr>
            <w:r>
              <w:rPr>
                <w:rFonts w:ascii="Arial" w:cs="Arial" w:eastAsia="Arial" w:hAnsi="Arial"/>
                <w:sz w:val="14"/>
                <w:szCs w:val="14"/>
                <w:color w:val="2D3243"/>
              </w:rPr>
              <w:t>Chief Financial Officer</w:t>
            </w:r>
          </w:p>
        </w:tc>
      </w:tr>
      <w:tr>
        <w:trPr>
          <w:trHeight w:val="237"/>
        </w:trPr>
        <w:tc>
          <w:tcPr>
            <w:tcW w:w="610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Daniel Burkland</w:t>
            </w:r>
          </w:p>
        </w:tc>
        <w:tc>
          <w:tcPr>
            <w:tcW w:w="52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59</w:t>
            </w:r>
          </w:p>
        </w:tc>
        <w:tc>
          <w:tcPr>
            <w:tcW w:w="4620" w:type="dxa"/>
            <w:vAlign w:val="bottom"/>
            <w:shd w:val="clear" w:color="auto" w:fill="F0F1F2"/>
          </w:tcPr>
          <w:p>
            <w:pPr>
              <w:ind w:left="240"/>
              <w:spacing w:after="0"/>
              <w:rPr>
                <w:sz w:val="20"/>
                <w:szCs w:val="20"/>
                <w:color w:val="auto"/>
              </w:rPr>
            </w:pPr>
            <w:r>
              <w:rPr>
                <w:rFonts w:ascii="Arial" w:cs="Arial" w:eastAsia="Arial" w:hAnsi="Arial"/>
                <w:sz w:val="14"/>
                <w:szCs w:val="14"/>
                <w:color w:val="2D3243"/>
              </w:rPr>
              <w:t>President and Chief Revenue Officer</w:t>
            </w:r>
          </w:p>
        </w:tc>
      </w:tr>
      <w:tr>
        <w:trPr>
          <w:trHeight w:val="222"/>
        </w:trPr>
        <w:tc>
          <w:tcPr>
            <w:tcW w:w="6100" w:type="dxa"/>
            <w:vAlign w:val="bottom"/>
          </w:tcPr>
          <w:p>
            <w:pPr>
              <w:ind w:left="100"/>
              <w:spacing w:after="0"/>
              <w:rPr>
                <w:sz w:val="20"/>
                <w:szCs w:val="20"/>
                <w:color w:val="auto"/>
              </w:rPr>
            </w:pPr>
            <w:r>
              <w:rPr>
                <w:rFonts w:ascii="Arial" w:cs="Arial" w:eastAsia="Arial" w:hAnsi="Arial"/>
                <w:sz w:val="14"/>
                <w:szCs w:val="14"/>
                <w:b w:val="1"/>
                <w:bCs w:val="1"/>
                <w:color w:val="2D3243"/>
              </w:rPr>
              <w:t>Andy Dignan</w:t>
            </w:r>
          </w:p>
        </w:tc>
        <w:tc>
          <w:tcPr>
            <w:tcW w:w="520" w:type="dxa"/>
            <w:vAlign w:val="bottom"/>
          </w:tcPr>
          <w:p>
            <w:pPr>
              <w:ind w:left="20"/>
              <w:spacing w:after="0"/>
              <w:rPr>
                <w:sz w:val="20"/>
                <w:szCs w:val="20"/>
                <w:color w:val="auto"/>
              </w:rPr>
            </w:pPr>
            <w:r>
              <w:rPr>
                <w:rFonts w:ascii="Arial" w:cs="Arial" w:eastAsia="Arial" w:hAnsi="Arial"/>
                <w:sz w:val="14"/>
                <w:szCs w:val="14"/>
                <w:color w:val="2D3243"/>
              </w:rPr>
              <w:t>46</w:t>
            </w:r>
          </w:p>
        </w:tc>
        <w:tc>
          <w:tcPr>
            <w:tcW w:w="4620" w:type="dxa"/>
            <w:vAlign w:val="bottom"/>
          </w:tcPr>
          <w:p>
            <w:pPr>
              <w:ind w:left="240"/>
              <w:spacing w:after="0"/>
              <w:rPr>
                <w:sz w:val="20"/>
                <w:szCs w:val="20"/>
                <w:color w:val="auto"/>
              </w:rPr>
            </w:pPr>
            <w:r>
              <w:rPr>
                <w:rFonts w:ascii="Arial" w:cs="Arial" w:eastAsia="Arial" w:hAnsi="Arial"/>
                <w:sz w:val="14"/>
                <w:szCs w:val="14"/>
                <w:color w:val="2D3243"/>
              </w:rPr>
              <w:t>Chief Operating Officer</w:t>
            </w:r>
          </w:p>
        </w:tc>
      </w:tr>
      <w:tr>
        <w:trPr>
          <w:trHeight w:val="231"/>
        </w:trPr>
        <w:tc>
          <w:tcPr>
            <w:tcW w:w="6100" w:type="dxa"/>
            <w:vAlign w:val="bottom"/>
            <w:tcBorders>
              <w:bottom w:val="single" w:sz="8" w:color="0336FF"/>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Panos Kozanian</w:t>
            </w:r>
          </w:p>
        </w:tc>
        <w:tc>
          <w:tcPr>
            <w:tcW w:w="520" w:type="dxa"/>
            <w:vAlign w:val="bottom"/>
            <w:tcBorders>
              <w:bottom w:val="single" w:sz="8" w:color="0336FF"/>
            </w:tcBorders>
            <w:shd w:val="clear" w:color="auto" w:fill="F0F1F2"/>
          </w:tcPr>
          <w:p>
            <w:pPr>
              <w:ind w:left="20"/>
              <w:spacing w:after="0"/>
              <w:rPr>
                <w:sz w:val="20"/>
                <w:szCs w:val="20"/>
                <w:color w:val="auto"/>
              </w:rPr>
            </w:pPr>
            <w:r>
              <w:rPr>
                <w:rFonts w:ascii="Arial" w:cs="Arial" w:eastAsia="Arial" w:hAnsi="Arial"/>
                <w:sz w:val="14"/>
                <w:szCs w:val="14"/>
                <w:color w:val="2D3243"/>
              </w:rPr>
              <w:t>43</w:t>
            </w:r>
          </w:p>
        </w:tc>
        <w:tc>
          <w:tcPr>
            <w:tcW w:w="4620" w:type="dxa"/>
            <w:vAlign w:val="bottom"/>
            <w:tcBorders>
              <w:bottom w:val="single" w:sz="8" w:color="0336FF"/>
            </w:tcBorders>
            <w:shd w:val="clear" w:color="auto" w:fill="F0F1F2"/>
          </w:tcPr>
          <w:p>
            <w:pPr>
              <w:ind w:left="240"/>
              <w:spacing w:after="0"/>
              <w:rPr>
                <w:sz w:val="20"/>
                <w:szCs w:val="20"/>
                <w:color w:val="auto"/>
              </w:rPr>
            </w:pPr>
            <w:r>
              <w:rPr>
                <w:rFonts w:ascii="Arial" w:cs="Arial" w:eastAsia="Arial" w:hAnsi="Arial"/>
                <w:sz w:val="14"/>
                <w:szCs w:val="14"/>
                <w:color w:val="2D3243"/>
              </w:rPr>
              <w:t>Executive Vice President, Product Engineering</w:t>
            </w:r>
          </w:p>
        </w:tc>
      </w:tr>
    </w:tbl>
    <w:p>
      <w:pPr>
        <w:spacing w:after="0" w:line="242"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b w:val="1"/>
          <w:bCs w:val="1"/>
          <w:color w:val="2D3243"/>
        </w:rPr>
        <w:t>Barry Zwarenstein</w:t>
      </w:r>
      <w:r>
        <w:rPr>
          <w:rFonts w:ascii="Arial" w:cs="Arial" w:eastAsia="Arial" w:hAnsi="Arial"/>
          <w:sz w:val="16"/>
          <w:szCs w:val="16"/>
          <w:color w:val="2D3243"/>
        </w:rPr>
        <w:t>, age 75, has served as our Chief Financial Officer since January 2012 and was our Interim CEO from December 2017 to May 2018.</w:t>
      </w:r>
      <w:r>
        <w:rPr>
          <w:rFonts w:ascii="Arial" w:cs="Arial" w:eastAsia="Arial" w:hAnsi="Arial"/>
          <w:sz w:val="16"/>
          <w:szCs w:val="16"/>
          <w:b w:val="1"/>
          <w:bCs w:val="1"/>
          <w:color w:val="2D3243"/>
        </w:rPr>
        <w:t xml:space="preserve"> </w:t>
      </w:r>
      <w:r>
        <w:rPr>
          <w:rFonts w:ascii="Arial" w:cs="Arial" w:eastAsia="Arial" w:hAnsi="Arial"/>
          <w:sz w:val="16"/>
          <w:szCs w:val="16"/>
          <w:color w:val="2D3243"/>
        </w:rPr>
        <w:t>From September 2008 to November 2011, Mr. Zwarenstein served as Senior Vice President and Chief Financial Officer of SMART Modular Technologies, Inc., a designer, manufacturer and supplier of electronic subsystems to original equipment manufacturers that was acquired by Silver Lake Partners in August 2011. From July 2004 through August 2008, Mr. Zwarenstein served as Chief Financial Officer of VeriFone Holdings, Inc., a provider of point-of-sale systems. From November 2001 to June 2004, Mr. Zwarenstein served as Chief Financial Officer of Iomega Corporation, a provider of storage and network security systems. From January 2001 to June 2001, Mr. Zwarenstein served as Vice President and Chief Financial Officer of Mellanox Technologies Ltd., a fabless semiconductor company. From October 1998 to December 2000, Mr. Zwarenstein served as Chief Financial Officer of Acuson Corporation, a medical ultrasound company that was acquired by Siemens AG in 2000. From July 1996 to September 1998, Mr. Zwarenstein served as Chief Financial Officer of Logitech International S.A., a provider of peripherals for computers and other digital platforms. Since September 2020, Mr. Zwarenstein has served on the board of directors of ON24, Inc., a provider of webinar, virtual event and multimedia products and services. Since December 2019, Mr. Zwarenstein has served on the board of directors of JFrog Ltd., a provider of end-to-end solutions for universal artifact management for DevOps acceleration. From November 2007 to October 2015, Mr. Zwarenstein served on the board of directors of Dealertrack Technologies, Inc., a provider of subscription-based software for the automotive retail industry that was acquired by Cox Automotive, Inc. in October 2015. Mr. Zwarenstein holds a Bachelor of Commerce degree from the University of KwaZulu-Natal, South Africa, and an M.B.A. degree from the Wharton School at the University of Pennsylvania. He is qualified as a Chartered Accountant (South Africa).</w:t>
      </w:r>
    </w:p>
    <w:p>
      <w:pPr>
        <w:spacing w:after="0" w:line="129" w:lineRule="exact"/>
        <w:rPr>
          <w:sz w:val="20"/>
          <w:szCs w:val="20"/>
          <w:color w:val="auto"/>
        </w:rPr>
      </w:pPr>
    </w:p>
    <w:p>
      <w:pPr>
        <w:ind w:right="140"/>
        <w:spacing w:after="0" w:line="343" w:lineRule="auto"/>
        <w:rPr>
          <w:sz w:val="20"/>
          <w:szCs w:val="20"/>
          <w:color w:val="auto"/>
        </w:rPr>
      </w:pPr>
      <w:r>
        <w:rPr>
          <w:rFonts w:ascii="Arial" w:cs="Arial" w:eastAsia="Arial" w:hAnsi="Arial"/>
          <w:sz w:val="16"/>
          <w:szCs w:val="16"/>
          <w:b w:val="1"/>
          <w:bCs w:val="1"/>
          <w:color w:val="2D3243"/>
        </w:rPr>
        <w:t xml:space="preserve">Daniel Burkland, </w:t>
      </w:r>
      <w:r>
        <w:rPr>
          <w:rFonts w:ascii="Arial" w:cs="Arial" w:eastAsia="Arial" w:hAnsi="Arial"/>
          <w:sz w:val="16"/>
          <w:szCs w:val="16"/>
          <w:color w:val="2D3243"/>
        </w:rPr>
        <w:t>age 59, has served as our President and Chief Revenue Officer since June 2022. Prior to that, Daniel Burkland served as our President</w:t>
      </w:r>
      <w:r>
        <w:rPr>
          <w:rFonts w:ascii="Arial" w:cs="Arial" w:eastAsia="Arial" w:hAnsi="Arial"/>
          <w:sz w:val="16"/>
          <w:szCs w:val="16"/>
          <w:b w:val="1"/>
          <w:bCs w:val="1"/>
          <w:color w:val="2D3243"/>
        </w:rPr>
        <w:t xml:space="preserve"> </w:t>
      </w:r>
      <w:r>
        <w:rPr>
          <w:rFonts w:ascii="Arial" w:cs="Arial" w:eastAsia="Arial" w:hAnsi="Arial"/>
          <w:sz w:val="16"/>
          <w:szCs w:val="16"/>
          <w:color w:val="2D3243"/>
        </w:rPr>
        <w:t>from December 2017, Executive Vice President of Global Sales and Services from October 2016 to December 2017, as our Executive Vice President of Global Sales and Business Development from March 2014 to October 2016, and as our Senior Vice President of Enterprise Sales and Business Development from December 2009 to February 2014. From April 2006 to November 2009, Daniel Burkland served as Senior Vice President of Sales at Transera Communications, Inc., a cloud contact center software company. From December 2003 to March 2006, Daniel Burkland served as Senior Vice President of Worldwide Sales of IP Unity, Inc., a provider of carrier-hosted unified communications and conferencing solutions. From August 1997 to November 2003, Daniel Burkland held various sales management roles with Cisco Systems, Inc. and GeoTel Communications LLC, which was acquired by Cisco in 1999. Daniel Burkland holds a B.S. degree from California State University at Chico. Daniel Burkland is the brother of Michael Burkland, our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34</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2" w:name="page43"/>
    <w:bookmarkEnd w:id="42"/>
    <w:p>
      <w:pPr>
        <w:ind w:left="20"/>
        <w:spacing w:after="0"/>
        <w:tabs>
          <w:tab w:leader="none" w:pos="10060" w:val="left"/>
        </w:tabs>
        <w:rPr>
          <w:sz w:val="20"/>
          <w:szCs w:val="20"/>
          <w:color w:val="auto"/>
        </w:rPr>
      </w:pPr>
      <w:r>
        <w:rPr>
          <w:rFonts w:ascii="Arial" w:cs="Arial" w:eastAsia="Arial" w:hAnsi="Arial"/>
          <w:sz w:val="14"/>
          <w:szCs w:val="14"/>
          <w:color w:val="2D3243"/>
        </w:rPr>
        <w:t>Executive Officers</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46" w:lineRule="auto"/>
        <w:rPr>
          <w:sz w:val="20"/>
          <w:szCs w:val="20"/>
          <w:color w:val="auto"/>
        </w:rPr>
      </w:pPr>
      <w:r>
        <w:rPr>
          <w:rFonts w:ascii="Arial" w:cs="Arial" w:eastAsia="Arial" w:hAnsi="Arial"/>
          <w:sz w:val="16"/>
          <w:szCs w:val="16"/>
          <w:b w:val="1"/>
          <w:bCs w:val="1"/>
          <w:color w:val="2D3243"/>
        </w:rPr>
        <w:t>Andy Dignan</w:t>
      </w:r>
      <w:r>
        <w:rPr>
          <w:rFonts w:ascii="Arial" w:cs="Arial" w:eastAsia="Arial" w:hAnsi="Arial"/>
          <w:sz w:val="16"/>
          <w:szCs w:val="16"/>
          <w:color w:val="2D3243"/>
        </w:rPr>
        <w:t>, age 46, has served as our Chief Operating Officer since November 2023. Prior to that, Mr. Dignan served as our Chief Customer Officer from</w:t>
      </w:r>
      <w:r>
        <w:rPr>
          <w:rFonts w:ascii="Arial" w:cs="Arial" w:eastAsia="Arial" w:hAnsi="Arial"/>
          <w:sz w:val="16"/>
          <w:szCs w:val="16"/>
          <w:b w:val="1"/>
          <w:bCs w:val="1"/>
          <w:color w:val="2D3243"/>
        </w:rPr>
        <w:t xml:space="preserve"> </w:t>
      </w:r>
      <w:r>
        <w:rPr>
          <w:rFonts w:ascii="Arial" w:cs="Arial" w:eastAsia="Arial" w:hAnsi="Arial"/>
          <w:sz w:val="16"/>
          <w:szCs w:val="16"/>
          <w:color w:val="2D3243"/>
        </w:rPr>
        <w:t>December 2022, and prior to that served in various executive positions within our company since his initial hire as Senior Vice President, Professional Services in September 2018. Prior to Five9, Mr. Dignan served as the Global Head of Collaboration &amp; Contact Center GTM at Cisco Systems, Inc., a networking, cloud, and cybersecurity solutions company from November 2014 to September 2018. Prior to Cisco, Mr. Dignan led the Collaboration &amp; Contact Center at CDW, an IT solutions and services company from 2007 to 2014. Mr. Dignan earned his B.S. degree in Marketing from Trinity International University.</w:t>
      </w:r>
    </w:p>
    <w:p>
      <w:pPr>
        <w:spacing w:after="0" w:line="123" w:lineRule="exact"/>
        <w:rPr>
          <w:sz w:val="20"/>
          <w:szCs w:val="20"/>
          <w:color w:val="auto"/>
        </w:rPr>
      </w:pPr>
    </w:p>
    <w:p>
      <w:pPr>
        <w:ind w:right="220"/>
        <w:spacing w:after="0" w:line="353" w:lineRule="auto"/>
        <w:rPr>
          <w:sz w:val="20"/>
          <w:szCs w:val="20"/>
          <w:color w:val="auto"/>
        </w:rPr>
      </w:pPr>
      <w:r>
        <w:rPr>
          <w:rFonts w:ascii="Arial" w:cs="Arial" w:eastAsia="Arial" w:hAnsi="Arial"/>
          <w:sz w:val="16"/>
          <w:szCs w:val="16"/>
          <w:b w:val="1"/>
          <w:bCs w:val="1"/>
          <w:color w:val="2D3243"/>
        </w:rPr>
        <w:t>Panos Kozanian</w:t>
      </w:r>
      <w:r>
        <w:rPr>
          <w:rFonts w:ascii="Arial" w:cs="Arial" w:eastAsia="Arial" w:hAnsi="Arial"/>
          <w:sz w:val="16"/>
          <w:szCs w:val="16"/>
          <w:color w:val="2D3243"/>
        </w:rPr>
        <w:t>, age 43, has served as our Executive Vice President of Product Engineering since July 2022. Prior to that, Mr. Kozanian served as our</w:t>
      </w:r>
      <w:r>
        <w:rPr>
          <w:rFonts w:ascii="Arial" w:cs="Arial" w:eastAsia="Arial" w:hAnsi="Arial"/>
          <w:sz w:val="16"/>
          <w:szCs w:val="16"/>
          <w:b w:val="1"/>
          <w:bCs w:val="1"/>
          <w:color w:val="2D3243"/>
        </w:rPr>
        <w:t xml:space="preserve"> </w:t>
      </w:r>
      <w:r>
        <w:rPr>
          <w:rFonts w:ascii="Arial" w:cs="Arial" w:eastAsia="Arial" w:hAnsi="Arial"/>
          <w:sz w:val="16"/>
          <w:szCs w:val="16"/>
          <w:color w:val="2D3243"/>
        </w:rPr>
        <w:t>Executive Vice President of Cloud Operations from February 2021. Prior to Five9, Mr. Kozanian spent 14 years at Cisco where he led the Webex platform team composed of DevOps, SRE, Data Center Operations, SysOps and Cloud Engineers with responsibility for the productivity, reliability, and operating budget of over 3,000 developers. Mr. Kozanian holds a B.S. degree in Computer Engineering from Santa Clara University.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35</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3" w:name="page44"/>
    <w:bookmarkEnd w:id="43"/>
    <w:p>
      <w:pPr>
        <w:ind w:left="1008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0"/>
        <w:spacing w:after="0" w:line="283" w:lineRule="auto"/>
        <w:rPr>
          <w:sz w:val="20"/>
          <w:szCs w:val="20"/>
          <w:color w:val="auto"/>
        </w:rPr>
      </w:pPr>
      <w:r>
        <w:rPr>
          <w:rFonts w:ascii="Arial" w:cs="Arial" w:eastAsia="Arial" w:hAnsi="Arial"/>
          <w:sz w:val="58"/>
          <w:szCs w:val="58"/>
          <w:color w:val="2D3243"/>
        </w:rPr>
        <w:t>Security Ownership Of Certain Beneficial Owners And Management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sets forth certain information known to us regarding beneficial ownership of our Common Stock as of March 18, 2024 by:</w:t>
      </w:r>
    </w:p>
    <w:p>
      <w:pPr>
        <w:spacing w:after="0" w:line="248"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16"/>
          <w:szCs w:val="16"/>
          <w:color w:val="2D3243"/>
        </w:rPr>
      </w:pPr>
      <w:r>
        <w:rPr>
          <w:rFonts w:ascii="Arial" w:cs="Arial" w:eastAsia="Arial" w:hAnsi="Arial"/>
          <w:sz w:val="16"/>
          <w:szCs w:val="16"/>
          <w:color w:val="2D3243"/>
        </w:rPr>
        <w:t>each person known by us to be the beneficial owner of more than 5% of any class of our voting securities;</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25"/>
        </w:numPr>
        <w:rPr>
          <w:rFonts w:ascii="Arial" w:cs="Arial" w:eastAsia="Arial" w:hAnsi="Arial"/>
          <w:sz w:val="16"/>
          <w:szCs w:val="16"/>
          <w:color w:val="2D3243"/>
        </w:rPr>
      </w:pPr>
      <w:r>
        <w:rPr>
          <w:rFonts w:ascii="Arial" w:cs="Arial" w:eastAsia="Arial" w:hAnsi="Arial"/>
          <w:sz w:val="16"/>
          <w:szCs w:val="16"/>
          <w:color w:val="2D3243"/>
        </w:rPr>
        <w:t>our named executive officers;</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25"/>
        </w:numPr>
        <w:rPr>
          <w:rFonts w:ascii="Arial" w:cs="Arial" w:eastAsia="Arial" w:hAnsi="Arial"/>
          <w:sz w:val="16"/>
          <w:szCs w:val="16"/>
          <w:color w:val="2D3243"/>
        </w:rPr>
      </w:pPr>
      <w:r>
        <w:rPr>
          <w:rFonts w:ascii="Arial" w:cs="Arial" w:eastAsia="Arial" w:hAnsi="Arial"/>
          <w:sz w:val="16"/>
          <w:szCs w:val="16"/>
          <w:color w:val="2D3243"/>
        </w:rPr>
        <w:t>each of our directors; and</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25"/>
        </w:numPr>
        <w:rPr>
          <w:rFonts w:ascii="Arial" w:cs="Arial" w:eastAsia="Arial" w:hAnsi="Arial"/>
          <w:sz w:val="16"/>
          <w:szCs w:val="16"/>
          <w:color w:val="2D3243"/>
        </w:rPr>
      </w:pPr>
      <w:r>
        <w:rPr>
          <w:rFonts w:ascii="Arial" w:cs="Arial" w:eastAsia="Arial" w:hAnsi="Arial"/>
          <w:sz w:val="16"/>
          <w:szCs w:val="16"/>
          <w:color w:val="2D3243"/>
        </w:rPr>
        <w:t>all current executive officers and directors as a group.</w:t>
      </w:r>
    </w:p>
    <w:p>
      <w:pPr>
        <w:spacing w:after="0" w:line="181" w:lineRule="exact"/>
        <w:rPr>
          <w:sz w:val="20"/>
          <w:szCs w:val="20"/>
          <w:color w:val="auto"/>
        </w:rPr>
      </w:pPr>
    </w:p>
    <w:p>
      <w:pPr>
        <w:spacing w:after="0" w:line="343" w:lineRule="auto"/>
        <w:rPr>
          <w:sz w:val="20"/>
          <w:szCs w:val="20"/>
          <w:color w:val="auto"/>
        </w:rPr>
      </w:pPr>
      <w:r>
        <w:rPr>
          <w:rFonts w:ascii="Arial" w:cs="Arial" w:eastAsia="Arial" w:hAnsi="Arial"/>
          <w:sz w:val="16"/>
          <w:szCs w:val="16"/>
          <w:color w:val="2D3243"/>
        </w:rPr>
        <w:t>Beneficial ownership is determined in accordance with the rules of the SEC, and generally includes voting power and/or investment power with respect to the securities held. Shares of Common Stock subject to options currently exercisable or exercisable within 60 days of March 18, 2024 and RSUs that vest within 60 days of March 18, 2024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this table and subject to applicable community property laws, to our knowledge the persons or entities named have sole voting and investment power with respect to all shares of our Common Stock shown as beneficially owned by them. Percentage beneficially owned is based on 73,844,927 shares of Common Stock outstanding on March 18, 2024 plus shares of Common Stock otherwise deemed outstanding under applicable SEC rules. The table below is based upon information supplied by officers, directors and principal stockholders and Schedules 13G filed with the SEC.</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36</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4" w:name="page45"/>
    <w:bookmarkEnd w:id="44"/>
    <w:p>
      <w:pPr>
        <w:ind w:left="20"/>
        <w:spacing w:after="0"/>
        <w:tabs>
          <w:tab w:leader="none" w:pos="10060" w:val="left"/>
        </w:tabs>
        <w:rPr>
          <w:sz w:val="20"/>
          <w:szCs w:val="20"/>
          <w:color w:val="auto"/>
        </w:rPr>
      </w:pPr>
      <w:r>
        <w:rPr>
          <w:rFonts w:ascii="Arial" w:cs="Arial" w:eastAsia="Arial" w:hAnsi="Arial"/>
          <w:sz w:val="14"/>
          <w:szCs w:val="14"/>
          <w:color w:val="2D3243"/>
        </w:rPr>
        <w:t>Security Ownership Of Certain Beneficial Owners And Management</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2D3243"/>
        </w:rPr>
        <w:t>Unless otherwise indicated, the principal address of each of the stockholders below is c/o Five9, Inc., 3001 Bishop Drive, Suite 350, San Ramon, CA 94583.</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0336FF"/>
          </w:tcPr>
          <w:p>
            <w:pPr>
              <w:spacing w:after="0"/>
              <w:rPr>
                <w:sz w:val="18"/>
                <w:szCs w:val="18"/>
                <w:color w:val="auto"/>
              </w:rPr>
            </w:pPr>
          </w:p>
        </w:tc>
        <w:tc>
          <w:tcPr>
            <w:tcW w:w="1280" w:type="dxa"/>
            <w:vAlign w:val="bottom"/>
            <w:shd w:val="clear" w:color="auto" w:fill="0336FF"/>
          </w:tcPr>
          <w:p>
            <w:pPr>
              <w:spacing w:after="0"/>
              <w:rPr>
                <w:sz w:val="18"/>
                <w:szCs w:val="18"/>
                <w:color w:val="auto"/>
              </w:rPr>
            </w:pPr>
          </w:p>
        </w:tc>
        <w:tc>
          <w:tcPr>
            <w:tcW w:w="420" w:type="dxa"/>
            <w:vAlign w:val="bottom"/>
            <w:shd w:val="clear" w:color="auto" w:fill="0336FF"/>
          </w:tcPr>
          <w:p>
            <w:pPr>
              <w:spacing w:after="0"/>
              <w:rPr>
                <w:sz w:val="18"/>
                <w:szCs w:val="18"/>
                <w:color w:val="auto"/>
              </w:rPr>
            </w:pPr>
          </w:p>
        </w:tc>
        <w:tc>
          <w:tcPr>
            <w:tcW w:w="2940" w:type="dxa"/>
            <w:vAlign w:val="bottom"/>
            <w:gridSpan w:val="2"/>
            <w:shd w:val="clear" w:color="auto" w:fill="0336FF"/>
          </w:tcPr>
          <w:p>
            <w:pPr>
              <w:jc w:val="right"/>
              <w:ind w:right="208"/>
              <w:spacing w:after="0"/>
              <w:rPr>
                <w:sz w:val="20"/>
                <w:szCs w:val="20"/>
                <w:color w:val="auto"/>
              </w:rPr>
            </w:pPr>
            <w:r>
              <w:rPr>
                <w:rFonts w:ascii="Arial" w:cs="Arial" w:eastAsia="Arial" w:hAnsi="Arial"/>
                <w:sz w:val="14"/>
                <w:szCs w:val="14"/>
                <w:b w:val="1"/>
                <w:bCs w:val="1"/>
                <w:color w:val="FFFFFF"/>
              </w:rPr>
              <w:t>Beneficial Ownership</w:t>
            </w:r>
          </w:p>
        </w:tc>
        <w:tc>
          <w:tcPr>
            <w:tcW w:w="1220" w:type="dxa"/>
            <w:vAlign w:val="bottom"/>
            <w:shd w:val="clear" w:color="auto" w:fill="0336FF"/>
          </w:tcPr>
          <w:p>
            <w:pPr>
              <w:spacing w:after="0"/>
              <w:rPr>
                <w:sz w:val="18"/>
                <w:szCs w:val="18"/>
                <w:color w:val="auto"/>
              </w:rPr>
            </w:pPr>
          </w:p>
        </w:tc>
        <w:tc>
          <w:tcPr>
            <w:tcW w:w="520" w:type="dxa"/>
            <w:vAlign w:val="bottom"/>
            <w:shd w:val="clear" w:color="auto" w:fill="0336FF"/>
          </w:tcPr>
          <w:p>
            <w:pPr>
              <w:spacing w:after="0"/>
              <w:rPr>
                <w:sz w:val="18"/>
                <w:szCs w:val="18"/>
                <w:color w:val="auto"/>
              </w:rPr>
            </w:pPr>
          </w:p>
        </w:tc>
        <w:tc>
          <w:tcPr>
            <w:tcW w:w="960" w:type="dxa"/>
            <w:vAlign w:val="bottom"/>
            <w:shd w:val="clear" w:color="auto" w:fill="0336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0336FF"/>
          </w:tcPr>
          <w:p>
            <w:pPr>
              <w:spacing w:after="0"/>
              <w:rPr>
                <w:sz w:val="19"/>
                <w:szCs w:val="19"/>
                <w:color w:val="auto"/>
              </w:rPr>
            </w:pPr>
          </w:p>
        </w:tc>
        <w:tc>
          <w:tcPr>
            <w:tcW w:w="1280" w:type="dxa"/>
            <w:vAlign w:val="bottom"/>
            <w:shd w:val="clear" w:color="auto" w:fill="0336FF"/>
          </w:tcPr>
          <w:p>
            <w:pPr>
              <w:spacing w:after="0"/>
              <w:rPr>
                <w:sz w:val="19"/>
                <w:szCs w:val="19"/>
                <w:color w:val="auto"/>
              </w:rPr>
            </w:pPr>
          </w:p>
        </w:tc>
        <w:tc>
          <w:tcPr>
            <w:tcW w:w="420" w:type="dxa"/>
            <w:vAlign w:val="bottom"/>
            <w:shd w:val="clear" w:color="auto" w:fill="0336FF"/>
          </w:tcPr>
          <w:p>
            <w:pPr>
              <w:spacing w:after="0"/>
              <w:rPr>
                <w:sz w:val="19"/>
                <w:szCs w:val="19"/>
                <w:color w:val="auto"/>
              </w:rPr>
            </w:pPr>
          </w:p>
        </w:tc>
        <w:tc>
          <w:tcPr>
            <w:tcW w:w="1620" w:type="dxa"/>
            <w:vAlign w:val="bottom"/>
            <w:shd w:val="clear" w:color="auto" w:fill="0336FF"/>
          </w:tcPr>
          <w:p>
            <w:pPr>
              <w:spacing w:after="0"/>
              <w:rPr>
                <w:sz w:val="19"/>
                <w:szCs w:val="19"/>
                <w:color w:val="auto"/>
              </w:rPr>
            </w:pPr>
          </w:p>
        </w:tc>
        <w:tc>
          <w:tcPr>
            <w:tcW w:w="1320" w:type="dxa"/>
            <w:vAlign w:val="bottom"/>
            <w:shd w:val="clear" w:color="auto" w:fill="0336FF"/>
          </w:tcPr>
          <w:p>
            <w:pPr>
              <w:spacing w:after="0"/>
              <w:rPr>
                <w:sz w:val="19"/>
                <w:szCs w:val="19"/>
                <w:color w:val="auto"/>
              </w:rPr>
            </w:pPr>
          </w:p>
        </w:tc>
        <w:tc>
          <w:tcPr>
            <w:tcW w:w="122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Total Number of</w:t>
            </w:r>
          </w:p>
        </w:tc>
        <w:tc>
          <w:tcPr>
            <w:tcW w:w="520" w:type="dxa"/>
            <w:vAlign w:val="bottom"/>
            <w:shd w:val="clear" w:color="auto" w:fill="0336FF"/>
          </w:tcPr>
          <w:p>
            <w:pPr>
              <w:spacing w:after="0"/>
              <w:rPr>
                <w:sz w:val="19"/>
                <w:szCs w:val="19"/>
                <w:color w:val="auto"/>
              </w:rPr>
            </w:pPr>
          </w:p>
        </w:tc>
        <w:tc>
          <w:tcPr>
            <w:tcW w:w="960" w:type="dxa"/>
            <w:vAlign w:val="bottom"/>
            <w:shd w:val="clear" w:color="auto" w:fill="0336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0336FF"/>
          </w:tcPr>
          <w:p>
            <w:pPr>
              <w:spacing w:after="0"/>
              <w:rPr>
                <w:sz w:val="15"/>
                <w:szCs w:val="15"/>
                <w:color w:val="auto"/>
              </w:rPr>
            </w:pPr>
          </w:p>
        </w:tc>
        <w:tc>
          <w:tcPr>
            <w:tcW w:w="1280" w:type="dxa"/>
            <w:vAlign w:val="bottom"/>
            <w:shd w:val="clear" w:color="auto" w:fill="0336FF"/>
          </w:tcPr>
          <w:p>
            <w:pPr>
              <w:spacing w:after="0"/>
              <w:rPr>
                <w:sz w:val="15"/>
                <w:szCs w:val="15"/>
                <w:color w:val="auto"/>
              </w:rPr>
            </w:pPr>
          </w:p>
        </w:tc>
        <w:tc>
          <w:tcPr>
            <w:tcW w:w="420" w:type="dxa"/>
            <w:vAlign w:val="bottom"/>
            <w:shd w:val="clear" w:color="auto" w:fill="0336FF"/>
          </w:tcPr>
          <w:p>
            <w:pPr>
              <w:spacing w:after="0"/>
              <w:rPr>
                <w:sz w:val="15"/>
                <w:szCs w:val="15"/>
                <w:color w:val="auto"/>
              </w:rPr>
            </w:pPr>
          </w:p>
        </w:tc>
        <w:tc>
          <w:tcPr>
            <w:tcW w:w="1620" w:type="dxa"/>
            <w:vAlign w:val="bottom"/>
            <w:shd w:val="clear" w:color="auto" w:fill="0336FF"/>
          </w:tcPr>
          <w:p>
            <w:pPr>
              <w:jc w:val="right"/>
              <w:ind w:right="128"/>
              <w:spacing w:after="0"/>
              <w:rPr>
                <w:sz w:val="20"/>
                <w:szCs w:val="20"/>
                <w:color w:val="auto"/>
              </w:rPr>
            </w:pPr>
            <w:r>
              <w:rPr>
                <w:rFonts w:ascii="Arial" w:cs="Arial" w:eastAsia="Arial" w:hAnsi="Arial"/>
                <w:sz w:val="14"/>
                <w:szCs w:val="14"/>
                <w:b w:val="1"/>
                <w:bCs w:val="1"/>
                <w:color w:val="FFFFFF"/>
              </w:rPr>
              <w:t>Options</w:t>
            </w:r>
          </w:p>
        </w:tc>
        <w:tc>
          <w:tcPr>
            <w:tcW w:w="1320" w:type="dxa"/>
            <w:vAlign w:val="bottom"/>
            <w:shd w:val="clear" w:color="auto" w:fill="0336FF"/>
          </w:tcPr>
          <w:p>
            <w:pPr>
              <w:spacing w:after="0"/>
              <w:rPr>
                <w:sz w:val="15"/>
                <w:szCs w:val="15"/>
                <w:color w:val="auto"/>
              </w:rPr>
            </w:pPr>
          </w:p>
        </w:tc>
        <w:tc>
          <w:tcPr>
            <w:tcW w:w="122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Shares</w:t>
            </w:r>
          </w:p>
        </w:tc>
        <w:tc>
          <w:tcPr>
            <w:tcW w:w="520" w:type="dxa"/>
            <w:vAlign w:val="bottom"/>
            <w:shd w:val="clear" w:color="auto" w:fill="0336FF"/>
          </w:tcPr>
          <w:p>
            <w:pPr>
              <w:spacing w:after="0"/>
              <w:rPr>
                <w:sz w:val="15"/>
                <w:szCs w:val="15"/>
                <w:color w:val="auto"/>
              </w:rPr>
            </w:pPr>
          </w:p>
        </w:tc>
        <w:tc>
          <w:tcPr>
            <w:tcW w:w="960" w:type="dxa"/>
            <w:vAlign w:val="bottom"/>
            <w:shd w:val="clear" w:color="auto" w:fill="0336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0336FF"/>
          </w:tcPr>
          <w:p>
            <w:pPr>
              <w:spacing w:after="0"/>
              <w:rPr>
                <w:sz w:val="15"/>
                <w:szCs w:val="15"/>
                <w:color w:val="auto"/>
              </w:rPr>
            </w:pPr>
          </w:p>
        </w:tc>
        <w:tc>
          <w:tcPr>
            <w:tcW w:w="1280" w:type="dxa"/>
            <w:vAlign w:val="bottom"/>
            <w:vMerge w:val="restart"/>
            <w:shd w:val="clear" w:color="auto" w:fill="0336FF"/>
          </w:tcPr>
          <w:p>
            <w:pPr>
              <w:jc w:val="right"/>
              <w:spacing w:after="0"/>
              <w:rPr>
                <w:sz w:val="20"/>
                <w:szCs w:val="20"/>
                <w:color w:val="auto"/>
              </w:rPr>
            </w:pPr>
            <w:r>
              <w:rPr>
                <w:rFonts w:ascii="Arial" w:cs="Arial" w:eastAsia="Arial" w:hAnsi="Arial"/>
                <w:sz w:val="14"/>
                <w:szCs w:val="14"/>
                <w:b w:val="1"/>
                <w:bCs w:val="1"/>
                <w:color w:val="FFFFFF"/>
              </w:rPr>
              <w:t>Common Stock</w:t>
            </w:r>
          </w:p>
        </w:tc>
        <w:tc>
          <w:tcPr>
            <w:tcW w:w="420" w:type="dxa"/>
            <w:vAlign w:val="bottom"/>
            <w:shd w:val="clear" w:color="auto" w:fill="0336FF"/>
          </w:tcPr>
          <w:p>
            <w:pPr>
              <w:spacing w:after="0"/>
              <w:rPr>
                <w:sz w:val="15"/>
                <w:szCs w:val="15"/>
                <w:color w:val="auto"/>
              </w:rPr>
            </w:pPr>
          </w:p>
        </w:tc>
        <w:tc>
          <w:tcPr>
            <w:tcW w:w="1620" w:type="dxa"/>
            <w:vAlign w:val="bottom"/>
            <w:shd w:val="clear" w:color="auto" w:fill="0336FF"/>
          </w:tcPr>
          <w:p>
            <w:pPr>
              <w:jc w:val="right"/>
              <w:ind w:right="128"/>
              <w:spacing w:after="0"/>
              <w:rPr>
                <w:sz w:val="20"/>
                <w:szCs w:val="20"/>
                <w:color w:val="auto"/>
              </w:rPr>
            </w:pPr>
            <w:r>
              <w:rPr>
                <w:rFonts w:ascii="Arial" w:cs="Arial" w:eastAsia="Arial" w:hAnsi="Arial"/>
                <w:sz w:val="14"/>
                <w:szCs w:val="14"/>
                <w:b w:val="1"/>
                <w:bCs w:val="1"/>
                <w:color w:val="FFFFFF"/>
              </w:rPr>
              <w:t>Exercisable Within</w:t>
            </w:r>
          </w:p>
        </w:tc>
        <w:tc>
          <w:tcPr>
            <w:tcW w:w="1320" w:type="dxa"/>
            <w:vAlign w:val="bottom"/>
            <w:shd w:val="clear" w:color="auto" w:fill="0336FF"/>
          </w:tcPr>
          <w:p>
            <w:pPr>
              <w:jc w:val="right"/>
              <w:ind w:right="8"/>
              <w:spacing w:after="0"/>
              <w:rPr>
                <w:sz w:val="20"/>
                <w:szCs w:val="20"/>
                <w:color w:val="auto"/>
              </w:rPr>
            </w:pPr>
            <w:r>
              <w:rPr>
                <w:rFonts w:ascii="Arial" w:cs="Arial" w:eastAsia="Arial" w:hAnsi="Arial"/>
                <w:sz w:val="14"/>
                <w:szCs w:val="14"/>
                <w:b w:val="1"/>
                <w:bCs w:val="1"/>
                <w:color w:val="FFFFFF"/>
              </w:rPr>
              <w:t>RSUs Vesting</w:t>
            </w:r>
          </w:p>
        </w:tc>
        <w:tc>
          <w:tcPr>
            <w:tcW w:w="122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Beneficially</w:t>
            </w:r>
          </w:p>
        </w:tc>
        <w:tc>
          <w:tcPr>
            <w:tcW w:w="520" w:type="dxa"/>
            <w:vAlign w:val="bottom"/>
            <w:shd w:val="clear" w:color="auto" w:fill="0336FF"/>
          </w:tcPr>
          <w:p>
            <w:pPr>
              <w:spacing w:after="0"/>
              <w:rPr>
                <w:sz w:val="15"/>
                <w:szCs w:val="15"/>
                <w:color w:val="auto"/>
              </w:rPr>
            </w:pPr>
          </w:p>
        </w:tc>
        <w:tc>
          <w:tcPr>
            <w:tcW w:w="960" w:type="dxa"/>
            <w:vAlign w:val="bottom"/>
            <w:vMerge w:val="restart"/>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Percent</w:t>
            </w:r>
          </w:p>
        </w:tc>
        <w:tc>
          <w:tcPr>
            <w:tcW w:w="0" w:type="dxa"/>
            <w:vAlign w:val="bottom"/>
          </w:tcPr>
          <w:p>
            <w:pPr>
              <w:spacing w:after="0"/>
              <w:rPr>
                <w:sz w:val="1"/>
                <w:szCs w:val="1"/>
                <w:color w:val="auto"/>
              </w:rPr>
            </w:pPr>
          </w:p>
        </w:tc>
      </w:tr>
      <w:tr>
        <w:trPr>
          <w:trHeight w:val="162"/>
        </w:trPr>
        <w:tc>
          <w:tcPr>
            <w:tcW w:w="3900" w:type="dxa"/>
            <w:vAlign w:val="bottom"/>
            <w:shd w:val="clear" w:color="auto" w:fill="0336FF"/>
          </w:tcPr>
          <w:p>
            <w:pPr>
              <w:spacing w:after="0"/>
              <w:rPr>
                <w:sz w:val="14"/>
                <w:szCs w:val="14"/>
                <w:color w:val="auto"/>
              </w:rPr>
            </w:pPr>
          </w:p>
        </w:tc>
        <w:tc>
          <w:tcPr>
            <w:tcW w:w="1280" w:type="dxa"/>
            <w:vAlign w:val="bottom"/>
            <w:vMerge w:val="continue"/>
            <w:shd w:val="clear" w:color="auto" w:fill="0336FF"/>
          </w:tcPr>
          <w:p>
            <w:pPr>
              <w:spacing w:after="0"/>
              <w:rPr>
                <w:sz w:val="14"/>
                <w:szCs w:val="14"/>
                <w:color w:val="auto"/>
              </w:rPr>
            </w:pPr>
          </w:p>
        </w:tc>
        <w:tc>
          <w:tcPr>
            <w:tcW w:w="420" w:type="dxa"/>
            <w:vAlign w:val="bottom"/>
            <w:shd w:val="clear" w:color="auto" w:fill="0336FF"/>
          </w:tcPr>
          <w:p>
            <w:pPr>
              <w:spacing w:after="0"/>
              <w:rPr>
                <w:sz w:val="14"/>
                <w:szCs w:val="14"/>
                <w:color w:val="auto"/>
              </w:rPr>
            </w:pPr>
          </w:p>
        </w:tc>
        <w:tc>
          <w:tcPr>
            <w:tcW w:w="1620" w:type="dxa"/>
            <w:vAlign w:val="bottom"/>
            <w:shd w:val="clear" w:color="auto" w:fill="0336FF"/>
          </w:tcPr>
          <w:p>
            <w:pPr>
              <w:jc w:val="right"/>
              <w:ind w:right="128"/>
              <w:spacing w:after="0"/>
              <w:rPr>
                <w:sz w:val="20"/>
                <w:szCs w:val="20"/>
                <w:color w:val="auto"/>
              </w:rPr>
            </w:pPr>
            <w:r>
              <w:rPr>
                <w:rFonts w:ascii="Arial" w:cs="Arial" w:eastAsia="Arial" w:hAnsi="Arial"/>
                <w:sz w:val="14"/>
                <w:szCs w:val="14"/>
                <w:b w:val="1"/>
                <w:bCs w:val="1"/>
                <w:color w:val="FFFFFF"/>
              </w:rPr>
              <w:t>60 Days</w:t>
            </w:r>
          </w:p>
        </w:tc>
        <w:tc>
          <w:tcPr>
            <w:tcW w:w="1320" w:type="dxa"/>
            <w:vAlign w:val="bottom"/>
            <w:shd w:val="clear" w:color="auto" w:fill="0336FF"/>
          </w:tcPr>
          <w:p>
            <w:pPr>
              <w:jc w:val="right"/>
              <w:ind w:right="8"/>
              <w:spacing w:after="0"/>
              <w:rPr>
                <w:sz w:val="20"/>
                <w:szCs w:val="20"/>
                <w:color w:val="auto"/>
              </w:rPr>
            </w:pPr>
            <w:r>
              <w:rPr>
                <w:rFonts w:ascii="Arial" w:cs="Arial" w:eastAsia="Arial" w:hAnsi="Arial"/>
                <w:sz w:val="14"/>
                <w:szCs w:val="14"/>
                <w:b w:val="1"/>
                <w:bCs w:val="1"/>
                <w:color w:val="FFFFFF"/>
              </w:rPr>
              <w:t>Within 60 Days</w:t>
            </w:r>
          </w:p>
        </w:tc>
        <w:tc>
          <w:tcPr>
            <w:tcW w:w="122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Owned</w:t>
            </w:r>
          </w:p>
        </w:tc>
        <w:tc>
          <w:tcPr>
            <w:tcW w:w="520" w:type="dxa"/>
            <w:vAlign w:val="bottom"/>
            <w:shd w:val="clear" w:color="auto" w:fill="0336FF"/>
          </w:tcPr>
          <w:p>
            <w:pPr>
              <w:spacing w:after="0"/>
              <w:rPr>
                <w:sz w:val="14"/>
                <w:szCs w:val="14"/>
                <w:color w:val="auto"/>
              </w:rPr>
            </w:pPr>
          </w:p>
        </w:tc>
        <w:tc>
          <w:tcPr>
            <w:tcW w:w="960" w:type="dxa"/>
            <w:vAlign w:val="bottom"/>
            <w:vMerge w:val="continue"/>
            <w:shd w:val="clear" w:color="auto" w:fill="0336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00" w:type="dxa"/>
            <w:vAlign w:val="bottom"/>
            <w:tcBorders>
              <w:bottom w:val="single" w:sz="8" w:color="0336FF"/>
            </w:tcBorders>
            <w:shd w:val="clear" w:color="auto" w:fill="0336FF"/>
          </w:tcPr>
          <w:p>
            <w:pPr>
              <w:ind w:left="100"/>
              <w:spacing w:after="0"/>
              <w:rPr>
                <w:sz w:val="20"/>
                <w:szCs w:val="20"/>
                <w:color w:val="auto"/>
              </w:rPr>
            </w:pPr>
            <w:r>
              <w:rPr>
                <w:rFonts w:ascii="Arial" w:cs="Arial" w:eastAsia="Arial" w:hAnsi="Arial"/>
                <w:sz w:val="14"/>
                <w:szCs w:val="14"/>
                <w:b w:val="1"/>
                <w:bCs w:val="1"/>
                <w:color w:val="FFFFFF"/>
              </w:rPr>
              <w:t>Name of Beneficial Owner</w:t>
            </w:r>
          </w:p>
        </w:tc>
        <w:tc>
          <w:tcPr>
            <w:tcW w:w="1280" w:type="dxa"/>
            <w:vAlign w:val="bottom"/>
            <w:tcBorders>
              <w:bottom w:val="single" w:sz="8" w:color="0336FF"/>
            </w:tcBorders>
            <w:shd w:val="clear" w:color="auto" w:fill="0336FF"/>
          </w:tcPr>
          <w:p>
            <w:pPr>
              <w:jc w:val="right"/>
              <w:spacing w:after="0"/>
              <w:rPr>
                <w:sz w:val="20"/>
                <w:szCs w:val="20"/>
                <w:color w:val="auto"/>
              </w:rPr>
            </w:pPr>
            <w:r>
              <w:rPr>
                <w:rFonts w:ascii="Arial" w:cs="Arial" w:eastAsia="Arial" w:hAnsi="Arial"/>
                <w:sz w:val="14"/>
                <w:szCs w:val="14"/>
                <w:b w:val="1"/>
                <w:bCs w:val="1"/>
                <w:color w:val="FFFFFF"/>
              </w:rPr>
              <w:t>(#)</w:t>
            </w:r>
          </w:p>
        </w:tc>
        <w:tc>
          <w:tcPr>
            <w:tcW w:w="420" w:type="dxa"/>
            <w:vAlign w:val="bottom"/>
            <w:tcBorders>
              <w:bottom w:val="single" w:sz="8" w:color="0336FF"/>
            </w:tcBorders>
            <w:shd w:val="clear" w:color="auto" w:fill="0336FF"/>
          </w:tcPr>
          <w:p>
            <w:pPr>
              <w:spacing w:after="0"/>
              <w:rPr>
                <w:sz w:val="21"/>
                <w:szCs w:val="21"/>
                <w:color w:val="auto"/>
              </w:rPr>
            </w:pPr>
          </w:p>
        </w:tc>
        <w:tc>
          <w:tcPr>
            <w:tcW w:w="1620" w:type="dxa"/>
            <w:vAlign w:val="bottom"/>
            <w:tcBorders>
              <w:bottom w:val="single" w:sz="8" w:color="0336FF"/>
            </w:tcBorders>
            <w:shd w:val="clear" w:color="auto" w:fill="0336FF"/>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320" w:type="dxa"/>
            <w:vAlign w:val="bottom"/>
            <w:tcBorders>
              <w:bottom w:val="single" w:sz="8" w:color="0336FF"/>
            </w:tcBorders>
            <w:shd w:val="clear" w:color="auto" w:fill="0336FF"/>
          </w:tcPr>
          <w:p>
            <w:pPr>
              <w:jc w:val="right"/>
              <w:ind w:right="8"/>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0336FF"/>
            </w:tcBorders>
            <w:shd w:val="clear" w:color="auto" w:fill="0336FF"/>
          </w:tcPr>
          <w:p>
            <w:pPr>
              <w:jc w:val="right"/>
              <w:spacing w:after="0"/>
              <w:rPr>
                <w:sz w:val="20"/>
                <w:szCs w:val="20"/>
                <w:color w:val="auto"/>
              </w:rPr>
            </w:pPr>
            <w:r>
              <w:rPr>
                <w:rFonts w:ascii="Arial" w:cs="Arial" w:eastAsia="Arial" w:hAnsi="Arial"/>
                <w:sz w:val="14"/>
                <w:szCs w:val="14"/>
                <w:b w:val="1"/>
                <w:bCs w:val="1"/>
                <w:color w:val="FFFFFF"/>
              </w:rPr>
              <w:t>(#)</w:t>
            </w:r>
          </w:p>
        </w:tc>
        <w:tc>
          <w:tcPr>
            <w:tcW w:w="520" w:type="dxa"/>
            <w:vAlign w:val="bottom"/>
            <w:tcBorders>
              <w:bottom w:val="single" w:sz="8" w:color="0336FF"/>
            </w:tcBorders>
            <w:shd w:val="clear" w:color="auto" w:fill="0336FF"/>
          </w:tcPr>
          <w:p>
            <w:pPr>
              <w:spacing w:after="0"/>
              <w:rPr>
                <w:sz w:val="21"/>
                <w:szCs w:val="21"/>
                <w:color w:val="auto"/>
              </w:rPr>
            </w:pPr>
          </w:p>
        </w:tc>
        <w:tc>
          <w:tcPr>
            <w:tcW w:w="960" w:type="dxa"/>
            <w:vAlign w:val="bottom"/>
            <w:tcBorders>
              <w:bottom w:val="single" w:sz="8" w:color="0336FF"/>
            </w:tcBorders>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0336FF"/>
            </w:tcBorders>
          </w:tcPr>
          <w:p>
            <w:pPr>
              <w:ind w:left="100"/>
              <w:spacing w:after="0"/>
              <w:rPr>
                <w:sz w:val="20"/>
                <w:szCs w:val="20"/>
                <w:color w:val="auto"/>
              </w:rPr>
            </w:pPr>
            <w:r>
              <w:rPr>
                <w:rFonts w:ascii="Arial" w:cs="Arial" w:eastAsia="Arial" w:hAnsi="Arial"/>
                <w:sz w:val="14"/>
                <w:szCs w:val="14"/>
                <w:b w:val="1"/>
                <w:bCs w:val="1"/>
                <w:color w:val="2D3243"/>
              </w:rPr>
              <w:t>5% Stockholders:</w:t>
            </w:r>
          </w:p>
        </w:tc>
        <w:tc>
          <w:tcPr>
            <w:tcW w:w="1280" w:type="dxa"/>
            <w:vAlign w:val="bottom"/>
            <w:tcBorders>
              <w:bottom w:val="single" w:sz="8" w:color="0336FF"/>
            </w:tcBorders>
          </w:tcPr>
          <w:p>
            <w:pPr>
              <w:spacing w:after="0"/>
              <w:rPr>
                <w:sz w:val="19"/>
                <w:szCs w:val="19"/>
                <w:color w:val="auto"/>
              </w:rPr>
            </w:pPr>
          </w:p>
        </w:tc>
        <w:tc>
          <w:tcPr>
            <w:tcW w:w="420" w:type="dxa"/>
            <w:vAlign w:val="bottom"/>
            <w:tcBorders>
              <w:bottom w:val="single" w:sz="8" w:color="0336FF"/>
            </w:tcBorders>
          </w:tcPr>
          <w:p>
            <w:pPr>
              <w:spacing w:after="0"/>
              <w:rPr>
                <w:sz w:val="19"/>
                <w:szCs w:val="19"/>
                <w:color w:val="auto"/>
              </w:rPr>
            </w:pPr>
          </w:p>
        </w:tc>
        <w:tc>
          <w:tcPr>
            <w:tcW w:w="1620" w:type="dxa"/>
            <w:vAlign w:val="bottom"/>
            <w:tcBorders>
              <w:bottom w:val="single" w:sz="8" w:color="0336FF"/>
            </w:tcBorders>
          </w:tcPr>
          <w:p>
            <w:pPr>
              <w:spacing w:after="0"/>
              <w:rPr>
                <w:sz w:val="19"/>
                <w:szCs w:val="19"/>
                <w:color w:val="auto"/>
              </w:rPr>
            </w:pPr>
          </w:p>
        </w:tc>
        <w:tc>
          <w:tcPr>
            <w:tcW w:w="1320" w:type="dxa"/>
            <w:vAlign w:val="bottom"/>
            <w:tcBorders>
              <w:bottom w:val="single" w:sz="8" w:color="0336FF"/>
            </w:tcBorders>
          </w:tcPr>
          <w:p>
            <w:pPr>
              <w:spacing w:after="0"/>
              <w:rPr>
                <w:sz w:val="19"/>
                <w:szCs w:val="19"/>
                <w:color w:val="auto"/>
              </w:rPr>
            </w:pPr>
          </w:p>
        </w:tc>
        <w:tc>
          <w:tcPr>
            <w:tcW w:w="1220" w:type="dxa"/>
            <w:vAlign w:val="bottom"/>
            <w:tcBorders>
              <w:bottom w:val="single" w:sz="8" w:color="0336FF"/>
            </w:tcBorders>
          </w:tcPr>
          <w:p>
            <w:pPr>
              <w:spacing w:after="0"/>
              <w:rPr>
                <w:sz w:val="19"/>
                <w:szCs w:val="19"/>
                <w:color w:val="auto"/>
              </w:rPr>
            </w:pPr>
          </w:p>
        </w:tc>
        <w:tc>
          <w:tcPr>
            <w:tcW w:w="520" w:type="dxa"/>
            <w:vAlign w:val="bottom"/>
            <w:tcBorders>
              <w:bottom w:val="single" w:sz="8" w:color="0336FF"/>
            </w:tcBorders>
          </w:tcPr>
          <w:p>
            <w:pPr>
              <w:spacing w:after="0"/>
              <w:rPr>
                <w:sz w:val="19"/>
                <w:szCs w:val="19"/>
                <w:color w:val="auto"/>
              </w:rPr>
            </w:pPr>
          </w:p>
        </w:tc>
        <w:tc>
          <w:tcPr>
            <w:tcW w:w="960" w:type="dxa"/>
            <w:vAlign w:val="bottom"/>
            <w:tcBorders>
              <w:bottom w:val="single" w:sz="8" w:color="0336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The Vanguard Group, Inc.</w:t>
            </w:r>
          </w:p>
        </w:tc>
        <w:tc>
          <w:tcPr>
            <w:tcW w:w="128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7,286,789</w:t>
            </w:r>
          </w:p>
        </w:tc>
        <w:tc>
          <w:tcPr>
            <w:tcW w:w="420" w:type="dxa"/>
            <w:vAlign w:val="bottom"/>
            <w:tcBorders>
              <w:bottom w:val="single" w:sz="8" w:color="F0F1F2"/>
            </w:tcBorders>
            <w:shd w:val="clear" w:color="auto" w:fill="F0F1F2"/>
          </w:tcPr>
          <w:p>
            <w:pPr>
              <w:spacing w:after="0"/>
              <w:rPr>
                <w:sz w:val="18"/>
                <w:szCs w:val="18"/>
                <w:color w:val="auto"/>
              </w:rPr>
            </w:pPr>
          </w:p>
        </w:tc>
        <w:tc>
          <w:tcPr>
            <w:tcW w:w="1620" w:type="dxa"/>
            <w:vAlign w:val="bottom"/>
            <w:tcBorders>
              <w:bottom w:val="single" w:sz="8" w:color="F0F1F2"/>
            </w:tcBorders>
            <w:shd w:val="clear" w:color="auto" w:fill="F0F1F2"/>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tcBorders>
              <w:bottom w:val="single" w:sz="8" w:color="F0F1F2"/>
            </w:tcBorders>
            <w:shd w:val="clear" w:color="auto" w:fill="F0F1F2"/>
          </w:tcPr>
          <w:p>
            <w:pPr>
              <w:jc w:val="right"/>
              <w:ind w:right="68"/>
              <w:spacing w:after="0"/>
              <w:rPr>
                <w:sz w:val="20"/>
                <w:szCs w:val="20"/>
                <w:color w:val="auto"/>
              </w:rPr>
            </w:pPr>
            <w:r>
              <w:rPr>
                <w:rFonts w:ascii="Arial" w:cs="Arial" w:eastAsia="Arial" w:hAnsi="Arial"/>
                <w:sz w:val="14"/>
                <w:szCs w:val="14"/>
                <w:color w:val="2D3243"/>
              </w:rPr>
              <w:t>—</w:t>
            </w:r>
          </w:p>
        </w:tc>
        <w:tc>
          <w:tcPr>
            <w:tcW w:w="1220" w:type="dxa"/>
            <w:vAlign w:val="bottom"/>
            <w:tcBorders>
              <w:bottom w:val="single" w:sz="8" w:color="F0F1F2"/>
            </w:tcBorders>
            <w:shd w:val="clear" w:color="auto" w:fill="F0F1F2"/>
          </w:tcPr>
          <w:p>
            <w:pPr>
              <w:jc w:val="right"/>
              <w:ind w:right="8"/>
              <w:spacing w:after="0"/>
              <w:rPr>
                <w:sz w:val="20"/>
                <w:szCs w:val="20"/>
                <w:color w:val="auto"/>
              </w:rPr>
            </w:pPr>
            <w:r>
              <w:rPr>
                <w:rFonts w:ascii="Arial" w:cs="Arial" w:eastAsia="Arial" w:hAnsi="Arial"/>
                <w:sz w:val="14"/>
                <w:szCs w:val="14"/>
                <w:color w:val="2D3243"/>
              </w:rPr>
              <w:t>7,286,789</w:t>
            </w:r>
          </w:p>
        </w:tc>
        <w:tc>
          <w:tcPr>
            <w:tcW w:w="520" w:type="dxa"/>
            <w:vAlign w:val="bottom"/>
            <w:tcBorders>
              <w:bottom w:val="single" w:sz="8" w:color="F0F1F2"/>
            </w:tcBorders>
            <w:shd w:val="clear" w:color="auto" w:fill="F0F1F2"/>
          </w:tcPr>
          <w:p>
            <w:pPr>
              <w:jc w:val="right"/>
              <w:ind w:right="268"/>
              <w:spacing w:after="0"/>
              <w:rPr>
                <w:sz w:val="20"/>
                <w:szCs w:val="20"/>
                <w:color w:val="auto"/>
              </w:rPr>
            </w:pPr>
            <w:r>
              <w:rPr>
                <w:rFonts w:ascii="Arial" w:cs="Arial" w:eastAsia="Arial" w:hAnsi="Arial"/>
                <w:sz w:val="14"/>
                <w:szCs w:val="14"/>
                <w:color w:val="2D3243"/>
                <w:w w:val="93"/>
              </w:rPr>
              <w:t>(1)</w:t>
            </w:r>
          </w:p>
        </w:tc>
        <w:tc>
          <w:tcPr>
            <w:tcW w:w="96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9.9</w:t>
            </w:r>
          </w:p>
        </w:tc>
        <w:tc>
          <w:tcPr>
            <w:tcW w:w="0" w:type="dxa"/>
            <w:vAlign w:val="bottom"/>
          </w:tcPr>
          <w:p>
            <w:pPr>
              <w:spacing w:after="0"/>
              <w:rPr>
                <w:sz w:val="1"/>
                <w:szCs w:val="1"/>
                <w:color w:val="auto"/>
              </w:rPr>
            </w:pPr>
          </w:p>
        </w:tc>
      </w:tr>
      <w:tr>
        <w:trPr>
          <w:trHeight w:val="208"/>
        </w:trPr>
        <w:tc>
          <w:tcPr>
            <w:tcW w:w="3900" w:type="dxa"/>
            <w:vAlign w:val="bottom"/>
          </w:tcPr>
          <w:p>
            <w:pPr>
              <w:ind w:left="100"/>
              <w:spacing w:after="0"/>
              <w:rPr>
                <w:sz w:val="20"/>
                <w:szCs w:val="20"/>
                <w:color w:val="auto"/>
              </w:rPr>
            </w:pPr>
            <w:r>
              <w:rPr>
                <w:rFonts w:ascii="Arial" w:cs="Arial" w:eastAsia="Arial" w:hAnsi="Arial"/>
                <w:sz w:val="14"/>
                <w:szCs w:val="14"/>
                <w:color w:val="2D3243"/>
              </w:rPr>
              <w:t>FMR LLC</w:t>
            </w:r>
          </w:p>
        </w:tc>
        <w:tc>
          <w:tcPr>
            <w:tcW w:w="1280" w:type="dxa"/>
            <w:vAlign w:val="bottom"/>
          </w:tcPr>
          <w:p>
            <w:pPr>
              <w:jc w:val="right"/>
              <w:spacing w:after="0"/>
              <w:rPr>
                <w:sz w:val="20"/>
                <w:szCs w:val="20"/>
                <w:color w:val="auto"/>
              </w:rPr>
            </w:pPr>
            <w:r>
              <w:rPr>
                <w:rFonts w:ascii="Arial" w:cs="Arial" w:eastAsia="Arial" w:hAnsi="Arial"/>
                <w:sz w:val="14"/>
                <w:szCs w:val="14"/>
                <w:color w:val="2D3243"/>
              </w:rPr>
              <w:t>4,808,773</w:t>
            </w:r>
          </w:p>
        </w:tc>
        <w:tc>
          <w:tcPr>
            <w:tcW w:w="420" w:type="dxa"/>
            <w:vAlign w:val="bottom"/>
          </w:tcPr>
          <w:p>
            <w:pPr>
              <w:spacing w:after="0"/>
              <w:rPr>
                <w:sz w:val="18"/>
                <w:szCs w:val="18"/>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2D3243"/>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2D3243"/>
              </w:rPr>
              <w:t>4,808,773</w:t>
            </w:r>
          </w:p>
        </w:tc>
        <w:tc>
          <w:tcPr>
            <w:tcW w:w="520" w:type="dxa"/>
            <w:vAlign w:val="bottom"/>
          </w:tcPr>
          <w:p>
            <w:pPr>
              <w:jc w:val="right"/>
              <w:ind w:right="268"/>
              <w:spacing w:after="0"/>
              <w:rPr>
                <w:sz w:val="20"/>
                <w:szCs w:val="20"/>
                <w:color w:val="auto"/>
              </w:rPr>
            </w:pPr>
            <w:r>
              <w:rPr>
                <w:rFonts w:ascii="Arial" w:cs="Arial" w:eastAsia="Arial" w:hAnsi="Arial"/>
                <w:sz w:val="14"/>
                <w:szCs w:val="14"/>
                <w:color w:val="2D3243"/>
                <w:w w:val="93"/>
              </w:rPr>
              <w:t>(3)</w:t>
            </w:r>
          </w:p>
        </w:tc>
        <w:tc>
          <w:tcPr>
            <w:tcW w:w="960" w:type="dxa"/>
            <w:vAlign w:val="bottom"/>
          </w:tcPr>
          <w:p>
            <w:pPr>
              <w:jc w:val="right"/>
              <w:ind w:right="88"/>
              <w:spacing w:after="0"/>
              <w:rPr>
                <w:sz w:val="20"/>
                <w:szCs w:val="20"/>
                <w:color w:val="auto"/>
              </w:rPr>
            </w:pPr>
            <w:r>
              <w:rPr>
                <w:rFonts w:ascii="Arial" w:cs="Arial" w:eastAsia="Arial" w:hAnsi="Arial"/>
                <w:sz w:val="14"/>
                <w:szCs w:val="14"/>
                <w:color w:val="2D3243"/>
              </w:rPr>
              <w:t>6.5</w:t>
            </w:r>
          </w:p>
        </w:tc>
        <w:tc>
          <w:tcPr>
            <w:tcW w:w="0" w:type="dxa"/>
            <w:vAlign w:val="bottom"/>
          </w:tcPr>
          <w:p>
            <w:pPr>
              <w:spacing w:after="0"/>
              <w:rPr>
                <w:sz w:val="1"/>
                <w:szCs w:val="1"/>
                <w:color w:val="auto"/>
              </w:rPr>
            </w:pPr>
          </w:p>
        </w:tc>
      </w:tr>
      <w:tr>
        <w:trPr>
          <w:trHeight w:val="22"/>
        </w:trPr>
        <w:tc>
          <w:tcPr>
            <w:tcW w:w="3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Picket Asset Management S.A.</w:t>
            </w:r>
          </w:p>
        </w:tc>
        <w:tc>
          <w:tcPr>
            <w:tcW w:w="128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4,514,733</w:t>
            </w:r>
          </w:p>
        </w:tc>
        <w:tc>
          <w:tcPr>
            <w:tcW w:w="420" w:type="dxa"/>
            <w:vAlign w:val="bottom"/>
            <w:tcBorders>
              <w:bottom w:val="single" w:sz="8" w:color="F0F1F2"/>
            </w:tcBorders>
            <w:shd w:val="clear" w:color="auto" w:fill="F0F1F2"/>
          </w:tcPr>
          <w:p>
            <w:pPr>
              <w:spacing w:after="0"/>
              <w:rPr>
                <w:sz w:val="18"/>
                <w:szCs w:val="18"/>
                <w:color w:val="auto"/>
              </w:rPr>
            </w:pPr>
          </w:p>
        </w:tc>
        <w:tc>
          <w:tcPr>
            <w:tcW w:w="1620" w:type="dxa"/>
            <w:vAlign w:val="bottom"/>
            <w:tcBorders>
              <w:bottom w:val="single" w:sz="8" w:color="F0F1F2"/>
            </w:tcBorders>
            <w:shd w:val="clear" w:color="auto" w:fill="F0F1F2"/>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tcBorders>
              <w:bottom w:val="single" w:sz="8" w:color="F0F1F2"/>
            </w:tcBorders>
            <w:shd w:val="clear" w:color="auto" w:fill="F0F1F2"/>
          </w:tcPr>
          <w:p>
            <w:pPr>
              <w:jc w:val="right"/>
              <w:ind w:right="68"/>
              <w:spacing w:after="0"/>
              <w:rPr>
                <w:sz w:val="20"/>
                <w:szCs w:val="20"/>
                <w:color w:val="auto"/>
              </w:rPr>
            </w:pPr>
            <w:r>
              <w:rPr>
                <w:rFonts w:ascii="Arial" w:cs="Arial" w:eastAsia="Arial" w:hAnsi="Arial"/>
                <w:sz w:val="14"/>
                <w:szCs w:val="14"/>
                <w:color w:val="2D3243"/>
              </w:rPr>
              <w:t>—</w:t>
            </w:r>
          </w:p>
        </w:tc>
        <w:tc>
          <w:tcPr>
            <w:tcW w:w="1220" w:type="dxa"/>
            <w:vAlign w:val="bottom"/>
            <w:tcBorders>
              <w:bottom w:val="single" w:sz="8" w:color="F0F1F2"/>
            </w:tcBorders>
            <w:shd w:val="clear" w:color="auto" w:fill="F0F1F2"/>
          </w:tcPr>
          <w:p>
            <w:pPr>
              <w:jc w:val="right"/>
              <w:ind w:right="8"/>
              <w:spacing w:after="0"/>
              <w:rPr>
                <w:sz w:val="20"/>
                <w:szCs w:val="20"/>
                <w:color w:val="auto"/>
              </w:rPr>
            </w:pPr>
            <w:r>
              <w:rPr>
                <w:rFonts w:ascii="Arial" w:cs="Arial" w:eastAsia="Arial" w:hAnsi="Arial"/>
                <w:sz w:val="14"/>
                <w:szCs w:val="14"/>
                <w:color w:val="2D3243"/>
              </w:rPr>
              <w:t>4,514,733</w:t>
            </w:r>
          </w:p>
        </w:tc>
        <w:tc>
          <w:tcPr>
            <w:tcW w:w="520" w:type="dxa"/>
            <w:vAlign w:val="bottom"/>
            <w:tcBorders>
              <w:bottom w:val="single" w:sz="8" w:color="F0F1F2"/>
            </w:tcBorders>
            <w:shd w:val="clear" w:color="auto" w:fill="F0F1F2"/>
          </w:tcPr>
          <w:p>
            <w:pPr>
              <w:jc w:val="right"/>
              <w:ind w:right="268"/>
              <w:spacing w:after="0"/>
              <w:rPr>
                <w:sz w:val="20"/>
                <w:szCs w:val="20"/>
                <w:color w:val="auto"/>
              </w:rPr>
            </w:pPr>
            <w:r>
              <w:rPr>
                <w:rFonts w:ascii="Arial" w:cs="Arial" w:eastAsia="Arial" w:hAnsi="Arial"/>
                <w:sz w:val="14"/>
                <w:szCs w:val="14"/>
                <w:color w:val="2D3243"/>
                <w:w w:val="93"/>
              </w:rPr>
              <w:t>(2)</w:t>
            </w:r>
          </w:p>
        </w:tc>
        <w:tc>
          <w:tcPr>
            <w:tcW w:w="96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6.1</w:t>
            </w:r>
          </w:p>
        </w:tc>
        <w:tc>
          <w:tcPr>
            <w:tcW w:w="0" w:type="dxa"/>
            <w:vAlign w:val="bottom"/>
          </w:tcPr>
          <w:p>
            <w:pPr>
              <w:spacing w:after="0"/>
              <w:rPr>
                <w:sz w:val="1"/>
                <w:szCs w:val="1"/>
                <w:color w:val="auto"/>
              </w:rPr>
            </w:pPr>
          </w:p>
        </w:tc>
      </w:tr>
      <w:tr>
        <w:trPr>
          <w:trHeight w:val="208"/>
        </w:trPr>
        <w:tc>
          <w:tcPr>
            <w:tcW w:w="3900" w:type="dxa"/>
            <w:vAlign w:val="bottom"/>
          </w:tcPr>
          <w:p>
            <w:pPr>
              <w:ind w:left="100"/>
              <w:spacing w:after="0"/>
              <w:rPr>
                <w:sz w:val="20"/>
                <w:szCs w:val="20"/>
                <w:color w:val="auto"/>
              </w:rPr>
            </w:pPr>
            <w:r>
              <w:rPr>
                <w:rFonts w:ascii="Arial" w:cs="Arial" w:eastAsia="Arial" w:hAnsi="Arial"/>
                <w:sz w:val="14"/>
                <w:szCs w:val="14"/>
                <w:color w:val="2D3243"/>
              </w:rPr>
              <w:t>BlackRock, Inc.</w:t>
            </w:r>
          </w:p>
        </w:tc>
        <w:tc>
          <w:tcPr>
            <w:tcW w:w="1280" w:type="dxa"/>
            <w:vAlign w:val="bottom"/>
          </w:tcPr>
          <w:p>
            <w:pPr>
              <w:jc w:val="right"/>
              <w:spacing w:after="0"/>
              <w:rPr>
                <w:sz w:val="20"/>
                <w:szCs w:val="20"/>
                <w:color w:val="auto"/>
              </w:rPr>
            </w:pPr>
            <w:r>
              <w:rPr>
                <w:rFonts w:ascii="Arial" w:cs="Arial" w:eastAsia="Arial" w:hAnsi="Arial"/>
                <w:sz w:val="14"/>
                <w:szCs w:val="14"/>
                <w:color w:val="2D3243"/>
              </w:rPr>
              <w:t>3,910,462</w:t>
            </w:r>
          </w:p>
        </w:tc>
        <w:tc>
          <w:tcPr>
            <w:tcW w:w="420" w:type="dxa"/>
            <w:vAlign w:val="bottom"/>
          </w:tcPr>
          <w:p>
            <w:pPr>
              <w:spacing w:after="0"/>
              <w:rPr>
                <w:sz w:val="18"/>
                <w:szCs w:val="18"/>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2D3243"/>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2D3243"/>
              </w:rPr>
              <w:t>3,910,462</w:t>
            </w:r>
          </w:p>
        </w:tc>
        <w:tc>
          <w:tcPr>
            <w:tcW w:w="520" w:type="dxa"/>
            <w:vAlign w:val="bottom"/>
          </w:tcPr>
          <w:p>
            <w:pPr>
              <w:jc w:val="right"/>
              <w:ind w:right="268"/>
              <w:spacing w:after="0"/>
              <w:rPr>
                <w:sz w:val="20"/>
                <w:szCs w:val="20"/>
                <w:color w:val="auto"/>
              </w:rPr>
            </w:pPr>
            <w:r>
              <w:rPr>
                <w:rFonts w:ascii="Arial" w:cs="Arial" w:eastAsia="Arial" w:hAnsi="Arial"/>
                <w:sz w:val="14"/>
                <w:szCs w:val="14"/>
                <w:color w:val="2D3243"/>
                <w:w w:val="93"/>
              </w:rPr>
              <w:t>(4)</w:t>
            </w:r>
          </w:p>
        </w:tc>
        <w:tc>
          <w:tcPr>
            <w:tcW w:w="960" w:type="dxa"/>
            <w:vAlign w:val="bottom"/>
          </w:tcPr>
          <w:p>
            <w:pPr>
              <w:jc w:val="right"/>
              <w:ind w:right="88"/>
              <w:spacing w:after="0"/>
              <w:rPr>
                <w:sz w:val="20"/>
                <w:szCs w:val="20"/>
                <w:color w:val="auto"/>
              </w:rPr>
            </w:pPr>
            <w:r>
              <w:rPr>
                <w:rFonts w:ascii="Arial" w:cs="Arial" w:eastAsia="Arial" w:hAnsi="Arial"/>
                <w:sz w:val="14"/>
                <w:szCs w:val="14"/>
                <w:color w:val="2D3243"/>
              </w:rPr>
              <w:t>5.3</w:t>
            </w:r>
          </w:p>
        </w:tc>
        <w:tc>
          <w:tcPr>
            <w:tcW w:w="0" w:type="dxa"/>
            <w:vAlign w:val="bottom"/>
          </w:tcPr>
          <w:p>
            <w:pPr>
              <w:spacing w:after="0"/>
              <w:rPr>
                <w:sz w:val="1"/>
                <w:szCs w:val="1"/>
                <w:color w:val="auto"/>
              </w:rPr>
            </w:pPr>
          </w:p>
        </w:tc>
      </w:tr>
      <w:tr>
        <w:trPr>
          <w:trHeight w:val="22"/>
        </w:trPr>
        <w:tc>
          <w:tcPr>
            <w:tcW w:w="3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tcBorders>
              <w:bottom w:val="single" w:sz="8" w:color="0336FF"/>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Named Executive Officers and Directors:</w:t>
            </w:r>
          </w:p>
        </w:tc>
        <w:tc>
          <w:tcPr>
            <w:tcW w:w="1280" w:type="dxa"/>
            <w:vAlign w:val="bottom"/>
            <w:tcBorders>
              <w:bottom w:val="single" w:sz="8" w:color="0336FF"/>
            </w:tcBorders>
            <w:shd w:val="clear" w:color="auto" w:fill="F0F1F2"/>
          </w:tcPr>
          <w:p>
            <w:pPr>
              <w:spacing w:after="0"/>
              <w:rPr>
                <w:sz w:val="19"/>
                <w:szCs w:val="19"/>
                <w:color w:val="auto"/>
              </w:rPr>
            </w:pPr>
          </w:p>
        </w:tc>
        <w:tc>
          <w:tcPr>
            <w:tcW w:w="420" w:type="dxa"/>
            <w:vAlign w:val="bottom"/>
            <w:tcBorders>
              <w:bottom w:val="single" w:sz="8" w:color="0336FF"/>
            </w:tcBorders>
            <w:shd w:val="clear" w:color="auto" w:fill="F0F1F2"/>
          </w:tcPr>
          <w:p>
            <w:pPr>
              <w:spacing w:after="0"/>
              <w:rPr>
                <w:sz w:val="19"/>
                <w:szCs w:val="19"/>
                <w:color w:val="auto"/>
              </w:rPr>
            </w:pPr>
          </w:p>
        </w:tc>
        <w:tc>
          <w:tcPr>
            <w:tcW w:w="1620" w:type="dxa"/>
            <w:vAlign w:val="bottom"/>
            <w:tcBorders>
              <w:bottom w:val="single" w:sz="8" w:color="0336FF"/>
            </w:tcBorders>
            <w:shd w:val="clear" w:color="auto" w:fill="F0F1F2"/>
          </w:tcPr>
          <w:p>
            <w:pPr>
              <w:spacing w:after="0"/>
              <w:rPr>
                <w:sz w:val="19"/>
                <w:szCs w:val="19"/>
                <w:color w:val="auto"/>
              </w:rPr>
            </w:pPr>
          </w:p>
        </w:tc>
        <w:tc>
          <w:tcPr>
            <w:tcW w:w="1320" w:type="dxa"/>
            <w:vAlign w:val="bottom"/>
            <w:tcBorders>
              <w:bottom w:val="single" w:sz="8" w:color="0336FF"/>
            </w:tcBorders>
            <w:shd w:val="clear" w:color="auto" w:fill="F0F1F2"/>
          </w:tcPr>
          <w:p>
            <w:pPr>
              <w:spacing w:after="0"/>
              <w:rPr>
                <w:sz w:val="19"/>
                <w:szCs w:val="19"/>
                <w:color w:val="auto"/>
              </w:rPr>
            </w:pPr>
          </w:p>
        </w:tc>
        <w:tc>
          <w:tcPr>
            <w:tcW w:w="1220" w:type="dxa"/>
            <w:vAlign w:val="bottom"/>
            <w:tcBorders>
              <w:bottom w:val="single" w:sz="8" w:color="0336FF"/>
            </w:tcBorders>
            <w:shd w:val="clear" w:color="auto" w:fill="F0F1F2"/>
          </w:tcPr>
          <w:p>
            <w:pPr>
              <w:spacing w:after="0"/>
              <w:rPr>
                <w:sz w:val="19"/>
                <w:szCs w:val="19"/>
                <w:color w:val="auto"/>
              </w:rPr>
            </w:pPr>
          </w:p>
        </w:tc>
        <w:tc>
          <w:tcPr>
            <w:tcW w:w="520" w:type="dxa"/>
            <w:vAlign w:val="bottom"/>
            <w:tcBorders>
              <w:bottom w:val="single" w:sz="8" w:color="0336FF"/>
            </w:tcBorders>
            <w:shd w:val="clear" w:color="auto" w:fill="F0F1F2"/>
          </w:tcPr>
          <w:p>
            <w:pPr>
              <w:spacing w:after="0"/>
              <w:rPr>
                <w:sz w:val="19"/>
                <w:szCs w:val="19"/>
                <w:color w:val="auto"/>
              </w:rPr>
            </w:pPr>
          </w:p>
        </w:tc>
        <w:tc>
          <w:tcPr>
            <w:tcW w:w="960" w:type="dxa"/>
            <w:vAlign w:val="bottom"/>
            <w:tcBorders>
              <w:bottom w:val="single" w:sz="8" w:color="0336FF"/>
            </w:tcBorders>
            <w:shd w:val="clear" w:color="auto" w:fill="F0F1F2"/>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0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1280" w:type="dxa"/>
            <w:vAlign w:val="bottom"/>
          </w:tcPr>
          <w:p>
            <w:pPr>
              <w:jc w:val="right"/>
              <w:spacing w:after="0"/>
              <w:rPr>
                <w:sz w:val="20"/>
                <w:szCs w:val="20"/>
                <w:color w:val="auto"/>
              </w:rPr>
            </w:pPr>
            <w:r>
              <w:rPr>
                <w:rFonts w:ascii="Arial" w:cs="Arial" w:eastAsia="Arial" w:hAnsi="Arial"/>
                <w:sz w:val="14"/>
                <w:szCs w:val="14"/>
                <w:color w:val="2D3243"/>
              </w:rPr>
              <w:t>192,655</w:t>
            </w:r>
          </w:p>
        </w:tc>
        <w:tc>
          <w:tcPr>
            <w:tcW w:w="420" w:type="dxa"/>
            <w:vAlign w:val="bottom"/>
          </w:tcPr>
          <w:p>
            <w:pPr>
              <w:ind w:left="20"/>
              <w:spacing w:after="0"/>
              <w:rPr>
                <w:sz w:val="20"/>
                <w:szCs w:val="20"/>
                <w:color w:val="auto"/>
              </w:rPr>
            </w:pPr>
            <w:r>
              <w:rPr>
                <w:rFonts w:ascii="Arial" w:cs="Arial" w:eastAsia="Arial" w:hAnsi="Arial"/>
                <w:sz w:val="14"/>
                <w:szCs w:val="14"/>
                <w:color w:val="2D3243"/>
              </w:rPr>
              <w:t>(5)</w:t>
            </w:r>
          </w:p>
        </w:tc>
        <w:tc>
          <w:tcPr>
            <w:tcW w:w="1620" w:type="dxa"/>
            <w:vAlign w:val="bottom"/>
          </w:tcPr>
          <w:p>
            <w:pPr>
              <w:jc w:val="right"/>
              <w:ind w:right="168"/>
              <w:spacing w:after="0"/>
              <w:rPr>
                <w:sz w:val="20"/>
                <w:szCs w:val="20"/>
                <w:color w:val="auto"/>
              </w:rPr>
            </w:pPr>
            <w:r>
              <w:rPr>
                <w:rFonts w:ascii="Arial" w:cs="Arial" w:eastAsia="Arial" w:hAnsi="Arial"/>
                <w:sz w:val="14"/>
                <w:szCs w:val="14"/>
                <w:color w:val="2D3243"/>
              </w:rPr>
              <w:t>235,395</w:t>
            </w:r>
          </w:p>
        </w:tc>
        <w:tc>
          <w:tcPr>
            <w:tcW w:w="1320" w:type="dxa"/>
            <w:vAlign w:val="bottom"/>
          </w:tcPr>
          <w:p>
            <w:pPr>
              <w:jc w:val="right"/>
              <w:ind w:right="68"/>
              <w:spacing w:after="0"/>
              <w:rPr>
                <w:sz w:val="20"/>
                <w:szCs w:val="20"/>
                <w:color w:val="auto"/>
              </w:rPr>
            </w:pPr>
            <w:r>
              <w:rPr>
                <w:rFonts w:ascii="Arial" w:cs="Arial" w:eastAsia="Arial" w:hAnsi="Arial"/>
                <w:sz w:val="14"/>
                <w:szCs w:val="14"/>
                <w:color w:val="2D3243"/>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2D3243"/>
              </w:rPr>
              <w:t>428,050</w:t>
            </w:r>
          </w:p>
        </w:tc>
        <w:tc>
          <w:tcPr>
            <w:tcW w:w="52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37"/>
        </w:trPr>
        <w:tc>
          <w:tcPr>
            <w:tcW w:w="390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12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131,160</w:t>
            </w:r>
          </w:p>
        </w:tc>
        <w:tc>
          <w:tcPr>
            <w:tcW w:w="42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(6)</w:t>
            </w:r>
          </w:p>
        </w:tc>
        <w:tc>
          <w:tcPr>
            <w:tcW w:w="1620" w:type="dxa"/>
            <w:vAlign w:val="bottom"/>
            <w:shd w:val="clear" w:color="auto" w:fill="F0F1F2"/>
          </w:tcPr>
          <w:p>
            <w:pPr>
              <w:jc w:val="right"/>
              <w:ind w:right="168"/>
              <w:spacing w:after="0"/>
              <w:rPr>
                <w:sz w:val="20"/>
                <w:szCs w:val="20"/>
                <w:color w:val="auto"/>
              </w:rPr>
            </w:pPr>
            <w:r>
              <w:rPr>
                <w:rFonts w:ascii="Arial" w:cs="Arial" w:eastAsia="Arial" w:hAnsi="Arial"/>
                <w:sz w:val="14"/>
                <w:szCs w:val="14"/>
                <w:color w:val="2D3243"/>
              </w:rPr>
              <w:t>106,927</w:t>
            </w:r>
          </w:p>
        </w:tc>
        <w:tc>
          <w:tcPr>
            <w:tcW w:w="1320" w:type="dxa"/>
            <w:vAlign w:val="bottom"/>
            <w:shd w:val="clear" w:color="auto" w:fill="F0F1F2"/>
          </w:tcPr>
          <w:p>
            <w:pPr>
              <w:jc w:val="right"/>
              <w:ind w:right="68"/>
              <w:spacing w:after="0"/>
              <w:rPr>
                <w:sz w:val="20"/>
                <w:szCs w:val="20"/>
                <w:color w:val="auto"/>
              </w:rPr>
            </w:pPr>
            <w:r>
              <w:rPr>
                <w:rFonts w:ascii="Arial" w:cs="Arial" w:eastAsia="Arial" w:hAnsi="Arial"/>
                <w:sz w:val="14"/>
                <w:szCs w:val="14"/>
                <w:color w:val="2D3243"/>
              </w:rPr>
              <w:t>—</w:t>
            </w:r>
          </w:p>
        </w:tc>
        <w:tc>
          <w:tcPr>
            <w:tcW w:w="122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238,087</w:t>
            </w:r>
          </w:p>
        </w:tc>
        <w:tc>
          <w:tcPr>
            <w:tcW w:w="520" w:type="dxa"/>
            <w:vAlign w:val="bottom"/>
            <w:shd w:val="clear" w:color="auto" w:fill="F0F1F2"/>
          </w:tcPr>
          <w:p>
            <w:pPr>
              <w:spacing w:after="0"/>
              <w:rPr>
                <w:sz w:val="20"/>
                <w:szCs w:val="20"/>
                <w:color w:val="auto"/>
              </w:rPr>
            </w:pPr>
          </w:p>
        </w:tc>
        <w:tc>
          <w:tcPr>
            <w:tcW w:w="960" w:type="dxa"/>
            <w:vAlign w:val="bottom"/>
            <w:shd w:val="clear" w:color="auto" w:fill="F0F1F2"/>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22"/>
        </w:trPr>
        <w:tc>
          <w:tcPr>
            <w:tcW w:w="3900" w:type="dxa"/>
            <w:vAlign w:val="bottom"/>
          </w:tcPr>
          <w:p>
            <w:pPr>
              <w:ind w:left="100"/>
              <w:spacing w:after="0"/>
              <w:rPr>
                <w:sz w:val="20"/>
                <w:szCs w:val="20"/>
                <w:color w:val="auto"/>
              </w:rPr>
            </w:pPr>
            <w:r>
              <w:rPr>
                <w:rFonts w:ascii="Arial" w:cs="Arial" w:eastAsia="Arial" w:hAnsi="Arial"/>
                <w:sz w:val="14"/>
                <w:szCs w:val="14"/>
                <w:b w:val="1"/>
                <w:bCs w:val="1"/>
                <w:color w:val="2D3243"/>
              </w:rPr>
              <w:t>Daniel Burkland</w:t>
            </w:r>
          </w:p>
        </w:tc>
        <w:tc>
          <w:tcPr>
            <w:tcW w:w="1280" w:type="dxa"/>
            <w:vAlign w:val="bottom"/>
          </w:tcPr>
          <w:p>
            <w:pPr>
              <w:jc w:val="right"/>
              <w:spacing w:after="0"/>
              <w:rPr>
                <w:sz w:val="20"/>
                <w:szCs w:val="20"/>
                <w:color w:val="auto"/>
              </w:rPr>
            </w:pPr>
            <w:r>
              <w:rPr>
                <w:rFonts w:ascii="Arial" w:cs="Arial" w:eastAsia="Arial" w:hAnsi="Arial"/>
                <w:sz w:val="14"/>
                <w:szCs w:val="14"/>
                <w:color w:val="2D3243"/>
              </w:rPr>
              <w:t>47,291</w:t>
            </w:r>
          </w:p>
        </w:tc>
        <w:tc>
          <w:tcPr>
            <w:tcW w:w="420" w:type="dxa"/>
            <w:vAlign w:val="bottom"/>
          </w:tcPr>
          <w:p>
            <w:pPr>
              <w:ind w:left="20"/>
              <w:spacing w:after="0"/>
              <w:rPr>
                <w:sz w:val="20"/>
                <w:szCs w:val="20"/>
                <w:color w:val="auto"/>
              </w:rPr>
            </w:pPr>
            <w:r>
              <w:rPr>
                <w:rFonts w:ascii="Arial" w:cs="Arial" w:eastAsia="Arial" w:hAnsi="Arial"/>
                <w:sz w:val="14"/>
                <w:szCs w:val="14"/>
                <w:color w:val="2D3243"/>
              </w:rPr>
              <w:t>(7)</w:t>
            </w:r>
          </w:p>
        </w:tc>
        <w:tc>
          <w:tcPr>
            <w:tcW w:w="1620" w:type="dxa"/>
            <w:vAlign w:val="bottom"/>
          </w:tcPr>
          <w:p>
            <w:pPr>
              <w:jc w:val="right"/>
              <w:ind w:right="168"/>
              <w:spacing w:after="0"/>
              <w:rPr>
                <w:sz w:val="20"/>
                <w:szCs w:val="20"/>
                <w:color w:val="auto"/>
              </w:rPr>
            </w:pPr>
            <w:r>
              <w:rPr>
                <w:rFonts w:ascii="Arial" w:cs="Arial" w:eastAsia="Arial" w:hAnsi="Arial"/>
                <w:sz w:val="14"/>
                <w:szCs w:val="14"/>
                <w:color w:val="2D3243"/>
              </w:rPr>
              <w:t>200,724</w:t>
            </w:r>
          </w:p>
        </w:tc>
        <w:tc>
          <w:tcPr>
            <w:tcW w:w="1320" w:type="dxa"/>
            <w:vAlign w:val="bottom"/>
          </w:tcPr>
          <w:p>
            <w:pPr>
              <w:jc w:val="right"/>
              <w:ind w:right="68"/>
              <w:spacing w:after="0"/>
              <w:rPr>
                <w:sz w:val="20"/>
                <w:szCs w:val="20"/>
                <w:color w:val="auto"/>
              </w:rPr>
            </w:pPr>
            <w:r>
              <w:rPr>
                <w:rFonts w:ascii="Arial" w:cs="Arial" w:eastAsia="Arial" w:hAnsi="Arial"/>
                <w:sz w:val="14"/>
                <w:szCs w:val="14"/>
                <w:color w:val="2D3243"/>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2D3243"/>
              </w:rPr>
              <w:t>248,015</w:t>
            </w:r>
          </w:p>
        </w:tc>
        <w:tc>
          <w:tcPr>
            <w:tcW w:w="52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37"/>
        </w:trPr>
        <w:tc>
          <w:tcPr>
            <w:tcW w:w="390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p>
        </w:tc>
        <w:tc>
          <w:tcPr>
            <w:tcW w:w="12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5,480</w:t>
            </w:r>
          </w:p>
        </w:tc>
        <w:tc>
          <w:tcPr>
            <w:tcW w:w="42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(8)</w:t>
            </w:r>
          </w:p>
        </w:tc>
        <w:tc>
          <w:tcPr>
            <w:tcW w:w="1620" w:type="dxa"/>
            <w:vAlign w:val="bottom"/>
            <w:shd w:val="clear" w:color="auto" w:fill="F0F1F2"/>
          </w:tcPr>
          <w:p>
            <w:pPr>
              <w:jc w:val="right"/>
              <w:ind w:right="168"/>
              <w:spacing w:after="0"/>
              <w:rPr>
                <w:sz w:val="20"/>
                <w:szCs w:val="20"/>
                <w:color w:val="auto"/>
              </w:rPr>
            </w:pPr>
            <w:r>
              <w:rPr>
                <w:rFonts w:ascii="Arial" w:cs="Arial" w:eastAsia="Arial" w:hAnsi="Arial"/>
                <w:sz w:val="14"/>
                <w:szCs w:val="14"/>
                <w:color w:val="2D3243"/>
              </w:rPr>
              <w:t>9,067</w:t>
            </w:r>
          </w:p>
        </w:tc>
        <w:tc>
          <w:tcPr>
            <w:tcW w:w="1320" w:type="dxa"/>
            <w:vAlign w:val="bottom"/>
            <w:shd w:val="clear" w:color="auto" w:fill="F0F1F2"/>
          </w:tcPr>
          <w:p>
            <w:pPr>
              <w:jc w:val="right"/>
              <w:ind w:right="68"/>
              <w:spacing w:after="0"/>
              <w:rPr>
                <w:sz w:val="20"/>
                <w:szCs w:val="20"/>
                <w:color w:val="auto"/>
              </w:rPr>
            </w:pPr>
            <w:r>
              <w:rPr>
                <w:rFonts w:ascii="Arial" w:cs="Arial" w:eastAsia="Arial" w:hAnsi="Arial"/>
                <w:sz w:val="14"/>
                <w:szCs w:val="14"/>
                <w:color w:val="2D3243"/>
              </w:rPr>
              <w:t>—</w:t>
            </w:r>
          </w:p>
        </w:tc>
        <w:tc>
          <w:tcPr>
            <w:tcW w:w="122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14,547</w:t>
            </w:r>
          </w:p>
        </w:tc>
        <w:tc>
          <w:tcPr>
            <w:tcW w:w="520" w:type="dxa"/>
            <w:vAlign w:val="bottom"/>
            <w:shd w:val="clear" w:color="auto" w:fill="F0F1F2"/>
          </w:tcPr>
          <w:p>
            <w:pPr>
              <w:spacing w:after="0"/>
              <w:rPr>
                <w:sz w:val="20"/>
                <w:szCs w:val="20"/>
                <w:color w:val="auto"/>
              </w:rPr>
            </w:pPr>
          </w:p>
        </w:tc>
        <w:tc>
          <w:tcPr>
            <w:tcW w:w="960" w:type="dxa"/>
            <w:vAlign w:val="bottom"/>
            <w:shd w:val="clear" w:color="auto" w:fill="F0F1F2"/>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22"/>
        </w:trPr>
        <w:tc>
          <w:tcPr>
            <w:tcW w:w="3900" w:type="dxa"/>
            <w:vAlign w:val="bottom"/>
          </w:tcPr>
          <w:p>
            <w:pPr>
              <w:ind w:left="100"/>
              <w:spacing w:after="0"/>
              <w:rPr>
                <w:sz w:val="20"/>
                <w:szCs w:val="20"/>
                <w:color w:val="auto"/>
              </w:rPr>
            </w:pPr>
            <w:r>
              <w:rPr>
                <w:rFonts w:ascii="Arial" w:cs="Arial" w:eastAsia="Arial" w:hAnsi="Arial"/>
                <w:sz w:val="14"/>
                <w:szCs w:val="14"/>
                <w:b w:val="1"/>
                <w:bCs w:val="1"/>
                <w:color w:val="2D3243"/>
              </w:rPr>
              <w:t>Panos Kozanian</w:t>
            </w:r>
          </w:p>
        </w:tc>
        <w:tc>
          <w:tcPr>
            <w:tcW w:w="1280" w:type="dxa"/>
            <w:vAlign w:val="bottom"/>
          </w:tcPr>
          <w:p>
            <w:pPr>
              <w:jc w:val="right"/>
              <w:spacing w:after="0"/>
              <w:rPr>
                <w:sz w:val="20"/>
                <w:szCs w:val="20"/>
                <w:color w:val="auto"/>
              </w:rPr>
            </w:pPr>
            <w:r>
              <w:rPr>
                <w:rFonts w:ascii="Arial" w:cs="Arial" w:eastAsia="Arial" w:hAnsi="Arial"/>
                <w:sz w:val="14"/>
                <w:szCs w:val="14"/>
                <w:color w:val="2D3243"/>
              </w:rPr>
              <w:t>7,907</w:t>
            </w:r>
          </w:p>
        </w:tc>
        <w:tc>
          <w:tcPr>
            <w:tcW w:w="420" w:type="dxa"/>
            <w:vAlign w:val="bottom"/>
          </w:tcPr>
          <w:p>
            <w:pPr>
              <w:ind w:left="20"/>
              <w:spacing w:after="0"/>
              <w:rPr>
                <w:sz w:val="20"/>
                <w:szCs w:val="20"/>
                <w:color w:val="auto"/>
              </w:rPr>
            </w:pPr>
            <w:r>
              <w:rPr>
                <w:rFonts w:ascii="Arial" w:cs="Arial" w:eastAsia="Arial" w:hAnsi="Arial"/>
                <w:sz w:val="14"/>
                <w:szCs w:val="14"/>
                <w:color w:val="2D3243"/>
              </w:rPr>
              <w:t>(9)</w:t>
            </w:r>
          </w:p>
        </w:tc>
        <w:tc>
          <w:tcPr>
            <w:tcW w:w="1620" w:type="dxa"/>
            <w:vAlign w:val="bottom"/>
          </w:tcPr>
          <w:p>
            <w:pPr>
              <w:jc w:val="right"/>
              <w:ind w:right="168"/>
              <w:spacing w:after="0"/>
              <w:rPr>
                <w:sz w:val="20"/>
                <w:szCs w:val="20"/>
                <w:color w:val="auto"/>
              </w:rPr>
            </w:pPr>
            <w:r>
              <w:rPr>
                <w:rFonts w:ascii="Arial" w:cs="Arial" w:eastAsia="Arial" w:hAnsi="Arial"/>
                <w:sz w:val="14"/>
                <w:szCs w:val="14"/>
                <w:color w:val="2D3243"/>
              </w:rPr>
              <w:t>12,880</w:t>
            </w:r>
          </w:p>
        </w:tc>
        <w:tc>
          <w:tcPr>
            <w:tcW w:w="1320" w:type="dxa"/>
            <w:vAlign w:val="bottom"/>
          </w:tcPr>
          <w:p>
            <w:pPr>
              <w:jc w:val="right"/>
              <w:ind w:right="68"/>
              <w:spacing w:after="0"/>
              <w:rPr>
                <w:sz w:val="20"/>
                <w:szCs w:val="20"/>
                <w:color w:val="auto"/>
              </w:rPr>
            </w:pPr>
            <w:r>
              <w:rPr>
                <w:rFonts w:ascii="Arial" w:cs="Arial" w:eastAsia="Arial" w:hAnsi="Arial"/>
                <w:sz w:val="14"/>
                <w:szCs w:val="14"/>
                <w:color w:val="2D3243"/>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2D3243"/>
              </w:rPr>
              <w:t>20,787</w:t>
            </w:r>
          </w:p>
        </w:tc>
        <w:tc>
          <w:tcPr>
            <w:tcW w:w="52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37"/>
        </w:trPr>
        <w:tc>
          <w:tcPr>
            <w:tcW w:w="390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Jack Acosta</w:t>
            </w:r>
          </w:p>
        </w:tc>
        <w:tc>
          <w:tcPr>
            <w:tcW w:w="12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30,729</w:t>
            </w:r>
          </w:p>
        </w:tc>
        <w:tc>
          <w:tcPr>
            <w:tcW w:w="42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(10)</w:t>
            </w:r>
          </w:p>
        </w:tc>
        <w:tc>
          <w:tcPr>
            <w:tcW w:w="1620" w:type="dxa"/>
            <w:vAlign w:val="bottom"/>
            <w:shd w:val="clear" w:color="auto" w:fill="F0F1F2"/>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shd w:val="clear" w:color="auto" w:fill="F0F1F2"/>
          </w:tcPr>
          <w:p>
            <w:pPr>
              <w:jc w:val="right"/>
              <w:ind w:right="68"/>
              <w:spacing w:after="0"/>
              <w:rPr>
                <w:sz w:val="20"/>
                <w:szCs w:val="20"/>
                <w:color w:val="auto"/>
              </w:rPr>
            </w:pPr>
            <w:r>
              <w:rPr>
                <w:rFonts w:ascii="Arial" w:cs="Arial" w:eastAsia="Arial" w:hAnsi="Arial"/>
                <w:sz w:val="14"/>
                <w:szCs w:val="14"/>
                <w:color w:val="2D3243"/>
              </w:rPr>
              <w:t>3,669</w:t>
            </w:r>
          </w:p>
        </w:tc>
        <w:tc>
          <w:tcPr>
            <w:tcW w:w="122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34,398</w:t>
            </w:r>
          </w:p>
        </w:tc>
        <w:tc>
          <w:tcPr>
            <w:tcW w:w="520" w:type="dxa"/>
            <w:vAlign w:val="bottom"/>
            <w:shd w:val="clear" w:color="auto" w:fill="F0F1F2"/>
          </w:tcPr>
          <w:p>
            <w:pPr>
              <w:spacing w:after="0"/>
              <w:rPr>
                <w:sz w:val="20"/>
                <w:szCs w:val="20"/>
                <w:color w:val="auto"/>
              </w:rPr>
            </w:pPr>
          </w:p>
        </w:tc>
        <w:tc>
          <w:tcPr>
            <w:tcW w:w="960" w:type="dxa"/>
            <w:vAlign w:val="bottom"/>
            <w:shd w:val="clear" w:color="auto" w:fill="F0F1F2"/>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22"/>
        </w:trPr>
        <w:tc>
          <w:tcPr>
            <w:tcW w:w="3900" w:type="dxa"/>
            <w:vAlign w:val="bottom"/>
          </w:tcPr>
          <w:p>
            <w:pPr>
              <w:ind w:left="100"/>
              <w:spacing w:after="0"/>
              <w:rPr>
                <w:sz w:val="20"/>
                <w:szCs w:val="20"/>
                <w:color w:val="auto"/>
              </w:rPr>
            </w:pPr>
            <w:r>
              <w:rPr>
                <w:rFonts w:ascii="Arial" w:cs="Arial" w:eastAsia="Arial" w:hAnsi="Arial"/>
                <w:sz w:val="14"/>
                <w:szCs w:val="14"/>
                <w:b w:val="1"/>
                <w:bCs w:val="1"/>
                <w:color w:val="2D3243"/>
              </w:rPr>
              <w:t>Susan Barsamian</w:t>
            </w:r>
          </w:p>
        </w:tc>
        <w:tc>
          <w:tcPr>
            <w:tcW w:w="1280" w:type="dxa"/>
            <w:vAlign w:val="bottom"/>
          </w:tcPr>
          <w:p>
            <w:pPr>
              <w:jc w:val="right"/>
              <w:spacing w:after="0"/>
              <w:rPr>
                <w:sz w:val="20"/>
                <w:szCs w:val="20"/>
                <w:color w:val="auto"/>
              </w:rPr>
            </w:pPr>
            <w:r>
              <w:rPr>
                <w:rFonts w:ascii="Arial" w:cs="Arial" w:eastAsia="Arial" w:hAnsi="Arial"/>
                <w:sz w:val="14"/>
                <w:szCs w:val="14"/>
                <w:color w:val="2D3243"/>
              </w:rPr>
              <w:t>4,671</w:t>
            </w:r>
          </w:p>
        </w:tc>
        <w:tc>
          <w:tcPr>
            <w:tcW w:w="420" w:type="dxa"/>
            <w:vAlign w:val="bottom"/>
          </w:tcPr>
          <w:p>
            <w:pPr>
              <w:ind w:left="20"/>
              <w:spacing w:after="0"/>
              <w:rPr>
                <w:sz w:val="20"/>
                <w:szCs w:val="20"/>
                <w:color w:val="auto"/>
              </w:rPr>
            </w:pPr>
            <w:r>
              <w:rPr>
                <w:rFonts w:ascii="Arial" w:cs="Arial" w:eastAsia="Arial" w:hAnsi="Arial"/>
                <w:sz w:val="14"/>
                <w:szCs w:val="14"/>
                <w:color w:val="2D3243"/>
              </w:rPr>
              <w:t>(11)</w:t>
            </w:r>
          </w:p>
        </w:tc>
        <w:tc>
          <w:tcPr>
            <w:tcW w:w="1620" w:type="dxa"/>
            <w:vAlign w:val="bottom"/>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2D3243"/>
              </w:rPr>
              <w:t>3,669</w:t>
            </w:r>
          </w:p>
        </w:tc>
        <w:tc>
          <w:tcPr>
            <w:tcW w:w="1220" w:type="dxa"/>
            <w:vAlign w:val="bottom"/>
          </w:tcPr>
          <w:p>
            <w:pPr>
              <w:jc w:val="right"/>
              <w:ind w:right="8"/>
              <w:spacing w:after="0"/>
              <w:rPr>
                <w:sz w:val="20"/>
                <w:szCs w:val="20"/>
                <w:color w:val="auto"/>
              </w:rPr>
            </w:pPr>
            <w:r>
              <w:rPr>
                <w:rFonts w:ascii="Arial" w:cs="Arial" w:eastAsia="Arial" w:hAnsi="Arial"/>
                <w:sz w:val="14"/>
                <w:szCs w:val="14"/>
                <w:color w:val="2D3243"/>
              </w:rPr>
              <w:t>8,340</w:t>
            </w:r>
          </w:p>
        </w:tc>
        <w:tc>
          <w:tcPr>
            <w:tcW w:w="52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37"/>
        </w:trPr>
        <w:tc>
          <w:tcPr>
            <w:tcW w:w="390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Michael Burdiek</w:t>
            </w:r>
          </w:p>
        </w:tc>
        <w:tc>
          <w:tcPr>
            <w:tcW w:w="12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15,596</w:t>
            </w:r>
          </w:p>
        </w:tc>
        <w:tc>
          <w:tcPr>
            <w:tcW w:w="42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(12)</w:t>
            </w:r>
          </w:p>
        </w:tc>
        <w:tc>
          <w:tcPr>
            <w:tcW w:w="1620" w:type="dxa"/>
            <w:vAlign w:val="bottom"/>
            <w:shd w:val="clear" w:color="auto" w:fill="F0F1F2"/>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shd w:val="clear" w:color="auto" w:fill="F0F1F2"/>
          </w:tcPr>
          <w:p>
            <w:pPr>
              <w:jc w:val="right"/>
              <w:ind w:right="68"/>
              <w:spacing w:after="0"/>
              <w:rPr>
                <w:sz w:val="20"/>
                <w:szCs w:val="20"/>
                <w:color w:val="auto"/>
              </w:rPr>
            </w:pPr>
            <w:r>
              <w:rPr>
                <w:rFonts w:ascii="Arial" w:cs="Arial" w:eastAsia="Arial" w:hAnsi="Arial"/>
                <w:sz w:val="14"/>
                <w:szCs w:val="14"/>
                <w:color w:val="2D3243"/>
              </w:rPr>
              <w:t>3,669</w:t>
            </w:r>
          </w:p>
        </w:tc>
        <w:tc>
          <w:tcPr>
            <w:tcW w:w="122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19,265</w:t>
            </w:r>
          </w:p>
        </w:tc>
        <w:tc>
          <w:tcPr>
            <w:tcW w:w="520" w:type="dxa"/>
            <w:vAlign w:val="bottom"/>
            <w:shd w:val="clear" w:color="auto" w:fill="F0F1F2"/>
          </w:tcPr>
          <w:p>
            <w:pPr>
              <w:spacing w:after="0"/>
              <w:rPr>
                <w:sz w:val="20"/>
                <w:szCs w:val="20"/>
                <w:color w:val="auto"/>
              </w:rPr>
            </w:pPr>
          </w:p>
        </w:tc>
        <w:tc>
          <w:tcPr>
            <w:tcW w:w="960" w:type="dxa"/>
            <w:vAlign w:val="bottom"/>
            <w:shd w:val="clear" w:color="auto" w:fill="F0F1F2"/>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22"/>
        </w:trPr>
        <w:tc>
          <w:tcPr>
            <w:tcW w:w="3900" w:type="dxa"/>
            <w:vAlign w:val="bottom"/>
          </w:tcPr>
          <w:p>
            <w:pPr>
              <w:ind w:left="100"/>
              <w:spacing w:after="0"/>
              <w:rPr>
                <w:sz w:val="20"/>
                <w:szCs w:val="20"/>
                <w:color w:val="auto"/>
              </w:rPr>
            </w:pPr>
            <w:r>
              <w:rPr>
                <w:rFonts w:ascii="Arial" w:cs="Arial" w:eastAsia="Arial" w:hAnsi="Arial"/>
                <w:sz w:val="14"/>
                <w:szCs w:val="14"/>
                <w:b w:val="1"/>
                <w:bCs w:val="1"/>
                <w:color w:val="2D3243"/>
              </w:rPr>
              <w:t>David DeWalt</w:t>
            </w:r>
          </w:p>
        </w:tc>
        <w:tc>
          <w:tcPr>
            <w:tcW w:w="1280" w:type="dxa"/>
            <w:vAlign w:val="bottom"/>
          </w:tcPr>
          <w:p>
            <w:pPr>
              <w:jc w:val="right"/>
              <w:spacing w:after="0"/>
              <w:rPr>
                <w:sz w:val="20"/>
                <w:szCs w:val="20"/>
                <w:color w:val="auto"/>
              </w:rPr>
            </w:pPr>
            <w:r>
              <w:rPr>
                <w:rFonts w:ascii="Arial" w:cs="Arial" w:eastAsia="Arial" w:hAnsi="Arial"/>
                <w:sz w:val="14"/>
                <w:szCs w:val="14"/>
                <w:color w:val="2D3243"/>
              </w:rPr>
              <w:t>201,629</w:t>
            </w:r>
          </w:p>
        </w:tc>
        <w:tc>
          <w:tcPr>
            <w:tcW w:w="420" w:type="dxa"/>
            <w:vAlign w:val="bottom"/>
          </w:tcPr>
          <w:p>
            <w:pPr>
              <w:ind w:left="20"/>
              <w:spacing w:after="0"/>
              <w:rPr>
                <w:sz w:val="20"/>
                <w:szCs w:val="20"/>
                <w:color w:val="auto"/>
              </w:rPr>
            </w:pPr>
            <w:r>
              <w:rPr>
                <w:rFonts w:ascii="Arial" w:cs="Arial" w:eastAsia="Arial" w:hAnsi="Arial"/>
                <w:sz w:val="14"/>
                <w:szCs w:val="14"/>
                <w:color w:val="2D3243"/>
              </w:rPr>
              <w:t>(13)</w:t>
            </w:r>
          </w:p>
        </w:tc>
        <w:tc>
          <w:tcPr>
            <w:tcW w:w="1620" w:type="dxa"/>
            <w:vAlign w:val="bottom"/>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2D3243"/>
              </w:rPr>
              <w:t>3,669</w:t>
            </w:r>
          </w:p>
        </w:tc>
        <w:tc>
          <w:tcPr>
            <w:tcW w:w="1220" w:type="dxa"/>
            <w:vAlign w:val="bottom"/>
          </w:tcPr>
          <w:p>
            <w:pPr>
              <w:jc w:val="right"/>
              <w:ind w:right="8"/>
              <w:spacing w:after="0"/>
              <w:rPr>
                <w:sz w:val="20"/>
                <w:szCs w:val="20"/>
                <w:color w:val="auto"/>
              </w:rPr>
            </w:pPr>
            <w:r>
              <w:rPr>
                <w:rFonts w:ascii="Arial" w:cs="Arial" w:eastAsia="Arial" w:hAnsi="Arial"/>
                <w:sz w:val="14"/>
                <w:szCs w:val="14"/>
                <w:color w:val="2D3243"/>
              </w:rPr>
              <w:t>205,298</w:t>
            </w:r>
          </w:p>
        </w:tc>
        <w:tc>
          <w:tcPr>
            <w:tcW w:w="52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37"/>
        </w:trPr>
        <w:tc>
          <w:tcPr>
            <w:tcW w:w="390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Julie Iskow</w:t>
            </w:r>
          </w:p>
        </w:tc>
        <w:tc>
          <w:tcPr>
            <w:tcW w:w="12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2,260</w:t>
            </w:r>
          </w:p>
        </w:tc>
        <w:tc>
          <w:tcPr>
            <w:tcW w:w="42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(14)</w:t>
            </w:r>
          </w:p>
        </w:tc>
        <w:tc>
          <w:tcPr>
            <w:tcW w:w="1620" w:type="dxa"/>
            <w:vAlign w:val="bottom"/>
            <w:shd w:val="clear" w:color="auto" w:fill="F0F1F2"/>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shd w:val="clear" w:color="auto" w:fill="F0F1F2"/>
          </w:tcPr>
          <w:p>
            <w:pPr>
              <w:jc w:val="right"/>
              <w:ind w:right="68"/>
              <w:spacing w:after="0"/>
              <w:rPr>
                <w:sz w:val="20"/>
                <w:szCs w:val="20"/>
                <w:color w:val="auto"/>
              </w:rPr>
            </w:pPr>
            <w:r>
              <w:rPr>
                <w:rFonts w:ascii="Arial" w:cs="Arial" w:eastAsia="Arial" w:hAnsi="Arial"/>
                <w:sz w:val="14"/>
                <w:szCs w:val="14"/>
                <w:color w:val="2D3243"/>
              </w:rPr>
              <w:t>—</w:t>
            </w:r>
          </w:p>
        </w:tc>
        <w:tc>
          <w:tcPr>
            <w:tcW w:w="122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2,260</w:t>
            </w:r>
          </w:p>
        </w:tc>
        <w:tc>
          <w:tcPr>
            <w:tcW w:w="520" w:type="dxa"/>
            <w:vAlign w:val="bottom"/>
            <w:shd w:val="clear" w:color="auto" w:fill="F0F1F2"/>
          </w:tcPr>
          <w:p>
            <w:pPr>
              <w:spacing w:after="0"/>
              <w:rPr>
                <w:sz w:val="20"/>
                <w:szCs w:val="20"/>
                <w:color w:val="auto"/>
              </w:rPr>
            </w:pPr>
          </w:p>
        </w:tc>
        <w:tc>
          <w:tcPr>
            <w:tcW w:w="960" w:type="dxa"/>
            <w:vAlign w:val="bottom"/>
            <w:shd w:val="clear" w:color="auto" w:fill="F0F1F2"/>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22"/>
        </w:trPr>
        <w:tc>
          <w:tcPr>
            <w:tcW w:w="3900" w:type="dxa"/>
            <w:vAlign w:val="bottom"/>
          </w:tcPr>
          <w:p>
            <w:pPr>
              <w:ind w:left="100"/>
              <w:spacing w:after="0"/>
              <w:rPr>
                <w:sz w:val="20"/>
                <w:szCs w:val="20"/>
                <w:color w:val="auto"/>
              </w:rPr>
            </w:pPr>
            <w:r>
              <w:rPr>
                <w:rFonts w:ascii="Arial" w:cs="Arial" w:eastAsia="Arial" w:hAnsi="Arial"/>
                <w:sz w:val="14"/>
                <w:szCs w:val="14"/>
                <w:b w:val="1"/>
                <w:bCs w:val="1"/>
                <w:color w:val="2D3243"/>
              </w:rPr>
              <w:t>Jonathan Mariner</w:t>
            </w:r>
          </w:p>
        </w:tc>
        <w:tc>
          <w:tcPr>
            <w:tcW w:w="1280" w:type="dxa"/>
            <w:vAlign w:val="bottom"/>
          </w:tcPr>
          <w:p>
            <w:pPr>
              <w:jc w:val="right"/>
              <w:spacing w:after="0"/>
              <w:rPr>
                <w:sz w:val="20"/>
                <w:szCs w:val="20"/>
                <w:color w:val="auto"/>
              </w:rPr>
            </w:pPr>
            <w:r>
              <w:rPr>
                <w:rFonts w:ascii="Arial" w:cs="Arial" w:eastAsia="Arial" w:hAnsi="Arial"/>
                <w:sz w:val="14"/>
                <w:szCs w:val="14"/>
                <w:color w:val="2D3243"/>
              </w:rPr>
              <w:t>—</w:t>
            </w:r>
          </w:p>
        </w:tc>
        <w:tc>
          <w:tcPr>
            <w:tcW w:w="420" w:type="dxa"/>
            <w:vAlign w:val="bottom"/>
          </w:tcPr>
          <w:p>
            <w:pPr>
              <w:spacing w:after="0"/>
              <w:rPr>
                <w:sz w:val="19"/>
                <w:szCs w:val="19"/>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2D3243"/>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2D3243"/>
              </w:rPr>
              <w:t>—</w:t>
            </w:r>
          </w:p>
        </w:tc>
        <w:tc>
          <w:tcPr>
            <w:tcW w:w="52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37"/>
        </w:trPr>
        <w:tc>
          <w:tcPr>
            <w:tcW w:w="390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David S. Welsh</w:t>
            </w:r>
          </w:p>
        </w:tc>
        <w:tc>
          <w:tcPr>
            <w:tcW w:w="12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14,531</w:t>
            </w:r>
          </w:p>
        </w:tc>
        <w:tc>
          <w:tcPr>
            <w:tcW w:w="42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(15)</w:t>
            </w:r>
          </w:p>
        </w:tc>
        <w:tc>
          <w:tcPr>
            <w:tcW w:w="1620" w:type="dxa"/>
            <w:vAlign w:val="bottom"/>
            <w:shd w:val="clear" w:color="auto" w:fill="F0F1F2"/>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shd w:val="clear" w:color="auto" w:fill="F0F1F2"/>
          </w:tcPr>
          <w:p>
            <w:pPr>
              <w:jc w:val="right"/>
              <w:ind w:right="68"/>
              <w:spacing w:after="0"/>
              <w:rPr>
                <w:sz w:val="20"/>
                <w:szCs w:val="20"/>
                <w:color w:val="auto"/>
              </w:rPr>
            </w:pPr>
            <w:r>
              <w:rPr>
                <w:rFonts w:ascii="Arial" w:cs="Arial" w:eastAsia="Arial" w:hAnsi="Arial"/>
                <w:sz w:val="14"/>
                <w:szCs w:val="14"/>
                <w:color w:val="2D3243"/>
              </w:rPr>
              <w:t>3,669</w:t>
            </w:r>
          </w:p>
        </w:tc>
        <w:tc>
          <w:tcPr>
            <w:tcW w:w="122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18,200</w:t>
            </w:r>
          </w:p>
        </w:tc>
        <w:tc>
          <w:tcPr>
            <w:tcW w:w="520" w:type="dxa"/>
            <w:vAlign w:val="bottom"/>
            <w:shd w:val="clear" w:color="auto" w:fill="F0F1F2"/>
          </w:tcPr>
          <w:p>
            <w:pPr>
              <w:spacing w:after="0"/>
              <w:rPr>
                <w:sz w:val="20"/>
                <w:szCs w:val="20"/>
                <w:color w:val="auto"/>
              </w:rPr>
            </w:pPr>
          </w:p>
        </w:tc>
        <w:tc>
          <w:tcPr>
            <w:tcW w:w="960" w:type="dxa"/>
            <w:vAlign w:val="bottom"/>
            <w:shd w:val="clear" w:color="auto" w:fill="F0F1F2"/>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22"/>
        </w:trPr>
        <w:tc>
          <w:tcPr>
            <w:tcW w:w="3900" w:type="dxa"/>
            <w:vAlign w:val="bottom"/>
          </w:tcPr>
          <w:p>
            <w:pPr>
              <w:ind w:left="100"/>
              <w:spacing w:after="0"/>
              <w:rPr>
                <w:sz w:val="20"/>
                <w:szCs w:val="20"/>
                <w:color w:val="auto"/>
              </w:rPr>
            </w:pPr>
            <w:r>
              <w:rPr>
                <w:rFonts w:ascii="Arial" w:cs="Arial" w:eastAsia="Arial" w:hAnsi="Arial"/>
                <w:sz w:val="14"/>
                <w:szCs w:val="14"/>
                <w:b w:val="1"/>
                <w:bCs w:val="1"/>
                <w:color w:val="2D3243"/>
              </w:rPr>
              <w:t>Robert Zollars</w:t>
            </w:r>
          </w:p>
        </w:tc>
        <w:tc>
          <w:tcPr>
            <w:tcW w:w="1280" w:type="dxa"/>
            <w:vAlign w:val="bottom"/>
          </w:tcPr>
          <w:p>
            <w:pPr>
              <w:jc w:val="right"/>
              <w:spacing w:after="0"/>
              <w:rPr>
                <w:sz w:val="20"/>
                <w:szCs w:val="20"/>
                <w:color w:val="auto"/>
              </w:rPr>
            </w:pPr>
            <w:r>
              <w:rPr>
                <w:rFonts w:ascii="Arial" w:cs="Arial" w:eastAsia="Arial" w:hAnsi="Arial"/>
                <w:sz w:val="14"/>
                <w:szCs w:val="14"/>
                <w:color w:val="2D3243"/>
              </w:rPr>
              <w:t>62,891</w:t>
            </w:r>
          </w:p>
        </w:tc>
        <w:tc>
          <w:tcPr>
            <w:tcW w:w="420" w:type="dxa"/>
            <w:vAlign w:val="bottom"/>
          </w:tcPr>
          <w:p>
            <w:pPr>
              <w:ind w:left="20"/>
              <w:spacing w:after="0"/>
              <w:rPr>
                <w:sz w:val="20"/>
                <w:szCs w:val="20"/>
                <w:color w:val="auto"/>
              </w:rPr>
            </w:pPr>
            <w:r>
              <w:rPr>
                <w:rFonts w:ascii="Arial" w:cs="Arial" w:eastAsia="Arial" w:hAnsi="Arial"/>
                <w:sz w:val="14"/>
                <w:szCs w:val="14"/>
                <w:color w:val="2D3243"/>
              </w:rPr>
              <w:t>(16)</w:t>
            </w:r>
          </w:p>
        </w:tc>
        <w:tc>
          <w:tcPr>
            <w:tcW w:w="1620" w:type="dxa"/>
            <w:vAlign w:val="bottom"/>
          </w:tcPr>
          <w:p>
            <w:pPr>
              <w:jc w:val="right"/>
              <w:ind w:right="168"/>
              <w:spacing w:after="0"/>
              <w:rPr>
                <w:sz w:val="20"/>
                <w:szCs w:val="20"/>
                <w:color w:val="auto"/>
              </w:rPr>
            </w:pPr>
            <w:r>
              <w:rPr>
                <w:rFonts w:ascii="Arial" w:cs="Arial" w:eastAsia="Arial" w:hAnsi="Arial"/>
                <w:sz w:val="14"/>
                <w:szCs w:val="14"/>
                <w:color w:val="2D3243"/>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2D3243"/>
              </w:rPr>
              <w:t>3,669</w:t>
            </w:r>
          </w:p>
        </w:tc>
        <w:tc>
          <w:tcPr>
            <w:tcW w:w="1220" w:type="dxa"/>
            <w:vAlign w:val="bottom"/>
          </w:tcPr>
          <w:p>
            <w:pPr>
              <w:jc w:val="right"/>
              <w:ind w:right="8"/>
              <w:spacing w:after="0"/>
              <w:rPr>
                <w:sz w:val="20"/>
                <w:szCs w:val="20"/>
                <w:color w:val="auto"/>
              </w:rPr>
            </w:pPr>
            <w:r>
              <w:rPr>
                <w:rFonts w:ascii="Arial" w:cs="Arial" w:eastAsia="Arial" w:hAnsi="Arial"/>
                <w:sz w:val="14"/>
                <w:szCs w:val="14"/>
                <w:color w:val="2D3243"/>
              </w:rPr>
              <w:t>66,560</w:t>
            </w:r>
          </w:p>
        </w:tc>
        <w:tc>
          <w:tcPr>
            <w:tcW w:w="52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01"/>
        </w:trPr>
        <w:tc>
          <w:tcPr>
            <w:tcW w:w="390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All current directors and executive officers as a group</w:t>
            </w:r>
          </w:p>
        </w:tc>
        <w:tc>
          <w:tcPr>
            <w:tcW w:w="1280" w:type="dxa"/>
            <w:vAlign w:val="bottom"/>
            <w:vMerge w:val="restart"/>
            <w:shd w:val="clear" w:color="auto" w:fill="F0F1F2"/>
          </w:tcPr>
          <w:p>
            <w:pPr>
              <w:jc w:val="right"/>
              <w:spacing w:after="0"/>
              <w:rPr>
                <w:sz w:val="20"/>
                <w:szCs w:val="20"/>
                <w:color w:val="auto"/>
              </w:rPr>
            </w:pPr>
            <w:r>
              <w:rPr>
                <w:rFonts w:ascii="Arial" w:cs="Arial" w:eastAsia="Arial" w:hAnsi="Arial"/>
                <w:sz w:val="14"/>
                <w:szCs w:val="14"/>
                <w:color w:val="2D3243"/>
              </w:rPr>
              <w:t>716,800</w:t>
            </w:r>
          </w:p>
        </w:tc>
        <w:tc>
          <w:tcPr>
            <w:tcW w:w="420" w:type="dxa"/>
            <w:vAlign w:val="bottom"/>
            <w:shd w:val="clear" w:color="auto" w:fill="F0F1F2"/>
          </w:tcPr>
          <w:p>
            <w:pPr>
              <w:spacing w:after="0"/>
              <w:rPr>
                <w:sz w:val="17"/>
                <w:szCs w:val="17"/>
                <w:color w:val="auto"/>
              </w:rPr>
            </w:pPr>
          </w:p>
        </w:tc>
        <w:tc>
          <w:tcPr>
            <w:tcW w:w="1620" w:type="dxa"/>
            <w:vAlign w:val="bottom"/>
            <w:vMerge w:val="restart"/>
            <w:shd w:val="clear" w:color="auto" w:fill="F0F1F2"/>
          </w:tcPr>
          <w:p>
            <w:pPr>
              <w:jc w:val="right"/>
              <w:ind w:right="168"/>
              <w:spacing w:after="0"/>
              <w:rPr>
                <w:sz w:val="20"/>
                <w:szCs w:val="20"/>
                <w:color w:val="auto"/>
              </w:rPr>
            </w:pPr>
            <w:r>
              <w:rPr>
                <w:rFonts w:ascii="Arial" w:cs="Arial" w:eastAsia="Arial" w:hAnsi="Arial"/>
                <w:sz w:val="14"/>
                <w:szCs w:val="14"/>
                <w:color w:val="2D3243"/>
              </w:rPr>
              <w:t>564,993</w:t>
            </w:r>
          </w:p>
        </w:tc>
        <w:tc>
          <w:tcPr>
            <w:tcW w:w="1320" w:type="dxa"/>
            <w:vAlign w:val="bottom"/>
            <w:vMerge w:val="restart"/>
            <w:shd w:val="clear" w:color="auto" w:fill="F0F1F2"/>
          </w:tcPr>
          <w:p>
            <w:pPr>
              <w:jc w:val="right"/>
              <w:ind w:right="68"/>
              <w:spacing w:after="0"/>
              <w:rPr>
                <w:sz w:val="20"/>
                <w:szCs w:val="20"/>
                <w:color w:val="auto"/>
              </w:rPr>
            </w:pPr>
            <w:r>
              <w:rPr>
                <w:rFonts w:ascii="Arial" w:cs="Arial" w:eastAsia="Arial" w:hAnsi="Arial"/>
                <w:sz w:val="14"/>
                <w:szCs w:val="14"/>
                <w:color w:val="2D3243"/>
              </w:rPr>
              <w:t>22,014</w:t>
            </w:r>
          </w:p>
        </w:tc>
        <w:tc>
          <w:tcPr>
            <w:tcW w:w="1220" w:type="dxa"/>
            <w:vAlign w:val="bottom"/>
            <w:vMerge w:val="restart"/>
            <w:shd w:val="clear" w:color="auto" w:fill="F0F1F2"/>
          </w:tcPr>
          <w:p>
            <w:pPr>
              <w:jc w:val="right"/>
              <w:ind w:right="8"/>
              <w:spacing w:after="0"/>
              <w:rPr>
                <w:sz w:val="20"/>
                <w:szCs w:val="20"/>
                <w:color w:val="auto"/>
              </w:rPr>
            </w:pPr>
            <w:r>
              <w:rPr>
                <w:rFonts w:ascii="Arial" w:cs="Arial" w:eastAsia="Arial" w:hAnsi="Arial"/>
                <w:sz w:val="14"/>
                <w:szCs w:val="14"/>
                <w:color w:val="2D3243"/>
              </w:rPr>
              <w:t>1,303,807</w:t>
            </w:r>
          </w:p>
        </w:tc>
        <w:tc>
          <w:tcPr>
            <w:tcW w:w="520" w:type="dxa"/>
            <w:vAlign w:val="bottom"/>
            <w:shd w:val="clear" w:color="auto" w:fill="F0F1F2"/>
          </w:tcPr>
          <w:p>
            <w:pPr>
              <w:spacing w:after="0"/>
              <w:rPr>
                <w:sz w:val="17"/>
                <w:szCs w:val="17"/>
                <w:color w:val="auto"/>
              </w:rPr>
            </w:pPr>
          </w:p>
        </w:tc>
        <w:tc>
          <w:tcPr>
            <w:tcW w:w="960" w:type="dxa"/>
            <w:vAlign w:val="bottom"/>
            <w:vMerge w:val="restart"/>
            <w:shd w:val="clear" w:color="auto" w:fill="F0F1F2"/>
          </w:tcPr>
          <w:p>
            <w:pPr>
              <w:jc w:val="right"/>
              <w:ind w:right="88"/>
              <w:spacing w:after="0"/>
              <w:rPr>
                <w:sz w:val="20"/>
                <w:szCs w:val="20"/>
                <w:color w:val="auto"/>
              </w:rPr>
            </w:pPr>
            <w:r>
              <w:rPr>
                <w:rFonts w:ascii="Arial" w:cs="Arial" w:eastAsia="Arial" w:hAnsi="Arial"/>
                <w:sz w:val="14"/>
                <w:szCs w:val="14"/>
                <w:color w:val="2D3243"/>
              </w:rPr>
              <w:t>1.8</w:t>
            </w:r>
          </w:p>
        </w:tc>
        <w:tc>
          <w:tcPr>
            <w:tcW w:w="0" w:type="dxa"/>
            <w:vAlign w:val="bottom"/>
          </w:tcPr>
          <w:p>
            <w:pPr>
              <w:spacing w:after="0"/>
              <w:rPr>
                <w:sz w:val="1"/>
                <w:szCs w:val="1"/>
                <w:color w:val="auto"/>
              </w:rPr>
            </w:pPr>
          </w:p>
        </w:tc>
      </w:tr>
      <w:tr>
        <w:trPr>
          <w:trHeight w:val="96"/>
        </w:trPr>
        <w:tc>
          <w:tcPr>
            <w:tcW w:w="3900" w:type="dxa"/>
            <w:vAlign w:val="bottom"/>
            <w:vMerge w:val="restart"/>
            <w:shd w:val="clear" w:color="auto" w:fill="F0F1F2"/>
          </w:tcPr>
          <w:p>
            <w:pPr>
              <w:ind w:left="100"/>
              <w:spacing w:after="0"/>
              <w:rPr>
                <w:sz w:val="20"/>
                <w:szCs w:val="20"/>
                <w:color w:val="auto"/>
              </w:rPr>
            </w:pPr>
            <w:r>
              <w:rPr>
                <w:rFonts w:ascii="Arial" w:cs="Arial" w:eastAsia="Arial" w:hAnsi="Arial"/>
                <w:sz w:val="14"/>
                <w:szCs w:val="14"/>
                <w:b w:val="1"/>
                <w:bCs w:val="1"/>
                <w:color w:val="2D3243"/>
              </w:rPr>
              <w:t>(13 persons)</w:t>
            </w:r>
          </w:p>
        </w:tc>
        <w:tc>
          <w:tcPr>
            <w:tcW w:w="1280" w:type="dxa"/>
            <w:vAlign w:val="bottom"/>
            <w:vMerge w:val="continue"/>
            <w:shd w:val="clear" w:color="auto" w:fill="F0F1F2"/>
          </w:tcPr>
          <w:p>
            <w:pPr>
              <w:spacing w:after="0"/>
              <w:rPr>
                <w:sz w:val="8"/>
                <w:szCs w:val="8"/>
                <w:color w:val="auto"/>
              </w:rPr>
            </w:pPr>
          </w:p>
        </w:tc>
        <w:tc>
          <w:tcPr>
            <w:tcW w:w="420" w:type="dxa"/>
            <w:vAlign w:val="bottom"/>
            <w:shd w:val="clear" w:color="auto" w:fill="F0F1F2"/>
          </w:tcPr>
          <w:p>
            <w:pPr>
              <w:spacing w:after="0"/>
              <w:rPr>
                <w:sz w:val="8"/>
                <w:szCs w:val="8"/>
                <w:color w:val="auto"/>
              </w:rPr>
            </w:pPr>
          </w:p>
        </w:tc>
        <w:tc>
          <w:tcPr>
            <w:tcW w:w="1620" w:type="dxa"/>
            <w:vAlign w:val="bottom"/>
            <w:vMerge w:val="continue"/>
            <w:shd w:val="clear" w:color="auto" w:fill="F0F1F2"/>
          </w:tcPr>
          <w:p>
            <w:pPr>
              <w:spacing w:after="0"/>
              <w:rPr>
                <w:sz w:val="8"/>
                <w:szCs w:val="8"/>
                <w:color w:val="auto"/>
              </w:rPr>
            </w:pPr>
          </w:p>
        </w:tc>
        <w:tc>
          <w:tcPr>
            <w:tcW w:w="1320" w:type="dxa"/>
            <w:vAlign w:val="bottom"/>
            <w:vMerge w:val="continue"/>
            <w:shd w:val="clear" w:color="auto" w:fill="F0F1F2"/>
          </w:tcPr>
          <w:p>
            <w:pPr>
              <w:spacing w:after="0"/>
              <w:rPr>
                <w:sz w:val="8"/>
                <w:szCs w:val="8"/>
                <w:color w:val="auto"/>
              </w:rPr>
            </w:pPr>
          </w:p>
        </w:tc>
        <w:tc>
          <w:tcPr>
            <w:tcW w:w="1220" w:type="dxa"/>
            <w:vAlign w:val="bottom"/>
            <w:vMerge w:val="continue"/>
            <w:shd w:val="clear" w:color="auto" w:fill="F0F1F2"/>
          </w:tcPr>
          <w:p>
            <w:pPr>
              <w:spacing w:after="0"/>
              <w:rPr>
                <w:sz w:val="8"/>
                <w:szCs w:val="8"/>
                <w:color w:val="auto"/>
              </w:rPr>
            </w:pPr>
          </w:p>
        </w:tc>
        <w:tc>
          <w:tcPr>
            <w:tcW w:w="520" w:type="dxa"/>
            <w:vAlign w:val="bottom"/>
            <w:shd w:val="clear" w:color="auto" w:fill="F0F1F2"/>
          </w:tcPr>
          <w:p>
            <w:pPr>
              <w:spacing w:after="0"/>
              <w:rPr>
                <w:sz w:val="8"/>
                <w:szCs w:val="8"/>
                <w:color w:val="auto"/>
              </w:rPr>
            </w:pPr>
          </w:p>
        </w:tc>
        <w:tc>
          <w:tcPr>
            <w:tcW w:w="960" w:type="dxa"/>
            <w:vAlign w:val="bottom"/>
            <w:vMerge w:val="continue"/>
            <w:shd w:val="clear" w:color="auto" w:fill="F0F1F2"/>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900" w:type="dxa"/>
            <w:vAlign w:val="bottom"/>
            <w:tcBorders>
              <w:bottom w:val="single" w:sz="8" w:color="0336FF"/>
            </w:tcBorders>
            <w:vMerge w:val="continue"/>
            <w:shd w:val="clear" w:color="auto" w:fill="F0F1F2"/>
          </w:tcPr>
          <w:p>
            <w:pPr>
              <w:spacing w:after="0"/>
              <w:rPr>
                <w:sz w:val="9"/>
                <w:szCs w:val="9"/>
                <w:color w:val="auto"/>
              </w:rPr>
            </w:pPr>
          </w:p>
        </w:tc>
        <w:tc>
          <w:tcPr>
            <w:tcW w:w="1280" w:type="dxa"/>
            <w:vAlign w:val="bottom"/>
            <w:tcBorders>
              <w:bottom w:val="single" w:sz="8" w:color="0336FF"/>
            </w:tcBorders>
            <w:shd w:val="clear" w:color="auto" w:fill="F0F1F2"/>
          </w:tcPr>
          <w:p>
            <w:pPr>
              <w:spacing w:after="0"/>
              <w:rPr>
                <w:sz w:val="9"/>
                <w:szCs w:val="9"/>
                <w:color w:val="auto"/>
              </w:rPr>
            </w:pPr>
          </w:p>
        </w:tc>
        <w:tc>
          <w:tcPr>
            <w:tcW w:w="420" w:type="dxa"/>
            <w:vAlign w:val="bottom"/>
            <w:tcBorders>
              <w:bottom w:val="single" w:sz="8" w:color="0336FF"/>
            </w:tcBorders>
            <w:shd w:val="clear" w:color="auto" w:fill="F0F1F2"/>
          </w:tcPr>
          <w:p>
            <w:pPr>
              <w:spacing w:after="0"/>
              <w:rPr>
                <w:sz w:val="9"/>
                <w:szCs w:val="9"/>
                <w:color w:val="auto"/>
              </w:rPr>
            </w:pPr>
          </w:p>
        </w:tc>
        <w:tc>
          <w:tcPr>
            <w:tcW w:w="1620" w:type="dxa"/>
            <w:vAlign w:val="bottom"/>
            <w:tcBorders>
              <w:bottom w:val="single" w:sz="8" w:color="0336FF"/>
            </w:tcBorders>
            <w:shd w:val="clear" w:color="auto" w:fill="F0F1F2"/>
          </w:tcPr>
          <w:p>
            <w:pPr>
              <w:spacing w:after="0"/>
              <w:rPr>
                <w:sz w:val="9"/>
                <w:szCs w:val="9"/>
                <w:color w:val="auto"/>
              </w:rPr>
            </w:pPr>
          </w:p>
        </w:tc>
        <w:tc>
          <w:tcPr>
            <w:tcW w:w="1320" w:type="dxa"/>
            <w:vAlign w:val="bottom"/>
            <w:tcBorders>
              <w:bottom w:val="single" w:sz="8" w:color="0336FF"/>
            </w:tcBorders>
            <w:shd w:val="clear" w:color="auto" w:fill="F0F1F2"/>
          </w:tcPr>
          <w:p>
            <w:pPr>
              <w:spacing w:after="0"/>
              <w:rPr>
                <w:sz w:val="9"/>
                <w:szCs w:val="9"/>
                <w:color w:val="auto"/>
              </w:rPr>
            </w:pPr>
          </w:p>
        </w:tc>
        <w:tc>
          <w:tcPr>
            <w:tcW w:w="1220" w:type="dxa"/>
            <w:vAlign w:val="bottom"/>
            <w:tcBorders>
              <w:bottom w:val="single" w:sz="8" w:color="0336FF"/>
            </w:tcBorders>
            <w:shd w:val="clear" w:color="auto" w:fill="F0F1F2"/>
          </w:tcPr>
          <w:p>
            <w:pPr>
              <w:spacing w:after="0"/>
              <w:rPr>
                <w:sz w:val="9"/>
                <w:szCs w:val="9"/>
                <w:color w:val="auto"/>
              </w:rPr>
            </w:pPr>
          </w:p>
        </w:tc>
        <w:tc>
          <w:tcPr>
            <w:tcW w:w="520" w:type="dxa"/>
            <w:vAlign w:val="bottom"/>
            <w:tcBorders>
              <w:bottom w:val="single" w:sz="8" w:color="0336FF"/>
            </w:tcBorders>
            <w:shd w:val="clear" w:color="auto" w:fill="F0F1F2"/>
          </w:tcPr>
          <w:p>
            <w:pPr>
              <w:spacing w:after="0"/>
              <w:rPr>
                <w:sz w:val="9"/>
                <w:szCs w:val="9"/>
                <w:color w:val="auto"/>
              </w:rPr>
            </w:pPr>
          </w:p>
        </w:tc>
        <w:tc>
          <w:tcPr>
            <w:tcW w:w="960" w:type="dxa"/>
            <w:vAlign w:val="bottom"/>
            <w:tcBorders>
              <w:bottom w:val="single" w:sz="8" w:color="0336FF"/>
            </w:tcBorders>
            <w:shd w:val="clear" w:color="auto" w:fill="F0F1F2"/>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-3676650</wp:posOffset>
            </wp:positionV>
            <wp:extent cx="46031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146"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2D3243"/>
        </w:rPr>
      </w:pPr>
      <w:r>
        <w:rPr>
          <w:rFonts w:ascii="Arial" w:cs="Arial" w:eastAsia="Arial" w:hAnsi="Arial"/>
          <w:sz w:val="14"/>
          <w:szCs w:val="14"/>
          <w:color w:val="2D3243"/>
        </w:rPr>
        <w:t>Represents beneficial ownership of less than one percent (1%).</w:t>
      </w:r>
    </w:p>
    <w:p>
      <w:pPr>
        <w:spacing w:after="0" w:line="109" w:lineRule="exact"/>
        <w:rPr>
          <w:sz w:val="20"/>
          <w:szCs w:val="20"/>
          <w:color w:val="auto"/>
        </w:rPr>
      </w:pPr>
    </w:p>
    <w:p>
      <w:pPr>
        <w:ind w:left="340" w:right="60" w:hanging="332"/>
        <w:spacing w:after="0" w:line="343" w:lineRule="auto"/>
        <w:tabs>
          <w:tab w:leader="none" w:pos="338" w:val="left"/>
        </w:tabs>
        <w:numPr>
          <w:ilvl w:val="0"/>
          <w:numId w:val="27"/>
        </w:numPr>
        <w:rPr>
          <w:rFonts w:ascii="Arial" w:cs="Arial" w:eastAsia="Arial" w:hAnsi="Arial"/>
          <w:sz w:val="14"/>
          <w:szCs w:val="14"/>
          <w:color w:val="2D3243"/>
        </w:rPr>
      </w:pPr>
      <w:r>
        <w:rPr>
          <w:rFonts w:ascii="Arial" w:cs="Arial" w:eastAsia="Arial" w:hAnsi="Arial"/>
          <w:sz w:val="14"/>
          <w:szCs w:val="14"/>
          <w:color w:val="2D3243"/>
        </w:rPr>
        <w:t>Represents shares beneficially owned by The Vanguard Group, Inc., or Vanguard, based on the Schedule 13G/A filed by Vanguard on February 13, 2024. According to the Schedule 13G/A, Vanguard has shared voting power with respect to 31,269 shares, sole dispositive power with respect to 7,178,858 shares and shared dispositive power with respect to 107,931 shares. The address of Vanguard is 100 Vanguard Blvd., Malvern, PA 19355.</w:t>
      </w:r>
    </w:p>
    <w:p>
      <w:pPr>
        <w:spacing w:after="0" w:line="11" w:lineRule="exact"/>
        <w:rPr>
          <w:rFonts w:ascii="Arial" w:cs="Arial" w:eastAsia="Arial" w:hAnsi="Arial"/>
          <w:sz w:val="14"/>
          <w:szCs w:val="14"/>
          <w:color w:val="2D3243"/>
        </w:rPr>
      </w:pPr>
    </w:p>
    <w:p>
      <w:pPr>
        <w:ind w:left="340" w:right="440" w:hanging="332"/>
        <w:spacing w:after="0" w:line="343" w:lineRule="auto"/>
        <w:tabs>
          <w:tab w:leader="none" w:pos="338" w:val="left"/>
        </w:tabs>
        <w:numPr>
          <w:ilvl w:val="0"/>
          <w:numId w:val="27"/>
        </w:numPr>
        <w:rPr>
          <w:rFonts w:ascii="Arial" w:cs="Arial" w:eastAsia="Arial" w:hAnsi="Arial"/>
          <w:sz w:val="14"/>
          <w:szCs w:val="14"/>
          <w:color w:val="2D3243"/>
        </w:rPr>
      </w:pPr>
      <w:r>
        <w:rPr>
          <w:rFonts w:ascii="Arial" w:cs="Arial" w:eastAsia="Arial" w:hAnsi="Arial"/>
          <w:sz w:val="14"/>
          <w:szCs w:val="14"/>
          <w:color w:val="2D3243"/>
        </w:rPr>
        <w:t>Represents shares beneficially owned by Picket Asset Management SA, or Picket, based on the Schedule 13G filed by Picket on January 31, 2024. According to the Schedule 13G, Picket has sole voting and dispositive power with respect to 4,514,733 shares. The address of Picket is 60 Route des Acacias, 1211 Geneva 73, Switzerland.</w:t>
      </w:r>
    </w:p>
    <w:p>
      <w:pPr>
        <w:spacing w:after="0" w:line="11" w:lineRule="exact"/>
        <w:rPr>
          <w:rFonts w:ascii="Arial" w:cs="Arial" w:eastAsia="Arial" w:hAnsi="Arial"/>
          <w:sz w:val="14"/>
          <w:szCs w:val="14"/>
          <w:color w:val="2D3243"/>
        </w:rPr>
      </w:pPr>
    </w:p>
    <w:p>
      <w:pPr>
        <w:ind w:left="340" w:right="20" w:hanging="332"/>
        <w:spacing w:after="0" w:line="343" w:lineRule="auto"/>
        <w:tabs>
          <w:tab w:leader="none" w:pos="338" w:val="left"/>
        </w:tabs>
        <w:numPr>
          <w:ilvl w:val="0"/>
          <w:numId w:val="27"/>
        </w:numPr>
        <w:rPr>
          <w:rFonts w:ascii="Arial" w:cs="Arial" w:eastAsia="Arial" w:hAnsi="Arial"/>
          <w:sz w:val="14"/>
          <w:szCs w:val="14"/>
          <w:color w:val="2D3243"/>
        </w:rPr>
      </w:pPr>
      <w:r>
        <w:rPr>
          <w:rFonts w:ascii="Arial" w:cs="Arial" w:eastAsia="Arial" w:hAnsi="Arial"/>
          <w:sz w:val="14"/>
          <w:szCs w:val="14"/>
          <w:color w:val="2D3243"/>
        </w:rPr>
        <w:t>Represents shares beneficially owned by FMR LLC, or FMR, based on the Schedule 13G/A filed by FMR on February 9, 2024. According to the Schedule 13G/A, FMR has sole voting power with respect to 4,805,688 shares and sole dispositive power with respect to 4,808,773 shares. The address of FMR is 245 Summer Street, Boston, MA 02210.</w:t>
      </w:r>
    </w:p>
    <w:p>
      <w:pPr>
        <w:spacing w:after="0" w:line="11" w:lineRule="exact"/>
        <w:rPr>
          <w:rFonts w:ascii="Arial" w:cs="Arial" w:eastAsia="Arial" w:hAnsi="Arial"/>
          <w:sz w:val="14"/>
          <w:szCs w:val="14"/>
          <w:color w:val="2D3243"/>
        </w:rPr>
      </w:pPr>
    </w:p>
    <w:p>
      <w:pPr>
        <w:ind w:left="340" w:right="20" w:hanging="332"/>
        <w:spacing w:after="0" w:line="343" w:lineRule="auto"/>
        <w:tabs>
          <w:tab w:leader="none" w:pos="338" w:val="left"/>
        </w:tabs>
        <w:numPr>
          <w:ilvl w:val="0"/>
          <w:numId w:val="27"/>
        </w:numPr>
        <w:rPr>
          <w:rFonts w:ascii="Arial" w:cs="Arial" w:eastAsia="Arial" w:hAnsi="Arial"/>
          <w:sz w:val="14"/>
          <w:szCs w:val="14"/>
          <w:color w:val="2D3243"/>
        </w:rPr>
      </w:pPr>
      <w:r>
        <w:rPr>
          <w:rFonts w:ascii="Arial" w:cs="Arial" w:eastAsia="Arial" w:hAnsi="Arial"/>
          <w:sz w:val="14"/>
          <w:szCs w:val="14"/>
          <w:color w:val="2D3243"/>
        </w:rPr>
        <w:t>Represents shares beneficially owned by BlackRock, Inc., or BlackRock, based on the Schedule 13G/A filed by BlackRock on January 31, 2024. According to the Schedule 13G/A, BlackRock has sole voting power with respect to 3,756,354 shares and sole dispositive power with respect to 3,910,462 shares. The address of BlackRock is 50 Hudson Yards, New York, NY 10001.</w:t>
      </w:r>
    </w:p>
    <w:p>
      <w:pPr>
        <w:spacing w:after="0" w:line="11" w:lineRule="exact"/>
        <w:rPr>
          <w:rFonts w:ascii="Arial" w:cs="Arial" w:eastAsia="Arial" w:hAnsi="Arial"/>
          <w:sz w:val="14"/>
          <w:szCs w:val="14"/>
          <w:color w:val="2D3243"/>
        </w:rPr>
      </w:pPr>
    </w:p>
    <w:p>
      <w:pPr>
        <w:ind w:left="340" w:hanging="332"/>
        <w:spacing w:after="0"/>
        <w:tabs>
          <w:tab w:leader="none" w:pos="340" w:val="left"/>
        </w:tabs>
        <w:numPr>
          <w:ilvl w:val="0"/>
          <w:numId w:val="27"/>
        </w:numPr>
        <w:rPr>
          <w:rFonts w:ascii="Arial" w:cs="Arial" w:eastAsia="Arial" w:hAnsi="Arial"/>
          <w:sz w:val="14"/>
          <w:szCs w:val="14"/>
          <w:color w:val="2D3243"/>
        </w:rPr>
      </w:pPr>
      <w:r>
        <w:rPr>
          <w:rFonts w:ascii="Arial" w:cs="Arial" w:eastAsia="Arial" w:hAnsi="Arial"/>
          <w:sz w:val="14"/>
          <w:szCs w:val="14"/>
          <w:color w:val="2D3243"/>
        </w:rPr>
        <w:t>Consists of 59,629 shares directly owned by Michael Burkland and 133,026 shares held by a trust.</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7"/>
        </w:numPr>
        <w:rPr>
          <w:rFonts w:ascii="Arial" w:cs="Arial" w:eastAsia="Arial" w:hAnsi="Arial"/>
          <w:sz w:val="14"/>
          <w:szCs w:val="14"/>
          <w:color w:val="2D3243"/>
        </w:rPr>
      </w:pPr>
      <w:r>
        <w:rPr>
          <w:rFonts w:ascii="Arial" w:cs="Arial" w:eastAsia="Arial" w:hAnsi="Arial"/>
          <w:sz w:val="14"/>
          <w:szCs w:val="14"/>
          <w:color w:val="2D3243"/>
        </w:rPr>
        <w:t>Consists of 35,591 shares directly owned by Barry Zwarenstein and 95,569 shares held by a trust.</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7"/>
        </w:numPr>
        <w:rPr>
          <w:rFonts w:ascii="Arial" w:cs="Arial" w:eastAsia="Arial" w:hAnsi="Arial"/>
          <w:sz w:val="14"/>
          <w:szCs w:val="14"/>
          <w:color w:val="2D3243"/>
        </w:rPr>
      </w:pPr>
      <w:r>
        <w:rPr>
          <w:rFonts w:ascii="Arial" w:cs="Arial" w:eastAsia="Arial" w:hAnsi="Arial"/>
          <w:sz w:val="14"/>
          <w:szCs w:val="14"/>
          <w:color w:val="2D3243"/>
        </w:rPr>
        <w:t>Consists of 47,291 shares directly owned by Daniel Burkland.</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7"/>
        </w:numPr>
        <w:rPr>
          <w:rFonts w:ascii="Arial" w:cs="Arial" w:eastAsia="Arial" w:hAnsi="Arial"/>
          <w:sz w:val="14"/>
          <w:szCs w:val="14"/>
          <w:color w:val="2D3243"/>
        </w:rPr>
      </w:pPr>
      <w:r>
        <w:rPr>
          <w:rFonts w:ascii="Arial" w:cs="Arial" w:eastAsia="Arial" w:hAnsi="Arial"/>
          <w:sz w:val="14"/>
          <w:szCs w:val="14"/>
          <w:color w:val="2D3243"/>
        </w:rPr>
        <w:t>Consists of 5,480 shares directly owned by Andy Dignan.</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7"/>
        </w:numPr>
        <w:rPr>
          <w:rFonts w:ascii="Arial" w:cs="Arial" w:eastAsia="Arial" w:hAnsi="Arial"/>
          <w:sz w:val="14"/>
          <w:szCs w:val="14"/>
          <w:color w:val="2D3243"/>
        </w:rPr>
      </w:pPr>
      <w:r>
        <w:rPr>
          <w:rFonts w:ascii="Arial" w:cs="Arial" w:eastAsia="Arial" w:hAnsi="Arial"/>
          <w:sz w:val="14"/>
          <w:szCs w:val="14"/>
          <w:color w:val="2D3243"/>
        </w:rPr>
        <w:t>Consists of 7,907 shares directly owned by Panos Kozanian.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37</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5" w:name="page46"/>
    <w:bookmarkEnd w:id="45"/>
    <w:p>
      <w:pPr>
        <w:ind w:left="12"/>
        <w:spacing w:after="0"/>
        <w:rPr>
          <w:sz w:val="20"/>
          <w:szCs w:val="20"/>
          <w:color w:val="auto"/>
        </w:rPr>
      </w:pPr>
      <w:r>
        <w:rPr>
          <w:rFonts w:ascii="Arial" w:cs="Arial" w:eastAsia="Arial" w:hAnsi="Arial"/>
          <w:sz w:val="14"/>
          <w:szCs w:val="14"/>
          <w:color w:val="2D3243"/>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2" w:hanging="312"/>
        <w:spacing w:after="0"/>
        <w:tabs>
          <w:tab w:leader="none" w:pos="312" w:val="left"/>
        </w:tabs>
        <w:numPr>
          <w:ilvl w:val="0"/>
          <w:numId w:val="28"/>
        </w:numPr>
        <w:rPr>
          <w:rFonts w:ascii="Arial" w:cs="Arial" w:eastAsia="Arial" w:hAnsi="Arial"/>
          <w:sz w:val="14"/>
          <w:szCs w:val="14"/>
          <w:color w:val="2D3243"/>
        </w:rPr>
      </w:pPr>
      <w:r>
        <w:rPr>
          <w:rFonts w:ascii="Arial" w:cs="Arial" w:eastAsia="Arial" w:hAnsi="Arial"/>
          <w:sz w:val="14"/>
          <w:szCs w:val="14"/>
          <w:color w:val="2D3243"/>
        </w:rPr>
        <w:t>Consists of 30,729 shares held by a trust.</w:t>
      </w:r>
    </w:p>
    <w:p>
      <w:pPr>
        <w:spacing w:after="0" w:line="109" w:lineRule="exact"/>
        <w:rPr>
          <w:rFonts w:ascii="Arial" w:cs="Arial" w:eastAsia="Arial" w:hAnsi="Arial"/>
          <w:sz w:val="14"/>
          <w:szCs w:val="14"/>
          <w:color w:val="2D3243"/>
        </w:rPr>
      </w:pPr>
    </w:p>
    <w:p>
      <w:pPr>
        <w:ind w:left="312" w:hanging="312"/>
        <w:spacing w:after="0"/>
        <w:tabs>
          <w:tab w:leader="none" w:pos="312" w:val="left"/>
        </w:tabs>
        <w:numPr>
          <w:ilvl w:val="0"/>
          <w:numId w:val="28"/>
        </w:numPr>
        <w:rPr>
          <w:rFonts w:ascii="Arial" w:cs="Arial" w:eastAsia="Arial" w:hAnsi="Arial"/>
          <w:sz w:val="14"/>
          <w:szCs w:val="14"/>
          <w:color w:val="2D3243"/>
        </w:rPr>
      </w:pPr>
      <w:r>
        <w:rPr>
          <w:rFonts w:ascii="Arial" w:cs="Arial" w:eastAsia="Arial" w:hAnsi="Arial"/>
          <w:sz w:val="14"/>
          <w:szCs w:val="14"/>
          <w:color w:val="2D3243"/>
        </w:rPr>
        <w:t>Consists of 4,671 shares directly owned by Susan Barsamian.</w:t>
      </w:r>
    </w:p>
    <w:p>
      <w:pPr>
        <w:spacing w:after="0" w:line="109" w:lineRule="exact"/>
        <w:rPr>
          <w:rFonts w:ascii="Arial" w:cs="Arial" w:eastAsia="Arial" w:hAnsi="Arial"/>
          <w:sz w:val="14"/>
          <w:szCs w:val="14"/>
          <w:color w:val="2D3243"/>
        </w:rPr>
      </w:pPr>
    </w:p>
    <w:p>
      <w:pPr>
        <w:ind w:left="312" w:hanging="312"/>
        <w:spacing w:after="0"/>
        <w:tabs>
          <w:tab w:leader="none" w:pos="312" w:val="left"/>
        </w:tabs>
        <w:numPr>
          <w:ilvl w:val="0"/>
          <w:numId w:val="28"/>
        </w:numPr>
        <w:rPr>
          <w:rFonts w:ascii="Arial" w:cs="Arial" w:eastAsia="Arial" w:hAnsi="Arial"/>
          <w:sz w:val="14"/>
          <w:szCs w:val="14"/>
          <w:color w:val="2D3243"/>
        </w:rPr>
      </w:pPr>
      <w:r>
        <w:rPr>
          <w:rFonts w:ascii="Arial" w:cs="Arial" w:eastAsia="Arial" w:hAnsi="Arial"/>
          <w:sz w:val="14"/>
          <w:szCs w:val="14"/>
          <w:color w:val="2D3243"/>
        </w:rPr>
        <w:t>Consists of 15,596 shares directly owned by Michael Burdiek.</w:t>
      </w:r>
    </w:p>
    <w:p>
      <w:pPr>
        <w:spacing w:after="0" w:line="109" w:lineRule="exact"/>
        <w:rPr>
          <w:rFonts w:ascii="Arial" w:cs="Arial" w:eastAsia="Arial" w:hAnsi="Arial"/>
          <w:sz w:val="14"/>
          <w:szCs w:val="14"/>
          <w:color w:val="2D3243"/>
        </w:rPr>
      </w:pPr>
    </w:p>
    <w:p>
      <w:pPr>
        <w:ind w:left="312" w:hanging="312"/>
        <w:spacing w:after="0"/>
        <w:tabs>
          <w:tab w:leader="none" w:pos="312" w:val="left"/>
        </w:tabs>
        <w:numPr>
          <w:ilvl w:val="0"/>
          <w:numId w:val="28"/>
        </w:numPr>
        <w:rPr>
          <w:rFonts w:ascii="Arial" w:cs="Arial" w:eastAsia="Arial" w:hAnsi="Arial"/>
          <w:sz w:val="14"/>
          <w:szCs w:val="14"/>
          <w:color w:val="2D3243"/>
        </w:rPr>
      </w:pPr>
      <w:r>
        <w:rPr>
          <w:rFonts w:ascii="Arial" w:cs="Arial" w:eastAsia="Arial" w:hAnsi="Arial"/>
          <w:sz w:val="14"/>
          <w:szCs w:val="14"/>
          <w:color w:val="2D3243"/>
        </w:rPr>
        <w:t>Consists of 187,400 shares directly owned by David DeWalt and 14,229 shares held by a trust.</w:t>
      </w:r>
    </w:p>
    <w:p>
      <w:pPr>
        <w:spacing w:after="0" w:line="109" w:lineRule="exact"/>
        <w:rPr>
          <w:rFonts w:ascii="Arial" w:cs="Arial" w:eastAsia="Arial" w:hAnsi="Arial"/>
          <w:sz w:val="14"/>
          <w:szCs w:val="14"/>
          <w:color w:val="2D3243"/>
        </w:rPr>
      </w:pPr>
    </w:p>
    <w:p>
      <w:pPr>
        <w:ind w:left="312" w:hanging="312"/>
        <w:spacing w:after="0"/>
        <w:tabs>
          <w:tab w:leader="none" w:pos="312" w:val="left"/>
        </w:tabs>
        <w:numPr>
          <w:ilvl w:val="0"/>
          <w:numId w:val="28"/>
        </w:numPr>
        <w:rPr>
          <w:rFonts w:ascii="Arial" w:cs="Arial" w:eastAsia="Arial" w:hAnsi="Arial"/>
          <w:sz w:val="14"/>
          <w:szCs w:val="14"/>
          <w:color w:val="2D3243"/>
        </w:rPr>
      </w:pPr>
      <w:r>
        <w:rPr>
          <w:rFonts w:ascii="Arial" w:cs="Arial" w:eastAsia="Arial" w:hAnsi="Arial"/>
          <w:sz w:val="14"/>
          <w:szCs w:val="14"/>
          <w:color w:val="2D3243"/>
        </w:rPr>
        <w:t>Consists of 2,260 shares directly owned by Julie Iskow.</w:t>
      </w:r>
    </w:p>
    <w:p>
      <w:pPr>
        <w:spacing w:after="0" w:line="109" w:lineRule="exact"/>
        <w:rPr>
          <w:rFonts w:ascii="Arial" w:cs="Arial" w:eastAsia="Arial" w:hAnsi="Arial"/>
          <w:sz w:val="14"/>
          <w:szCs w:val="14"/>
          <w:color w:val="2D3243"/>
        </w:rPr>
      </w:pPr>
    </w:p>
    <w:p>
      <w:pPr>
        <w:ind w:left="312" w:hanging="312"/>
        <w:spacing w:after="0"/>
        <w:tabs>
          <w:tab w:leader="none" w:pos="312" w:val="left"/>
        </w:tabs>
        <w:numPr>
          <w:ilvl w:val="0"/>
          <w:numId w:val="28"/>
        </w:numPr>
        <w:rPr>
          <w:rFonts w:ascii="Arial" w:cs="Arial" w:eastAsia="Arial" w:hAnsi="Arial"/>
          <w:sz w:val="14"/>
          <w:szCs w:val="14"/>
          <w:color w:val="2D3243"/>
        </w:rPr>
      </w:pPr>
      <w:r>
        <w:rPr>
          <w:rFonts w:ascii="Arial" w:cs="Arial" w:eastAsia="Arial" w:hAnsi="Arial"/>
          <w:sz w:val="14"/>
          <w:szCs w:val="14"/>
          <w:color w:val="2D3243"/>
        </w:rPr>
        <w:t>Consists of 14,531 shares directly owned by David S. Welsh.</w:t>
      </w:r>
    </w:p>
    <w:p>
      <w:pPr>
        <w:spacing w:after="0" w:line="109" w:lineRule="exact"/>
        <w:rPr>
          <w:rFonts w:ascii="Arial" w:cs="Arial" w:eastAsia="Arial" w:hAnsi="Arial"/>
          <w:sz w:val="14"/>
          <w:szCs w:val="14"/>
          <w:color w:val="2D3243"/>
        </w:rPr>
      </w:pPr>
    </w:p>
    <w:p>
      <w:pPr>
        <w:ind w:left="312" w:hanging="312"/>
        <w:spacing w:after="0"/>
        <w:tabs>
          <w:tab w:leader="none" w:pos="312" w:val="left"/>
        </w:tabs>
        <w:numPr>
          <w:ilvl w:val="0"/>
          <w:numId w:val="28"/>
        </w:numPr>
        <w:rPr>
          <w:rFonts w:ascii="Arial" w:cs="Arial" w:eastAsia="Arial" w:hAnsi="Arial"/>
          <w:sz w:val="14"/>
          <w:szCs w:val="14"/>
          <w:color w:val="2D3243"/>
        </w:rPr>
      </w:pPr>
      <w:r>
        <w:rPr>
          <w:rFonts w:ascii="Arial" w:cs="Arial" w:eastAsia="Arial" w:hAnsi="Arial"/>
          <w:sz w:val="14"/>
          <w:szCs w:val="14"/>
          <w:color w:val="2D3243"/>
        </w:rPr>
        <w:t>Consists of 61,107 shares directly owned by Robert Zollars and 1,784 shares held by a trust.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1940"/>
        <w:spacing w:after="0"/>
        <w:tabs>
          <w:tab w:leader="none" w:pos="3800" w:val="left"/>
          <w:tab w:leader="none" w:pos="33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38</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2D3243"/>
        </w:rPr>
        <w:t>Table of Contents</w:t>
      </w:r>
    </w:p>
    <w:p>
      <w:pPr>
        <w:sectPr>
          <w:pgSz w:w="11900" w:h="16838" w:orient="portrait"/>
          <w:cols w:equalWidth="0" w:num="2">
            <w:col w:w="9352" w:space="720"/>
            <w:col w:w="1140"/>
          </w:cols>
          <w:pgMar w:left="328" w:top="184" w:right="359" w:bottom="1440" w:gutter="0" w:footer="0" w:header="0"/>
        </w:sectPr>
      </w:pPr>
    </w:p>
    <w:bookmarkStart w:id="46" w:name="page47"/>
    <w:bookmarkEnd w:id="46"/>
    <w:p>
      <w:pPr>
        <w:ind w:left="20"/>
        <w:spacing w:after="0"/>
        <w:tabs>
          <w:tab w:leader="none" w:pos="10060" w:val="left"/>
        </w:tabs>
        <w:rPr>
          <w:sz w:val="20"/>
          <w:szCs w:val="20"/>
          <w:color w:val="auto"/>
        </w:rPr>
      </w:pPr>
      <w:r>
        <w:rPr>
          <w:rFonts w:ascii="Arial" w:cs="Arial" w:eastAsia="Arial" w:hAnsi="Arial"/>
          <w:sz w:val="14"/>
          <w:szCs w:val="14"/>
          <w:color w:val="2D3243"/>
        </w:rPr>
        <w:t>Security Ownership Of Certain Beneficial Owners And Management</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Delinquent Section 16(a) Reports</w:t>
      </w:r>
    </w:p>
    <w:p>
      <w:pPr>
        <w:spacing w:after="0" w:line="193"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2D3243"/>
        </w:rPr>
        <w:t>Section 16(a) of the Exchange Act requires the Company’s officers, Directors and persons who own more than 10% of the issued and outstanding shares of the Company’s common stock to file reports of beneficial ownership and changes in beneficial ownership with the SEC and to furnish copies of all Section 16(a) forms to the Company. To our knowledge, based solely on a review of the copies of such reports furnished to us and on written representations that no other reports were required, all filings for the fiscal year ended December 31, 2023 were made on a timely basis.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39</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7" w:name="page48"/>
    <w:bookmarkEnd w:id="47"/>
    <w:p>
      <w:pPr>
        <w:ind w:left="1010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58"/>
          <w:szCs w:val="58"/>
          <w:color w:val="2D3243"/>
        </w:rPr>
        <w:t>Executive Compensation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Compensation Committee Report</w:t>
      </w:r>
    </w:p>
    <w:p>
      <w:pPr>
        <w:spacing w:after="0" w:line="195" w:lineRule="exact"/>
        <w:rPr>
          <w:sz w:val="20"/>
          <w:szCs w:val="20"/>
          <w:color w:val="auto"/>
        </w:rPr>
      </w:pPr>
    </w:p>
    <w:p>
      <w:pPr>
        <w:ind w:right="180"/>
        <w:spacing w:after="0" w:line="362" w:lineRule="auto"/>
        <w:rPr>
          <w:sz w:val="20"/>
          <w:szCs w:val="20"/>
          <w:color w:val="auto"/>
        </w:rPr>
      </w:pPr>
      <w:r>
        <w:rPr>
          <w:rFonts w:ascii="Arial" w:cs="Arial" w:eastAsia="Arial" w:hAnsi="Arial"/>
          <w:sz w:val="16"/>
          <w:szCs w:val="16"/>
          <w:i w:val="1"/>
          <w:iCs w:val="1"/>
          <w:color w:val="2D3243"/>
        </w:rPr>
        <w:t>The information contained in the following Compensation Committee Report shall not be deemed to be soliciting material or to be filed with the Securities and Exchange Commission, nor shall such information be incorporated by reference into any future filing under the Securities Act of 1933, as amended, or the Securities Exchange Act of 1934, as amended, except to the extent that the Company specifically incorporates it by reference in such filing.</w:t>
      </w:r>
    </w:p>
    <w:p>
      <w:pPr>
        <w:spacing w:after="0" w:line="110"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2D3243"/>
        </w:rPr>
        <w:t>The Compensation Committee has reviewed and discussed with our management the Compensation Discussion and Analysis included in this Proxy Statement as set forth below. Based on its review and discussions, the Compensation Committee recommended to the Board of Directors that the Compensation Discussion and Analysis be included in this Proxy Statement and incorporated by reference into our Annual Report on Form 10-K for the year ended December 31, 2023.</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Submitted by the Compensation Committee of the Board of Directors: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2D3243"/>
        </w:rPr>
        <w:t>Robert Zollars (Chair)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Susan Barsamian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Michael Burdiek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Julie Iskow</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Compensation Discussion and Analysis</w:t>
      </w:r>
    </w:p>
    <w:p>
      <w:pPr>
        <w:spacing w:after="0" w:line="193" w:lineRule="exact"/>
        <w:rPr>
          <w:sz w:val="20"/>
          <w:szCs w:val="20"/>
          <w:color w:val="auto"/>
        </w:rPr>
      </w:pPr>
    </w:p>
    <w:p>
      <w:pPr>
        <w:ind w:right="60"/>
        <w:spacing w:after="0" w:line="374" w:lineRule="auto"/>
        <w:rPr>
          <w:sz w:val="20"/>
          <w:szCs w:val="20"/>
          <w:color w:val="auto"/>
        </w:rPr>
      </w:pPr>
      <w:r>
        <w:rPr>
          <w:rFonts w:ascii="Arial" w:cs="Arial" w:eastAsia="Arial" w:hAnsi="Arial"/>
          <w:sz w:val="16"/>
          <w:szCs w:val="16"/>
          <w:color w:val="2D3243"/>
        </w:rPr>
        <w:t>This Compensation Discussion and Analysis provides information regarding our 2023 compensation program for the following named executive officers (our “NEOs”) whose compensation is also set forth in the 2023 Summary Compensation Table and other compensation tables in this Proxy Statement:</w:t>
      </w:r>
    </w:p>
    <w:p>
      <w:pPr>
        <w:spacing w:after="0" w:line="102" w:lineRule="exact"/>
        <w:rPr>
          <w:sz w:val="20"/>
          <w:szCs w:val="20"/>
          <w:color w:val="auto"/>
        </w:rPr>
      </w:pPr>
    </w:p>
    <w:p>
      <w:pPr>
        <w:ind w:left="780" w:hanging="286"/>
        <w:spacing w:after="0"/>
        <w:tabs>
          <w:tab w:leader="none" w:pos="780" w:val="left"/>
        </w:tabs>
        <w:numPr>
          <w:ilvl w:val="0"/>
          <w:numId w:val="29"/>
        </w:numPr>
        <w:rPr>
          <w:rFonts w:ascii="Arial" w:cs="Arial" w:eastAsia="Arial" w:hAnsi="Arial"/>
          <w:sz w:val="16"/>
          <w:szCs w:val="16"/>
          <w:color w:val="2D3243"/>
        </w:rPr>
      </w:pPr>
      <w:r>
        <w:rPr>
          <w:rFonts w:ascii="Arial" w:cs="Arial" w:eastAsia="Arial" w:hAnsi="Arial"/>
          <w:sz w:val="16"/>
          <w:szCs w:val="16"/>
          <w:color w:val="2D3243"/>
        </w:rPr>
        <w:t>Michael Burkland – our Chief Executive Officer (our "CEO");</w:t>
      </w:r>
    </w:p>
    <w:p>
      <w:pPr>
        <w:spacing w:after="0" w:line="126" w:lineRule="exact"/>
        <w:rPr>
          <w:rFonts w:ascii="Arial" w:cs="Arial" w:eastAsia="Arial" w:hAnsi="Arial"/>
          <w:sz w:val="16"/>
          <w:szCs w:val="16"/>
          <w:color w:val="2D3243"/>
        </w:rPr>
      </w:pPr>
    </w:p>
    <w:p>
      <w:pPr>
        <w:ind w:left="780" w:hanging="286"/>
        <w:spacing w:after="0"/>
        <w:tabs>
          <w:tab w:leader="none" w:pos="780" w:val="left"/>
        </w:tabs>
        <w:numPr>
          <w:ilvl w:val="0"/>
          <w:numId w:val="29"/>
        </w:numPr>
        <w:rPr>
          <w:rFonts w:ascii="Arial" w:cs="Arial" w:eastAsia="Arial" w:hAnsi="Arial"/>
          <w:sz w:val="16"/>
          <w:szCs w:val="16"/>
          <w:color w:val="2D3243"/>
        </w:rPr>
      </w:pPr>
      <w:r>
        <w:rPr>
          <w:rFonts w:ascii="Arial" w:cs="Arial" w:eastAsia="Arial" w:hAnsi="Arial"/>
          <w:sz w:val="16"/>
          <w:szCs w:val="16"/>
          <w:color w:val="2D3243"/>
        </w:rPr>
        <w:t>Barry Zwarenstein – our Chief Financial Officer;</w:t>
      </w:r>
    </w:p>
    <w:p>
      <w:pPr>
        <w:spacing w:after="0" w:line="140" w:lineRule="exact"/>
        <w:rPr>
          <w:rFonts w:ascii="Arial" w:cs="Arial" w:eastAsia="Arial" w:hAnsi="Arial"/>
          <w:sz w:val="16"/>
          <w:szCs w:val="16"/>
          <w:color w:val="2D3243"/>
        </w:rPr>
      </w:pPr>
    </w:p>
    <w:p>
      <w:pPr>
        <w:ind w:left="780" w:hanging="286"/>
        <w:spacing w:after="0"/>
        <w:tabs>
          <w:tab w:leader="none" w:pos="780" w:val="left"/>
        </w:tabs>
        <w:numPr>
          <w:ilvl w:val="0"/>
          <w:numId w:val="29"/>
        </w:numPr>
        <w:rPr>
          <w:rFonts w:ascii="Arial" w:cs="Arial" w:eastAsia="Arial" w:hAnsi="Arial"/>
          <w:sz w:val="16"/>
          <w:szCs w:val="16"/>
          <w:color w:val="2D3243"/>
        </w:rPr>
      </w:pPr>
      <w:r>
        <w:rPr>
          <w:rFonts w:ascii="Arial" w:cs="Arial" w:eastAsia="Arial" w:hAnsi="Arial"/>
          <w:sz w:val="16"/>
          <w:szCs w:val="16"/>
          <w:color w:val="2D3243"/>
        </w:rPr>
        <w:t>Daniel Burkland – our President and Chief Revenue Officer;</w:t>
      </w:r>
    </w:p>
    <w:p>
      <w:pPr>
        <w:spacing w:after="0" w:line="126" w:lineRule="exact"/>
        <w:rPr>
          <w:rFonts w:ascii="Arial" w:cs="Arial" w:eastAsia="Arial" w:hAnsi="Arial"/>
          <w:sz w:val="16"/>
          <w:szCs w:val="16"/>
          <w:color w:val="2D3243"/>
        </w:rPr>
      </w:pPr>
    </w:p>
    <w:p>
      <w:pPr>
        <w:ind w:left="780" w:hanging="286"/>
        <w:spacing w:after="0"/>
        <w:tabs>
          <w:tab w:leader="none" w:pos="780" w:val="left"/>
        </w:tabs>
        <w:numPr>
          <w:ilvl w:val="0"/>
          <w:numId w:val="29"/>
        </w:numPr>
        <w:rPr>
          <w:rFonts w:ascii="Arial" w:cs="Arial" w:eastAsia="Arial" w:hAnsi="Arial"/>
          <w:sz w:val="16"/>
          <w:szCs w:val="16"/>
          <w:color w:val="2D3243"/>
        </w:rPr>
      </w:pPr>
      <w:r>
        <w:rPr>
          <w:rFonts w:ascii="Arial" w:cs="Arial" w:eastAsia="Arial" w:hAnsi="Arial"/>
          <w:sz w:val="16"/>
          <w:szCs w:val="16"/>
          <w:color w:val="2D3243"/>
        </w:rPr>
        <w:t>Andy Dignan - our Chief Operating Officer; and</w:t>
      </w:r>
    </w:p>
    <w:p>
      <w:pPr>
        <w:spacing w:after="0" w:line="126" w:lineRule="exact"/>
        <w:rPr>
          <w:rFonts w:ascii="Arial" w:cs="Arial" w:eastAsia="Arial" w:hAnsi="Arial"/>
          <w:sz w:val="16"/>
          <w:szCs w:val="16"/>
          <w:color w:val="2D3243"/>
        </w:rPr>
      </w:pPr>
    </w:p>
    <w:p>
      <w:pPr>
        <w:ind w:left="780" w:hanging="286"/>
        <w:spacing w:after="0"/>
        <w:tabs>
          <w:tab w:leader="none" w:pos="780" w:val="left"/>
        </w:tabs>
        <w:numPr>
          <w:ilvl w:val="0"/>
          <w:numId w:val="29"/>
        </w:numPr>
        <w:rPr>
          <w:rFonts w:ascii="Arial" w:cs="Arial" w:eastAsia="Arial" w:hAnsi="Arial"/>
          <w:sz w:val="16"/>
          <w:szCs w:val="16"/>
          <w:color w:val="2D3243"/>
        </w:rPr>
      </w:pPr>
      <w:r>
        <w:rPr>
          <w:rFonts w:ascii="Arial" w:cs="Arial" w:eastAsia="Arial" w:hAnsi="Arial"/>
          <w:sz w:val="16"/>
          <w:szCs w:val="16"/>
          <w:color w:val="2D3243"/>
        </w:rPr>
        <w:t>Panos Kozanian – our Executive Vice President, Product Engineering.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D3243"/>
        </w:rPr>
        <w:t>On November 9, 2023, Mr. Andy Dignan, Chief Operating Officer, was appointed as an executive officer of the Company.</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Executive Summary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2023 Business Highlights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D3243"/>
        </w:rPr>
        <w:t>We achieved the following key financial results in 2023:</w:t>
      </w:r>
    </w:p>
    <w:p>
      <w:pPr>
        <w:spacing w:after="0" w:line="235" w:lineRule="exact"/>
        <w:rPr>
          <w:sz w:val="20"/>
          <w:szCs w:val="20"/>
          <w:color w:val="auto"/>
        </w:rPr>
      </w:pPr>
    </w:p>
    <w:p>
      <w:pPr>
        <w:ind w:left="660" w:right="500" w:hanging="328"/>
        <w:spacing w:after="0" w:line="369" w:lineRule="auto"/>
        <w:tabs>
          <w:tab w:leader="none" w:pos="622" w:val="left"/>
        </w:tabs>
        <w:numPr>
          <w:ilvl w:val="0"/>
          <w:numId w:val="30"/>
        </w:numPr>
        <w:rPr>
          <w:rFonts w:ascii="Arial" w:cs="Arial" w:eastAsia="Arial" w:hAnsi="Arial"/>
          <w:sz w:val="16"/>
          <w:szCs w:val="16"/>
          <w:color w:val="2D3243"/>
        </w:rPr>
      </w:pPr>
      <w:r>
        <w:rPr>
          <w:rFonts w:ascii="Arial" w:cs="Arial" w:eastAsia="Arial" w:hAnsi="Arial"/>
          <w:sz w:val="16"/>
          <w:szCs w:val="16"/>
          <w:color w:val="2D3243"/>
        </w:rPr>
        <w:t>total revenue for 2023 increased 17% to a record $910.5 million (versus a target of $914.0 million under our 2023 bonus program), compared to $778.8 million in 2022.</w:t>
      </w:r>
    </w:p>
    <w:p>
      <w:pPr>
        <w:spacing w:after="0" w:line="1" w:lineRule="exact"/>
        <w:rPr>
          <w:rFonts w:ascii="Arial" w:cs="Arial" w:eastAsia="Arial" w:hAnsi="Arial"/>
          <w:sz w:val="16"/>
          <w:szCs w:val="16"/>
          <w:color w:val="2D3243"/>
        </w:rPr>
      </w:pPr>
    </w:p>
    <w:p>
      <w:pPr>
        <w:ind w:left="660" w:hanging="328"/>
        <w:spacing w:after="0" w:line="369" w:lineRule="auto"/>
        <w:tabs>
          <w:tab w:leader="none" w:pos="622" w:val="left"/>
        </w:tabs>
        <w:numPr>
          <w:ilvl w:val="0"/>
          <w:numId w:val="30"/>
        </w:numPr>
        <w:rPr>
          <w:rFonts w:ascii="Arial" w:cs="Arial" w:eastAsia="Arial" w:hAnsi="Arial"/>
          <w:sz w:val="16"/>
          <w:szCs w:val="16"/>
          <w:color w:val="2D3243"/>
        </w:rPr>
      </w:pPr>
      <w:r>
        <w:rPr>
          <w:rFonts w:ascii="Arial" w:cs="Arial" w:eastAsia="Arial" w:hAnsi="Arial"/>
          <w:sz w:val="16"/>
          <w:szCs w:val="16"/>
          <w:color w:val="2D3243"/>
        </w:rPr>
        <w:t>net loss decreased to $(81.8) million, or $(1.13) per basic and diluted share in 2023, compared to net loss of $(94.7) million, or $(1.35) per basic and diluted share in 2022.</w:t>
      </w:r>
    </w:p>
    <w:p>
      <w:pPr>
        <w:spacing w:after="0" w:line="1" w:lineRule="exact"/>
        <w:rPr>
          <w:rFonts w:ascii="Arial" w:cs="Arial" w:eastAsia="Arial" w:hAnsi="Arial"/>
          <w:sz w:val="16"/>
          <w:szCs w:val="16"/>
          <w:color w:val="2D3243"/>
        </w:rPr>
      </w:pPr>
    </w:p>
    <w:p>
      <w:pPr>
        <w:ind w:left="620" w:hanging="288"/>
        <w:spacing w:after="0"/>
        <w:tabs>
          <w:tab w:leader="none" w:pos="620" w:val="left"/>
        </w:tabs>
        <w:numPr>
          <w:ilvl w:val="0"/>
          <w:numId w:val="30"/>
        </w:numPr>
        <w:rPr>
          <w:rFonts w:ascii="Arial" w:cs="Arial" w:eastAsia="Arial" w:hAnsi="Arial"/>
          <w:sz w:val="16"/>
          <w:szCs w:val="16"/>
          <w:color w:val="2D3243"/>
        </w:rPr>
      </w:pPr>
      <w:r>
        <w:rPr>
          <w:rFonts w:ascii="Arial" w:cs="Arial" w:eastAsia="Arial" w:hAnsi="Arial"/>
          <w:sz w:val="16"/>
          <w:szCs w:val="16"/>
          <w:color w:val="2D3243"/>
        </w:rPr>
        <w:t>operating cash flow for 2023 was $128.8 million, compared to operating cash flow of $88.9 million in 2022.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40</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8" w:name="page49"/>
    <w:bookmarkEnd w:id="48"/>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20" w:hanging="288"/>
        <w:spacing w:after="0"/>
        <w:tabs>
          <w:tab w:leader="none" w:pos="620" w:val="left"/>
        </w:tabs>
        <w:numPr>
          <w:ilvl w:val="0"/>
          <w:numId w:val="31"/>
        </w:numPr>
        <w:rPr>
          <w:rFonts w:ascii="Arial" w:cs="Arial" w:eastAsia="Arial" w:hAnsi="Arial"/>
          <w:sz w:val="16"/>
          <w:szCs w:val="16"/>
          <w:color w:val="2D3243"/>
        </w:rPr>
      </w:pPr>
      <w:r>
        <w:rPr>
          <w:rFonts w:ascii="Arial" w:cs="Arial" w:eastAsia="Arial" w:hAnsi="Arial"/>
          <w:sz w:val="16"/>
          <w:szCs w:val="16"/>
          <w:color w:val="2D3243"/>
        </w:rPr>
        <w:t>adjusted EBITDA was $166.3 million in 2023 (versus a target of $141.6 million under our 2023 bonus program), compared to $140.4 million in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2023 Executive Compensation Actions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D3243"/>
        </w:rPr>
        <w:t>In line with our performance and compensation objectives, the following actions related to 2023 compensation for our NEOs were approved:</w:t>
      </w:r>
    </w:p>
    <w:p>
      <w:pPr>
        <w:spacing w:after="0" w:line="235" w:lineRule="exact"/>
        <w:rPr>
          <w:sz w:val="20"/>
          <w:szCs w:val="20"/>
          <w:color w:val="auto"/>
        </w:rPr>
      </w:pPr>
    </w:p>
    <w:p>
      <w:pPr>
        <w:ind w:left="660" w:right="20" w:hanging="328"/>
        <w:spacing w:after="0" w:line="353" w:lineRule="auto"/>
        <w:tabs>
          <w:tab w:leader="none" w:pos="622" w:val="left"/>
        </w:tabs>
        <w:numPr>
          <w:ilvl w:val="0"/>
          <w:numId w:val="32"/>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Base Salary </w:t>
      </w:r>
      <w:r>
        <w:rPr>
          <w:rFonts w:ascii="Arial" w:cs="Arial" w:eastAsia="Arial" w:hAnsi="Arial"/>
          <w:sz w:val="16"/>
          <w:szCs w:val="16"/>
          <w:color w:val="2D3243"/>
        </w:rPr>
        <w:t>During 2023, the Compensation Committee approved annual base salaries for its newly appointed executive officer, Mr. Dignan. Also</w:t>
      </w:r>
      <w:r>
        <w:rPr>
          <w:rFonts w:ascii="Arial" w:cs="Arial" w:eastAsia="Arial" w:hAnsi="Arial"/>
          <w:sz w:val="16"/>
          <w:szCs w:val="16"/>
          <w:b w:val="1"/>
          <w:bCs w:val="1"/>
          <w:color w:val="2D3243"/>
        </w:rPr>
        <w:t xml:space="preserve"> </w:t>
      </w:r>
      <w:r>
        <w:rPr>
          <w:rFonts w:ascii="Arial" w:cs="Arial" w:eastAsia="Arial" w:hAnsi="Arial"/>
          <w:sz w:val="16"/>
          <w:szCs w:val="16"/>
          <w:color w:val="2D3243"/>
        </w:rPr>
        <w:t>during 2023, and after a comprehensive market review to align NEO compensation with our target market positioning relative to peer organizations, the Compensation Committee approved a base salary increase for Messrs. Zwarenstein, Daniel Burkland and Kozanian. The Company did not increase the base salary of our CEO as a result of this market review.</w:t>
      </w:r>
    </w:p>
    <w:p>
      <w:pPr>
        <w:spacing w:after="0" w:line="119" w:lineRule="exact"/>
        <w:rPr>
          <w:rFonts w:ascii="Arial" w:cs="Arial" w:eastAsia="Arial" w:hAnsi="Arial"/>
          <w:sz w:val="16"/>
          <w:szCs w:val="16"/>
          <w:b w:val="1"/>
          <w:bCs w:val="1"/>
          <w:color w:val="2D3243"/>
        </w:rPr>
      </w:pPr>
    </w:p>
    <w:p>
      <w:pPr>
        <w:ind w:left="660" w:right="100" w:hanging="328"/>
        <w:spacing w:after="0" w:line="342" w:lineRule="auto"/>
        <w:tabs>
          <w:tab w:leader="none" w:pos="622" w:val="left"/>
        </w:tabs>
        <w:numPr>
          <w:ilvl w:val="0"/>
          <w:numId w:val="32"/>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Short-Term Cash Incentive Awards </w:t>
      </w:r>
      <w:r>
        <w:rPr>
          <w:rFonts w:ascii="Arial" w:cs="Arial" w:eastAsia="Arial" w:hAnsi="Arial"/>
          <w:sz w:val="16"/>
          <w:szCs w:val="16"/>
          <w:color w:val="2D3243"/>
        </w:rPr>
        <w:t>In February 2023, the Compensation Committee approved performance targets for 2023 that were used to</w:t>
      </w:r>
      <w:r>
        <w:rPr>
          <w:rFonts w:ascii="Arial" w:cs="Arial" w:eastAsia="Arial" w:hAnsi="Arial"/>
          <w:sz w:val="16"/>
          <w:szCs w:val="16"/>
          <w:b w:val="1"/>
          <w:bCs w:val="1"/>
          <w:color w:val="2D3243"/>
        </w:rPr>
        <w:t xml:space="preserve"> </w:t>
      </w:r>
      <w:r>
        <w:rPr>
          <w:rFonts w:ascii="Arial" w:cs="Arial" w:eastAsia="Arial" w:hAnsi="Arial"/>
          <w:sz w:val="16"/>
          <w:szCs w:val="16"/>
          <w:color w:val="2D3243"/>
        </w:rPr>
        <w:t>determine the amount of cash bonus awards that could be earned on a semi-annual basis by our NEOs. Consistent with 2022, the performance targets with respect to revenue and Adjusted EBITDA were established to focus our NEOs on key semi-annual Company financial goals contained in our annual operating plan, as well as individual performance objectives (other than our CEO, whose bonus was determined solely based on our company financial goals and Daniel Burkland, whose bonus determination also included bookings). We exceeded the target levels established for our Adjusted EBITDA goals in each semi-annual period in 2023 and our revenue goal in the first half of 2023, but did not achieve our revenue goal in the second half of 2023 and, after taking into account the level of achievement of each NEO’s individual performance objectives (if applicable), our NEOs received an average payout of 100% of their target annual cash bonus opportunity for 2023.</w:t>
      </w:r>
    </w:p>
    <w:p>
      <w:pPr>
        <w:spacing w:after="0" w:line="143" w:lineRule="exact"/>
        <w:rPr>
          <w:rFonts w:ascii="Arial" w:cs="Arial" w:eastAsia="Arial" w:hAnsi="Arial"/>
          <w:sz w:val="16"/>
          <w:szCs w:val="16"/>
          <w:b w:val="1"/>
          <w:bCs w:val="1"/>
          <w:color w:val="2D3243"/>
        </w:rPr>
      </w:pPr>
    </w:p>
    <w:p>
      <w:pPr>
        <w:ind w:left="660" w:right="100" w:hanging="328"/>
        <w:spacing w:after="0" w:line="347" w:lineRule="auto"/>
        <w:tabs>
          <w:tab w:leader="none" w:pos="622" w:val="left"/>
        </w:tabs>
        <w:numPr>
          <w:ilvl w:val="0"/>
          <w:numId w:val="32"/>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Equity Awards </w:t>
      </w:r>
      <w:r>
        <w:rPr>
          <w:rFonts w:ascii="Arial" w:cs="Arial" w:eastAsia="Arial" w:hAnsi="Arial"/>
          <w:sz w:val="16"/>
          <w:szCs w:val="16"/>
          <w:color w:val="2D3243"/>
        </w:rPr>
        <w:t>In 2023, the Compensation Committee continued its prior practice of granting seventy-five percent (75%) service-based RSUs and</w:t>
      </w:r>
      <w:r>
        <w:rPr>
          <w:rFonts w:ascii="Arial" w:cs="Arial" w:eastAsia="Arial" w:hAnsi="Arial"/>
          <w:sz w:val="16"/>
          <w:szCs w:val="16"/>
          <w:b w:val="1"/>
          <w:bCs w:val="1"/>
          <w:color w:val="2D3243"/>
        </w:rPr>
        <w:t xml:space="preserve"> </w:t>
      </w:r>
      <w:r>
        <w:rPr>
          <w:rFonts w:ascii="Arial" w:cs="Arial" w:eastAsia="Arial" w:hAnsi="Arial"/>
          <w:sz w:val="16"/>
          <w:szCs w:val="16"/>
          <w:color w:val="2D3243"/>
        </w:rPr>
        <w:t>twenty-five percent (25%) performance-based RSUs ("PRSU") for our NEOs, other than our CEO, during the Company's annual "refresh" grant cycle for executive officers in the first quarter of 2023. Our CEO received an equity grant in December 2022 in connection with his commencement of services as our CEO and, therefore, was not eligible for an annual "refresh" grant in 2023 pursuant to the terms of his employment offer letter.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2023 Executive Compensation Policies and Practices</w:t>
      </w:r>
    </w:p>
    <w:p>
      <w:pPr>
        <w:spacing w:after="0" w:line="93" w:lineRule="exact"/>
        <w:rPr>
          <w:sz w:val="20"/>
          <w:szCs w:val="20"/>
          <w:color w:val="auto"/>
        </w:rPr>
      </w:pPr>
    </w:p>
    <w:p>
      <w:pPr>
        <w:ind w:right="80"/>
        <w:spacing w:after="0" w:line="353" w:lineRule="auto"/>
        <w:rPr>
          <w:sz w:val="20"/>
          <w:szCs w:val="20"/>
          <w:color w:val="auto"/>
        </w:rPr>
      </w:pPr>
      <w:r>
        <w:rPr>
          <w:rFonts w:ascii="Arial" w:cs="Arial" w:eastAsia="Arial" w:hAnsi="Arial"/>
          <w:sz w:val="16"/>
          <w:szCs w:val="16"/>
          <w:color w:val="2D3243"/>
        </w:rPr>
        <w:t>We believe we design and implement our executive compensation policies and practices in accordance with sound governance standards. The Compensation Committee meets regularly throughout the year to review our executive compensation program on an ongoing basis to ensure that it is consistent with our short-term and long-term goals given the dynamic nature of our business and the markets in which we compete for executive talent. The following policies and practices continued in effect during 2023:</w:t>
      </w:r>
    </w:p>
    <w:p>
      <w:pPr>
        <w:spacing w:after="0" w:line="119" w:lineRule="exact"/>
        <w:rPr>
          <w:sz w:val="20"/>
          <w:szCs w:val="20"/>
          <w:color w:val="auto"/>
        </w:rPr>
      </w:pPr>
    </w:p>
    <w:p>
      <w:pPr>
        <w:ind w:left="620" w:hanging="288"/>
        <w:spacing w:after="0"/>
        <w:tabs>
          <w:tab w:leader="none" w:pos="620" w:val="left"/>
        </w:tabs>
        <w:numPr>
          <w:ilvl w:val="0"/>
          <w:numId w:val="33"/>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Independent Compensation Committee </w:t>
      </w:r>
      <w:r>
        <w:rPr>
          <w:rFonts w:ascii="Arial" w:cs="Arial" w:eastAsia="Arial" w:hAnsi="Arial"/>
          <w:sz w:val="16"/>
          <w:szCs w:val="16"/>
          <w:color w:val="2D3243"/>
        </w:rPr>
        <w:t>The Compensation Committee is comprised solely of independent directors.</w:t>
      </w:r>
    </w:p>
    <w:p>
      <w:pPr>
        <w:spacing w:after="0" w:line="234" w:lineRule="exact"/>
        <w:rPr>
          <w:rFonts w:ascii="Arial" w:cs="Arial" w:eastAsia="Arial" w:hAnsi="Arial"/>
          <w:sz w:val="16"/>
          <w:szCs w:val="16"/>
          <w:b w:val="1"/>
          <w:bCs w:val="1"/>
          <w:color w:val="2D3243"/>
        </w:rPr>
      </w:pPr>
    </w:p>
    <w:p>
      <w:pPr>
        <w:ind w:left="660" w:right="60" w:hanging="328"/>
        <w:spacing w:after="0" w:line="392" w:lineRule="auto"/>
        <w:tabs>
          <w:tab w:leader="none" w:pos="622" w:val="left"/>
        </w:tabs>
        <w:numPr>
          <w:ilvl w:val="0"/>
          <w:numId w:val="33"/>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Independent Compensation Committee Advisor </w:t>
      </w:r>
      <w:r>
        <w:rPr>
          <w:rFonts w:ascii="Arial" w:cs="Arial" w:eastAsia="Arial" w:hAnsi="Arial"/>
          <w:sz w:val="16"/>
          <w:szCs w:val="16"/>
          <w:color w:val="2D3243"/>
        </w:rPr>
        <w:t>The Compensation Committee engaged its own compensation consultant to assist with its 2023</w:t>
      </w:r>
      <w:r>
        <w:rPr>
          <w:rFonts w:ascii="Arial" w:cs="Arial" w:eastAsia="Arial" w:hAnsi="Arial"/>
          <w:sz w:val="16"/>
          <w:szCs w:val="16"/>
          <w:b w:val="1"/>
          <w:bCs w:val="1"/>
          <w:color w:val="2D3243"/>
        </w:rPr>
        <w:t xml:space="preserve"> </w:t>
      </w:r>
      <w:r>
        <w:rPr>
          <w:rFonts w:ascii="Arial" w:cs="Arial" w:eastAsia="Arial" w:hAnsi="Arial"/>
          <w:sz w:val="16"/>
          <w:szCs w:val="16"/>
          <w:color w:val="2D3243"/>
        </w:rPr>
        <w:t>compensation reviews and determinations. This consultant performed no other consulting or other services for us in 2023.</w:t>
      </w:r>
    </w:p>
    <w:p>
      <w:pPr>
        <w:spacing w:after="0" w:line="87" w:lineRule="exact"/>
        <w:rPr>
          <w:rFonts w:ascii="Arial" w:cs="Arial" w:eastAsia="Arial" w:hAnsi="Arial"/>
          <w:sz w:val="16"/>
          <w:szCs w:val="16"/>
          <w:b w:val="1"/>
          <w:bCs w:val="1"/>
          <w:color w:val="2D3243"/>
        </w:rPr>
      </w:pPr>
    </w:p>
    <w:p>
      <w:pPr>
        <w:jc w:val="both"/>
        <w:ind w:left="660" w:right="120" w:hanging="328"/>
        <w:spacing w:after="0" w:line="354" w:lineRule="auto"/>
        <w:tabs>
          <w:tab w:leader="none" w:pos="622" w:val="left"/>
        </w:tabs>
        <w:numPr>
          <w:ilvl w:val="0"/>
          <w:numId w:val="33"/>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Annual Executive Compensation Review </w:t>
      </w:r>
      <w:r>
        <w:rPr>
          <w:rFonts w:ascii="Arial" w:cs="Arial" w:eastAsia="Arial" w:hAnsi="Arial"/>
          <w:sz w:val="16"/>
          <w:szCs w:val="16"/>
          <w:color w:val="2D3243"/>
        </w:rPr>
        <w:t>The Compensation Committee conducts an annual review and approval of our compensation strategy,</w:t>
      </w:r>
      <w:r>
        <w:rPr>
          <w:rFonts w:ascii="Arial" w:cs="Arial" w:eastAsia="Arial" w:hAnsi="Arial"/>
          <w:sz w:val="16"/>
          <w:szCs w:val="16"/>
          <w:b w:val="1"/>
          <w:bCs w:val="1"/>
          <w:color w:val="2D3243"/>
        </w:rPr>
        <w:t xml:space="preserve"> </w:t>
      </w:r>
      <w:r>
        <w:rPr>
          <w:rFonts w:ascii="Arial" w:cs="Arial" w:eastAsia="Arial" w:hAnsi="Arial"/>
          <w:sz w:val="16"/>
          <w:szCs w:val="16"/>
          <w:color w:val="2D3243"/>
        </w:rPr>
        <w:t>including a review of our compensation peer group used for comparative purposes and a review of our compensation-related risk profile to ensure that our compensation-related risks are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41</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9" w:name="page50"/>
    <w:bookmarkEnd w:id="49"/>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380" w:hanging="328"/>
        <w:spacing w:after="0" w:line="354" w:lineRule="auto"/>
        <w:tabs>
          <w:tab w:leader="none" w:pos="622" w:val="left"/>
        </w:tabs>
        <w:numPr>
          <w:ilvl w:val="0"/>
          <w:numId w:val="34"/>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Executive Compensation Policies and Practices </w:t>
      </w:r>
      <w:r>
        <w:rPr>
          <w:rFonts w:ascii="Arial" w:cs="Arial" w:eastAsia="Arial" w:hAnsi="Arial"/>
          <w:sz w:val="16"/>
          <w:szCs w:val="16"/>
          <w:color w:val="2D3243"/>
        </w:rPr>
        <w:t>Our compensation philosophy and related corporate governance policies and practices are</w:t>
      </w:r>
      <w:r>
        <w:rPr>
          <w:rFonts w:ascii="Arial" w:cs="Arial" w:eastAsia="Arial" w:hAnsi="Arial"/>
          <w:sz w:val="16"/>
          <w:szCs w:val="16"/>
          <w:b w:val="1"/>
          <w:bCs w:val="1"/>
          <w:color w:val="2D3243"/>
        </w:rPr>
        <w:t xml:space="preserve"> </w:t>
      </w:r>
      <w:r>
        <w:rPr>
          <w:rFonts w:ascii="Arial" w:cs="Arial" w:eastAsia="Arial" w:hAnsi="Arial"/>
          <w:sz w:val="16"/>
          <w:szCs w:val="16"/>
          <w:color w:val="2D3243"/>
        </w:rPr>
        <w:t>complemented by several specific compensation practices that are designed to align our executive compensation with long-term stockholder interests, including the following:</w:t>
      </w:r>
    </w:p>
    <w:p>
      <w:pPr>
        <w:spacing w:after="0" w:line="130" w:lineRule="exact"/>
        <w:rPr>
          <w:rFonts w:ascii="Arial" w:cs="Arial" w:eastAsia="Arial" w:hAnsi="Arial"/>
          <w:sz w:val="16"/>
          <w:szCs w:val="16"/>
          <w:b w:val="1"/>
          <w:bCs w:val="1"/>
          <w:color w:val="2D3243"/>
        </w:rPr>
      </w:pPr>
    </w:p>
    <w:p>
      <w:pPr>
        <w:ind w:left="1300" w:right="140" w:hanging="320"/>
        <w:spacing w:after="0" w:line="374" w:lineRule="auto"/>
        <w:tabs>
          <w:tab w:leader="none" w:pos="1290" w:val="left"/>
        </w:tabs>
        <w:numPr>
          <w:ilvl w:val="1"/>
          <w:numId w:val="34"/>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Compensation At-Risk </w:t>
      </w:r>
      <w:r>
        <w:rPr>
          <w:rFonts w:ascii="Arial" w:cs="Arial" w:eastAsia="Arial" w:hAnsi="Arial"/>
          <w:sz w:val="16"/>
          <w:szCs w:val="16"/>
          <w:color w:val="2D3243"/>
        </w:rPr>
        <w:t>Our executive compensation program is designed so that a significant portion of compensation is “at risk” based</w:t>
      </w:r>
      <w:r>
        <w:rPr>
          <w:rFonts w:ascii="Arial" w:cs="Arial" w:eastAsia="Arial" w:hAnsi="Arial"/>
          <w:sz w:val="16"/>
          <w:szCs w:val="16"/>
          <w:b w:val="1"/>
          <w:bCs w:val="1"/>
          <w:color w:val="2D3243"/>
        </w:rPr>
        <w:t xml:space="preserve"> </w:t>
      </w:r>
      <w:r>
        <w:rPr>
          <w:rFonts w:ascii="Arial" w:cs="Arial" w:eastAsia="Arial" w:hAnsi="Arial"/>
          <w:sz w:val="16"/>
          <w:szCs w:val="16"/>
          <w:color w:val="2D3243"/>
        </w:rPr>
        <w:t>on corporate performance, as well as equity-based to align the interests of our executive officers and stockholders.</w:t>
      </w:r>
    </w:p>
    <w:p>
      <w:pPr>
        <w:spacing w:after="0" w:line="101" w:lineRule="exact"/>
        <w:rPr>
          <w:rFonts w:ascii="Arial" w:cs="Arial" w:eastAsia="Arial" w:hAnsi="Arial"/>
          <w:sz w:val="16"/>
          <w:szCs w:val="16"/>
          <w:b w:val="1"/>
          <w:bCs w:val="1"/>
          <w:color w:val="2D3243"/>
        </w:rPr>
      </w:pPr>
    </w:p>
    <w:p>
      <w:pPr>
        <w:ind w:left="1300" w:right="20" w:hanging="320"/>
        <w:spacing w:after="0" w:line="374" w:lineRule="auto"/>
        <w:tabs>
          <w:tab w:leader="none" w:pos="1290" w:val="left"/>
        </w:tabs>
        <w:numPr>
          <w:ilvl w:val="1"/>
          <w:numId w:val="34"/>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Limited Perquisites </w:t>
      </w:r>
      <w:r>
        <w:rPr>
          <w:rFonts w:ascii="Arial" w:cs="Arial" w:eastAsia="Arial" w:hAnsi="Arial"/>
          <w:sz w:val="16"/>
          <w:szCs w:val="16"/>
          <w:color w:val="2D3243"/>
        </w:rPr>
        <w:t>We provide only limited perquisites and other personal benefits to our executive officers including standard relocation</w:t>
      </w:r>
      <w:r>
        <w:rPr>
          <w:rFonts w:ascii="Arial" w:cs="Arial" w:eastAsia="Arial" w:hAnsi="Arial"/>
          <w:sz w:val="16"/>
          <w:szCs w:val="16"/>
          <w:b w:val="1"/>
          <w:bCs w:val="1"/>
          <w:color w:val="2D3243"/>
        </w:rPr>
        <w:t xml:space="preserve"> </w:t>
      </w:r>
      <w:r>
        <w:rPr>
          <w:rFonts w:ascii="Arial" w:cs="Arial" w:eastAsia="Arial" w:hAnsi="Arial"/>
          <w:sz w:val="16"/>
          <w:szCs w:val="16"/>
          <w:color w:val="2D3243"/>
        </w:rPr>
        <w:t>benefits.</w:t>
      </w:r>
    </w:p>
    <w:p>
      <w:pPr>
        <w:spacing w:after="0" w:line="101" w:lineRule="exact"/>
        <w:rPr>
          <w:rFonts w:ascii="Arial" w:cs="Arial" w:eastAsia="Arial" w:hAnsi="Arial"/>
          <w:sz w:val="16"/>
          <w:szCs w:val="16"/>
          <w:b w:val="1"/>
          <w:bCs w:val="1"/>
          <w:color w:val="2D3243"/>
        </w:rPr>
      </w:pPr>
    </w:p>
    <w:p>
      <w:pPr>
        <w:ind w:left="1300" w:right="620" w:hanging="320"/>
        <w:spacing w:after="0" w:line="392" w:lineRule="auto"/>
        <w:tabs>
          <w:tab w:leader="none" w:pos="1290" w:val="left"/>
        </w:tabs>
        <w:numPr>
          <w:ilvl w:val="1"/>
          <w:numId w:val="34"/>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No Tax Reimbursements </w:t>
      </w:r>
      <w:r>
        <w:rPr>
          <w:rFonts w:ascii="Arial" w:cs="Arial" w:eastAsia="Arial" w:hAnsi="Arial"/>
          <w:sz w:val="16"/>
          <w:szCs w:val="16"/>
          <w:color w:val="2D3243"/>
        </w:rPr>
        <w:t>We do not provide any tax reimbursement payments (including “gross-ups”) on any perquisites or other</w:t>
      </w:r>
      <w:r>
        <w:rPr>
          <w:rFonts w:ascii="Arial" w:cs="Arial" w:eastAsia="Arial" w:hAnsi="Arial"/>
          <w:sz w:val="16"/>
          <w:szCs w:val="16"/>
          <w:b w:val="1"/>
          <w:bCs w:val="1"/>
          <w:color w:val="2D3243"/>
        </w:rPr>
        <w:t xml:space="preserve"> </w:t>
      </w:r>
      <w:r>
        <w:rPr>
          <w:rFonts w:ascii="Arial" w:cs="Arial" w:eastAsia="Arial" w:hAnsi="Arial"/>
          <w:sz w:val="16"/>
          <w:szCs w:val="16"/>
          <w:color w:val="2D3243"/>
        </w:rPr>
        <w:t>personal benefits.</w:t>
      </w:r>
    </w:p>
    <w:p>
      <w:pPr>
        <w:spacing w:after="0" w:line="87" w:lineRule="exact"/>
        <w:rPr>
          <w:rFonts w:ascii="Arial" w:cs="Arial" w:eastAsia="Arial" w:hAnsi="Arial"/>
          <w:sz w:val="16"/>
          <w:szCs w:val="16"/>
          <w:b w:val="1"/>
          <w:bCs w:val="1"/>
          <w:color w:val="2D3243"/>
        </w:rPr>
      </w:pPr>
    </w:p>
    <w:p>
      <w:pPr>
        <w:ind w:left="1300" w:right="580" w:hanging="320"/>
        <w:spacing w:after="0" w:line="374" w:lineRule="auto"/>
        <w:tabs>
          <w:tab w:leader="none" w:pos="1290" w:val="left"/>
        </w:tabs>
        <w:numPr>
          <w:ilvl w:val="1"/>
          <w:numId w:val="34"/>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No Change-In-Control Tax Reimbursements </w:t>
      </w:r>
      <w:r>
        <w:rPr>
          <w:rFonts w:ascii="Arial" w:cs="Arial" w:eastAsia="Arial" w:hAnsi="Arial"/>
          <w:sz w:val="16"/>
          <w:szCs w:val="16"/>
          <w:color w:val="2D3243"/>
        </w:rPr>
        <w:t>We do not provide any tax reimbursement payments (including “gross-ups”) on any</w:t>
      </w:r>
      <w:r>
        <w:rPr>
          <w:rFonts w:ascii="Arial" w:cs="Arial" w:eastAsia="Arial" w:hAnsi="Arial"/>
          <w:sz w:val="16"/>
          <w:szCs w:val="16"/>
          <w:b w:val="1"/>
          <w:bCs w:val="1"/>
          <w:color w:val="2D3243"/>
        </w:rPr>
        <w:t xml:space="preserve"> </w:t>
      </w:r>
      <w:r>
        <w:rPr>
          <w:rFonts w:ascii="Arial" w:cs="Arial" w:eastAsia="Arial" w:hAnsi="Arial"/>
          <w:sz w:val="16"/>
          <w:szCs w:val="16"/>
          <w:color w:val="2D3243"/>
        </w:rPr>
        <w:t>severance or change-in-control payments or benefits.</w:t>
      </w:r>
    </w:p>
    <w:p>
      <w:pPr>
        <w:spacing w:after="0" w:line="101" w:lineRule="exact"/>
        <w:rPr>
          <w:rFonts w:ascii="Arial" w:cs="Arial" w:eastAsia="Arial" w:hAnsi="Arial"/>
          <w:sz w:val="16"/>
          <w:szCs w:val="16"/>
          <w:b w:val="1"/>
          <w:bCs w:val="1"/>
          <w:color w:val="2D3243"/>
        </w:rPr>
      </w:pPr>
    </w:p>
    <w:p>
      <w:pPr>
        <w:ind w:left="1300" w:right="80" w:hanging="320"/>
        <w:spacing w:after="0" w:line="354" w:lineRule="auto"/>
        <w:tabs>
          <w:tab w:leader="none" w:pos="1290" w:val="left"/>
        </w:tabs>
        <w:numPr>
          <w:ilvl w:val="1"/>
          <w:numId w:val="34"/>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“Double-Trigger” Change in Control Arrangements </w:t>
      </w:r>
      <w:r>
        <w:rPr>
          <w:rFonts w:ascii="Arial" w:cs="Arial" w:eastAsia="Arial" w:hAnsi="Arial"/>
          <w:sz w:val="16"/>
          <w:szCs w:val="16"/>
          <w:color w:val="2D3243"/>
        </w:rPr>
        <w:t>All change in control payments and benefits for our NEOs are based on a “double-trigger” arrangement (that is, they require both a change in control of the Company plus a qualifying termination of employment before payments and benefits are paid).</w:t>
      </w:r>
    </w:p>
    <w:p>
      <w:pPr>
        <w:spacing w:after="0" w:line="130" w:lineRule="exact"/>
        <w:rPr>
          <w:rFonts w:ascii="Arial" w:cs="Arial" w:eastAsia="Arial" w:hAnsi="Arial"/>
          <w:sz w:val="16"/>
          <w:szCs w:val="16"/>
          <w:b w:val="1"/>
          <w:bCs w:val="1"/>
          <w:color w:val="2D3243"/>
        </w:rPr>
      </w:pPr>
    </w:p>
    <w:p>
      <w:pPr>
        <w:ind w:left="1300" w:right="200" w:hanging="320"/>
        <w:spacing w:after="0" w:line="374" w:lineRule="auto"/>
        <w:tabs>
          <w:tab w:leader="none" w:pos="1290" w:val="left"/>
        </w:tabs>
        <w:numPr>
          <w:ilvl w:val="1"/>
          <w:numId w:val="34"/>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Minimum Share Ownership </w:t>
      </w:r>
      <w:r>
        <w:rPr>
          <w:rFonts w:ascii="Arial" w:cs="Arial" w:eastAsia="Arial" w:hAnsi="Arial"/>
          <w:sz w:val="16"/>
          <w:szCs w:val="16"/>
          <w:color w:val="2D3243"/>
        </w:rPr>
        <w:t>Our executive officers, including our NEOs, and the non-employee members of the Board of Directors, are</w:t>
      </w:r>
      <w:r>
        <w:rPr>
          <w:rFonts w:ascii="Arial" w:cs="Arial" w:eastAsia="Arial" w:hAnsi="Arial"/>
          <w:sz w:val="16"/>
          <w:szCs w:val="16"/>
          <w:b w:val="1"/>
          <w:bCs w:val="1"/>
          <w:color w:val="2D3243"/>
        </w:rPr>
        <w:t xml:space="preserve"> </w:t>
      </w:r>
      <w:r>
        <w:rPr>
          <w:rFonts w:ascii="Arial" w:cs="Arial" w:eastAsia="Arial" w:hAnsi="Arial"/>
          <w:sz w:val="16"/>
          <w:szCs w:val="16"/>
          <w:color w:val="2D3243"/>
        </w:rPr>
        <w:t>subject to stock ownership guidelines as described below.</w:t>
      </w:r>
    </w:p>
    <w:p>
      <w:pPr>
        <w:spacing w:after="0" w:line="101" w:lineRule="exact"/>
        <w:rPr>
          <w:rFonts w:ascii="Arial" w:cs="Arial" w:eastAsia="Arial" w:hAnsi="Arial"/>
          <w:sz w:val="16"/>
          <w:szCs w:val="16"/>
          <w:b w:val="1"/>
          <w:bCs w:val="1"/>
          <w:color w:val="2D3243"/>
        </w:rPr>
      </w:pPr>
    </w:p>
    <w:p>
      <w:pPr>
        <w:ind w:left="1300" w:right="240" w:hanging="320"/>
        <w:spacing w:after="0" w:line="353" w:lineRule="auto"/>
        <w:tabs>
          <w:tab w:leader="none" w:pos="1290" w:val="left"/>
        </w:tabs>
        <w:numPr>
          <w:ilvl w:val="1"/>
          <w:numId w:val="34"/>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Hedging and Pledging Prohibited </w:t>
      </w:r>
      <w:r>
        <w:rPr>
          <w:rFonts w:ascii="Arial" w:cs="Arial" w:eastAsia="Arial" w:hAnsi="Arial"/>
          <w:sz w:val="16"/>
          <w:szCs w:val="16"/>
          <w:color w:val="2D3243"/>
        </w:rPr>
        <w:t>We prohibit our employees, including our NEOs, and the non-employee members of the Board of</w:t>
      </w:r>
      <w:r>
        <w:rPr>
          <w:rFonts w:ascii="Arial" w:cs="Arial" w:eastAsia="Arial" w:hAnsi="Arial"/>
          <w:sz w:val="16"/>
          <w:szCs w:val="16"/>
          <w:b w:val="1"/>
          <w:bCs w:val="1"/>
          <w:color w:val="2D3243"/>
        </w:rPr>
        <w:t xml:space="preserve"> </w:t>
      </w:r>
      <w:r>
        <w:rPr>
          <w:rFonts w:ascii="Arial" w:cs="Arial" w:eastAsia="Arial" w:hAnsi="Arial"/>
          <w:sz w:val="16"/>
          <w:szCs w:val="16"/>
          <w:color w:val="2D3243"/>
        </w:rPr>
        <w:t>Directors from engaging in transactions that are of a speculative nature, including entering into any short sales, put option contracts, straddles or similar arrangements based on our securities. We also prohibit our employees, including our NEOs, and the non-employee members of the Board of Directors from pledging our securities or holding our securities in a margin account.</w:t>
      </w:r>
    </w:p>
    <w:p>
      <w:pPr>
        <w:spacing w:after="0" w:line="119" w:lineRule="exact"/>
        <w:rPr>
          <w:rFonts w:ascii="Arial" w:cs="Arial" w:eastAsia="Arial" w:hAnsi="Arial"/>
          <w:sz w:val="16"/>
          <w:szCs w:val="16"/>
          <w:b w:val="1"/>
          <w:bCs w:val="1"/>
          <w:color w:val="2D3243"/>
        </w:rPr>
      </w:pPr>
    </w:p>
    <w:p>
      <w:pPr>
        <w:ind w:left="1300" w:right="540" w:hanging="320"/>
        <w:spacing w:after="0" w:line="374" w:lineRule="auto"/>
        <w:tabs>
          <w:tab w:leader="none" w:pos="1290" w:val="left"/>
        </w:tabs>
        <w:numPr>
          <w:ilvl w:val="1"/>
          <w:numId w:val="34"/>
        </w:numPr>
        <w:rPr>
          <w:rFonts w:ascii="Arial" w:cs="Arial" w:eastAsia="Arial" w:hAnsi="Arial"/>
          <w:sz w:val="16"/>
          <w:szCs w:val="16"/>
          <w:b w:val="1"/>
          <w:bCs w:val="1"/>
          <w:color w:val="2D3243"/>
        </w:rPr>
      </w:pPr>
      <w:r>
        <w:rPr>
          <w:rFonts w:ascii="Arial" w:cs="Arial" w:eastAsia="Arial" w:hAnsi="Arial"/>
          <w:sz w:val="16"/>
          <w:szCs w:val="16"/>
          <w:b w:val="1"/>
          <w:bCs w:val="1"/>
          <w:color w:val="2D3243"/>
        </w:rPr>
        <w:t xml:space="preserve">Clawback Policy </w:t>
      </w:r>
      <w:r>
        <w:rPr>
          <w:rFonts w:ascii="Arial" w:cs="Arial" w:eastAsia="Arial" w:hAnsi="Arial"/>
          <w:sz w:val="16"/>
          <w:szCs w:val="16"/>
          <w:color w:val="2D3243"/>
        </w:rPr>
        <w:t>We adopted a compensation recovery (“clawback”) policy intended to comply with Exchange Act Rule 10D-1 and</w:t>
      </w:r>
      <w:r>
        <w:rPr>
          <w:rFonts w:ascii="Arial" w:cs="Arial" w:eastAsia="Arial" w:hAnsi="Arial"/>
          <w:sz w:val="16"/>
          <w:szCs w:val="16"/>
          <w:b w:val="1"/>
          <w:bCs w:val="1"/>
          <w:color w:val="2D3243"/>
        </w:rPr>
        <w:t xml:space="preserve"> </w:t>
      </w:r>
      <w:r>
        <w:rPr>
          <w:rFonts w:ascii="Arial" w:cs="Arial" w:eastAsia="Arial" w:hAnsi="Arial"/>
          <w:sz w:val="16"/>
          <w:szCs w:val="16"/>
          <w:color w:val="2D3243"/>
        </w:rPr>
        <w:t>applicable NASDAQ listing standards.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2023 Stockholder Advisory Vote to Approve Named Executive Officer Compensation</w:t>
      </w:r>
    </w:p>
    <w:p>
      <w:pPr>
        <w:spacing w:after="0" w:line="93" w:lineRule="exact"/>
        <w:rPr>
          <w:sz w:val="20"/>
          <w:szCs w:val="20"/>
          <w:color w:val="auto"/>
        </w:rPr>
      </w:pPr>
    </w:p>
    <w:p>
      <w:pPr>
        <w:jc w:val="both"/>
        <w:ind w:right="480"/>
        <w:spacing w:after="0" w:line="353" w:lineRule="auto"/>
        <w:rPr>
          <w:sz w:val="20"/>
          <w:szCs w:val="20"/>
          <w:color w:val="auto"/>
        </w:rPr>
      </w:pPr>
      <w:r>
        <w:rPr>
          <w:rFonts w:ascii="Arial" w:cs="Arial" w:eastAsia="Arial" w:hAnsi="Arial"/>
          <w:sz w:val="16"/>
          <w:szCs w:val="16"/>
          <w:color w:val="2D3243"/>
        </w:rPr>
        <w:t>The Compensation Committee reviewed the results of the 2023 stockholder advisory vote on our NEO compensation (the "Say-on-Pay" proposal) and incorporated the results as one of the many factors considered in connection with the discharge of its responsibilities. Since a relatively small majority (approximately 57%) of the votes cast on the Say-on-Pay proposal at the 2023 annual meeting were voted in favor of the proposal, the Compensation Committee and members of our senior management undertook a stockholder engagement effort as described below.</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Stockholder Engagement</w:t>
      </w:r>
    </w:p>
    <w:p>
      <w:pPr>
        <w:spacing w:after="0" w:line="125" w:lineRule="exact"/>
        <w:rPr>
          <w:sz w:val="20"/>
          <w:szCs w:val="20"/>
          <w:color w:val="auto"/>
        </w:rPr>
      </w:pPr>
    </w:p>
    <w:p>
      <w:pPr>
        <w:ind w:right="240"/>
        <w:spacing w:after="0" w:line="348" w:lineRule="auto"/>
        <w:rPr>
          <w:sz w:val="20"/>
          <w:szCs w:val="20"/>
          <w:color w:val="auto"/>
        </w:rPr>
      </w:pPr>
      <w:r>
        <w:rPr>
          <w:rFonts w:ascii="Arial" w:cs="Arial" w:eastAsia="Arial" w:hAnsi="Arial"/>
          <w:sz w:val="16"/>
          <w:szCs w:val="16"/>
          <w:color w:val="2D3243"/>
        </w:rPr>
        <w:t>At our 2023 annual meeting, we provided our stockholders with the opportunity to participate in an advisory, non-binding vote on the compensation of our NEOs. Approximately 57% of the votes cast by our stockholders were in favor of the proposal. Despite receiving strong support from our stockholders regarding executive compensation in 2022, we, after consultation with our Board of Directors and Compensation Committee, conducted a comprehensive stockholder outreach program to gain a better understanding of our stockholders’ concerns and to identify areas for improvement within our executive compensation programs.</w:t>
      </w:r>
    </w:p>
    <w:p>
      <w:pPr>
        <w:spacing w:after="0" w:line="70" w:lineRule="exact"/>
        <w:rPr>
          <w:sz w:val="20"/>
          <w:szCs w:val="20"/>
          <w:color w:val="auto"/>
        </w:rPr>
      </w:pPr>
    </w:p>
    <w:p>
      <w:pPr>
        <w:ind w:right="100"/>
        <w:spacing w:after="0" w:line="354" w:lineRule="auto"/>
        <w:rPr>
          <w:sz w:val="20"/>
          <w:szCs w:val="20"/>
          <w:color w:val="auto"/>
        </w:rPr>
      </w:pPr>
      <w:r>
        <w:rPr>
          <w:rFonts w:ascii="Arial" w:cs="Arial" w:eastAsia="Arial" w:hAnsi="Arial"/>
          <w:sz w:val="16"/>
          <w:szCs w:val="16"/>
          <w:color w:val="2D3243"/>
        </w:rPr>
        <w:t>We commenced our stockholder outreach efforts in May 2023, and continued them into early 2024, prior to our 2024 annual meeting of stockholders. We reached out to our 25 largest stockholders (which owned approximately 63.6% of our issued and outstanding common stock as of December 31, 2023) and offered to meet with them to discuss our compensation practices and policies. We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42</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0" w:name="page51"/>
    <w:bookmarkEnd w:id="50"/>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2D3243"/>
        </w:rPr>
        <w:t>received responses from 11 of those stockholders (which owned approximately 36.4% of our issued and outstanding common stock). Of those 11 stockholders, 8 accepted our invitation to participate on conference calls with us and 3 stockholders, who represented approximately 5.8% of our issued and outstanding common stock, stated that they had no concerns that warranted a call.</w:t>
      </w:r>
    </w:p>
    <w:p>
      <w:pPr>
        <w:spacing w:after="0" w:line="77"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color w:val="2D3243"/>
        </w:rPr>
        <w:t>The chair of our Compensation Committee, our Chief Financial Officer, our Chief People Officer, our Chief Legal Officer and Senior Vice President of Finance spoke via conference call with representatives of these 8 stockholders (which owned approximately 30.6% of our issued and outstanding common stock). For each of these conference calls, the chair of our Compensation Committee led the discussion on behalf of the Company and responded to stockholder questions.</w:t>
      </w:r>
    </w:p>
    <w:p>
      <w:pPr>
        <w:spacing w:after="0" w:line="70" w:lineRule="exact"/>
        <w:rPr>
          <w:sz w:val="20"/>
          <w:szCs w:val="20"/>
          <w:color w:val="auto"/>
        </w:rPr>
      </w:pPr>
    </w:p>
    <w:p>
      <w:pPr>
        <w:ind w:right="100"/>
        <w:spacing w:after="0" w:line="353" w:lineRule="auto"/>
        <w:rPr>
          <w:sz w:val="20"/>
          <w:szCs w:val="20"/>
          <w:color w:val="auto"/>
        </w:rPr>
      </w:pPr>
      <w:r>
        <w:rPr>
          <w:rFonts w:ascii="Arial" w:cs="Arial" w:eastAsia="Arial" w:hAnsi="Arial"/>
          <w:sz w:val="16"/>
          <w:szCs w:val="16"/>
          <w:color w:val="2D3243"/>
        </w:rPr>
        <w:t>We welcomed the feedback we received during our engagement with our stockholders. A number of our stockholders had similar reactions to our executive compensation program and provided instructive feedback for how we might improve the program. Moving forward, we are capitalizing on these conversations to consider changes to our executive compensation program that are appropriate for our Company, align with current best practices and reflect the interests of our stockholders.</w:t>
      </w:r>
    </w:p>
    <w:p>
      <w:pPr>
        <w:spacing w:after="0" w:line="65" w:lineRule="exact"/>
        <w:rPr>
          <w:sz w:val="20"/>
          <w:szCs w:val="20"/>
          <w:color w:val="auto"/>
        </w:rPr>
      </w:pPr>
    </w:p>
    <w:p>
      <w:pPr>
        <w:ind w:right="160"/>
        <w:spacing w:after="0" w:line="354" w:lineRule="auto"/>
        <w:rPr>
          <w:sz w:val="20"/>
          <w:szCs w:val="20"/>
          <w:color w:val="auto"/>
        </w:rPr>
      </w:pPr>
      <w:r>
        <w:rPr>
          <w:rFonts w:ascii="Arial" w:cs="Arial" w:eastAsia="Arial" w:hAnsi="Arial"/>
          <w:sz w:val="16"/>
          <w:szCs w:val="16"/>
          <w:color w:val="2D3243"/>
        </w:rPr>
        <w:t>Our Compensation Committee met in February of this year to approve key elements of our 2024 executive compensation program and in doing so considered the stockholder feedback we received to date. In response to this feedback, the Compensation Committee adopted an increased performance-based focus for our short-term cash incentive and equity incentive awards, as described below under "2024 Executive Compensation Actions."</w:t>
      </w:r>
    </w:p>
    <w:p>
      <w:pPr>
        <w:spacing w:after="0" w:line="77" w:lineRule="exact"/>
        <w:rPr>
          <w:sz w:val="20"/>
          <w:szCs w:val="20"/>
          <w:color w:val="auto"/>
        </w:rPr>
      </w:pPr>
    </w:p>
    <w:p>
      <w:pPr>
        <w:ind w:right="160"/>
        <w:spacing w:after="0" w:line="354" w:lineRule="auto"/>
        <w:rPr>
          <w:sz w:val="20"/>
          <w:szCs w:val="20"/>
          <w:color w:val="auto"/>
        </w:rPr>
      </w:pPr>
      <w:r>
        <w:rPr>
          <w:rFonts w:ascii="Arial" w:cs="Arial" w:eastAsia="Arial" w:hAnsi="Arial"/>
          <w:sz w:val="16"/>
          <w:szCs w:val="16"/>
          <w:color w:val="2D3243"/>
        </w:rPr>
        <w:t>Our primary focus for 2024 and future years is to ensure that our executive pay decisions continue to be structured in a manner that promotes the evolving best interests of our Company and our stockholders. The table below describes what we heard from our stockholders and how we are considering and implementing enhancements to our executive compensation program to achieve these goals moving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What We Heard</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2D3243"/>
        </w:rPr>
        <w:t>CEO’s initial equity award in 2022</w:t>
      </w:r>
    </w:p>
    <w:p>
      <w:pPr>
        <w:spacing w:after="0" w:line="125" w:lineRule="exact"/>
        <w:rPr>
          <w:sz w:val="20"/>
          <w:szCs w:val="20"/>
          <w:color w:val="auto"/>
        </w:rPr>
      </w:pPr>
    </w:p>
    <w:p>
      <w:pPr>
        <w:ind w:left="180" w:right="400" w:hanging="154"/>
        <w:spacing w:after="0" w:line="374" w:lineRule="auto"/>
        <w:tabs>
          <w:tab w:leader="none" w:pos="142" w:val="left"/>
        </w:tabs>
        <w:numPr>
          <w:ilvl w:val="0"/>
          <w:numId w:val="35"/>
        </w:numPr>
        <w:rPr>
          <w:rFonts w:ascii="Arial" w:cs="Arial" w:eastAsia="Arial" w:hAnsi="Arial"/>
          <w:sz w:val="16"/>
          <w:szCs w:val="16"/>
          <w:color w:val="2D3243"/>
        </w:rPr>
      </w:pPr>
      <w:r>
        <w:rPr>
          <w:rFonts w:ascii="Arial" w:cs="Arial" w:eastAsia="Arial" w:hAnsi="Arial"/>
          <w:sz w:val="16"/>
          <w:szCs w:val="16"/>
          <w:color w:val="2D3243"/>
        </w:rPr>
        <w:t>Some stockholders questioned the size and structure of our CEO’s initial equity award.</w:t>
      </w:r>
    </w:p>
    <w:p>
      <w:pPr>
        <w:spacing w:after="0" w:line="115" w:lineRule="exact"/>
        <w:rPr>
          <w:rFonts w:ascii="Arial" w:cs="Arial" w:eastAsia="Arial" w:hAnsi="Arial"/>
          <w:sz w:val="16"/>
          <w:szCs w:val="16"/>
          <w:color w:val="2D3243"/>
        </w:rPr>
      </w:pPr>
    </w:p>
    <w:p>
      <w:pPr>
        <w:ind w:left="180" w:hanging="154"/>
        <w:spacing w:after="0" w:line="341" w:lineRule="auto"/>
        <w:tabs>
          <w:tab w:leader="none" w:pos="142" w:val="left"/>
        </w:tabs>
        <w:numPr>
          <w:ilvl w:val="0"/>
          <w:numId w:val="35"/>
        </w:numPr>
        <w:rPr>
          <w:rFonts w:ascii="Arial" w:cs="Arial" w:eastAsia="Arial" w:hAnsi="Arial"/>
          <w:sz w:val="16"/>
          <w:szCs w:val="16"/>
          <w:color w:val="2D3243"/>
        </w:rPr>
      </w:pPr>
      <w:r>
        <w:rPr>
          <w:rFonts w:ascii="Arial" w:cs="Arial" w:eastAsia="Arial" w:hAnsi="Arial"/>
          <w:sz w:val="16"/>
          <w:szCs w:val="16"/>
          <w:color w:val="2D3243"/>
        </w:rPr>
        <w:t>While certain other stockholders may have voted against our Say on Pay proposal due to proxy advisor concerns with the CEO’s initial award, some of the stockholders we met with stated they understood the need for the one-time equity grant, including in light of the competitive market for qualified senior executives and the value added by appointing our CEO, given his vast experience with the Company and our business.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6"/>
        <w:spacing w:after="0"/>
        <w:tabs>
          <w:tab w:leader="none" w:pos="3925" w:val="left"/>
        </w:tabs>
        <w:rPr>
          <w:sz w:val="20"/>
          <w:szCs w:val="20"/>
          <w:color w:val="auto"/>
        </w:rPr>
      </w:pPr>
      <w:r>
        <w:rPr>
          <w:rFonts w:ascii="Arial" w:cs="Arial" w:eastAsia="Arial" w:hAnsi="Arial"/>
          <w:sz w:val="14"/>
          <w:szCs w:val="14"/>
          <w:b w:val="1"/>
          <w:bCs w:val="1"/>
          <w:color w:val="FFFFFF"/>
        </w:rPr>
        <w:t>How We Are Responding</w:t>
      </w:r>
      <w:r>
        <w:rPr>
          <w:sz w:val="20"/>
          <w:szCs w:val="20"/>
          <w:color w:val="auto"/>
        </w:rPr>
        <w:tab/>
      </w:r>
      <w:r>
        <w:rPr>
          <w:rFonts w:ascii="Arial" w:cs="Arial" w:eastAsia="Arial" w:hAnsi="Arial"/>
          <w:sz w:val="14"/>
          <w:szCs w:val="14"/>
          <w:b w:val="1"/>
          <w:bCs w:val="1"/>
          <w:color w:val="FFFFFF"/>
        </w:rPr>
        <w:t>Effective Time of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92075</wp:posOffset>
            </wp:positionV>
            <wp:extent cx="7132320" cy="2674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6746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
        <w:spacing w:after="0"/>
        <w:tabs>
          <w:tab w:leader="none" w:pos="3925" w:val="left"/>
        </w:tabs>
        <w:rPr>
          <w:sz w:val="20"/>
          <w:szCs w:val="20"/>
          <w:color w:val="auto"/>
        </w:rPr>
      </w:pPr>
      <w:r>
        <w:rPr>
          <w:rFonts w:ascii="Arial" w:cs="Arial" w:eastAsia="Arial" w:hAnsi="Arial"/>
          <w:sz w:val="16"/>
          <w:szCs w:val="16"/>
          <w:color w:val="2D3243"/>
        </w:rPr>
        <w:t>• Given the size and structure of the CEO’s initial</w:t>
      </w:r>
      <w:r>
        <w:rPr>
          <w:sz w:val="20"/>
          <w:szCs w:val="20"/>
          <w:color w:val="auto"/>
        </w:rPr>
        <w:tab/>
      </w:r>
      <w:r>
        <w:rPr>
          <w:rFonts w:ascii="Arial" w:cs="Arial" w:eastAsia="Arial" w:hAnsi="Arial"/>
          <w:sz w:val="16"/>
          <w:szCs w:val="16"/>
          <w:color w:val="2D3243"/>
        </w:rPr>
        <w:t>2024 and ongoing</w:t>
      </w:r>
    </w:p>
    <w:p>
      <w:pPr>
        <w:spacing w:after="0" w:line="73" w:lineRule="exact"/>
        <w:rPr>
          <w:sz w:val="20"/>
          <w:szCs w:val="20"/>
          <w:color w:val="auto"/>
        </w:rPr>
      </w:pPr>
    </w:p>
    <w:p>
      <w:pPr>
        <w:ind w:left="166"/>
        <w:spacing w:after="0"/>
        <w:rPr>
          <w:sz w:val="20"/>
          <w:szCs w:val="20"/>
          <w:color w:val="auto"/>
        </w:rPr>
      </w:pPr>
      <w:r>
        <w:rPr>
          <w:rFonts w:ascii="Arial" w:cs="Arial" w:eastAsia="Arial" w:hAnsi="Arial"/>
          <w:sz w:val="16"/>
          <w:szCs w:val="16"/>
          <w:color w:val="2D3243"/>
        </w:rPr>
        <w:t>equity grant in December 2022, he was not</w:t>
      </w:r>
    </w:p>
    <w:p>
      <w:pPr>
        <w:spacing w:after="0" w:line="86" w:lineRule="exact"/>
        <w:rPr>
          <w:sz w:val="20"/>
          <w:szCs w:val="20"/>
          <w:color w:val="auto"/>
        </w:rPr>
      </w:pPr>
    </w:p>
    <w:p>
      <w:pPr>
        <w:ind w:left="166"/>
        <w:spacing w:after="0"/>
        <w:rPr>
          <w:sz w:val="20"/>
          <w:szCs w:val="20"/>
          <w:color w:val="auto"/>
        </w:rPr>
      </w:pPr>
      <w:r>
        <w:rPr>
          <w:rFonts w:ascii="Arial" w:cs="Arial" w:eastAsia="Arial" w:hAnsi="Arial"/>
          <w:sz w:val="16"/>
          <w:szCs w:val="16"/>
          <w:color w:val="2D3243"/>
        </w:rPr>
        <w:t>eligible for (and did not receive) any equity</w:t>
      </w:r>
    </w:p>
    <w:p>
      <w:pPr>
        <w:spacing w:after="0" w:line="73" w:lineRule="exact"/>
        <w:rPr>
          <w:sz w:val="20"/>
          <w:szCs w:val="20"/>
          <w:color w:val="auto"/>
        </w:rPr>
      </w:pPr>
    </w:p>
    <w:p>
      <w:pPr>
        <w:ind w:left="166"/>
        <w:spacing w:after="0"/>
        <w:rPr>
          <w:sz w:val="20"/>
          <w:szCs w:val="20"/>
          <w:color w:val="auto"/>
        </w:rPr>
      </w:pPr>
      <w:r>
        <w:rPr>
          <w:rFonts w:ascii="Arial" w:cs="Arial" w:eastAsia="Arial" w:hAnsi="Arial"/>
          <w:sz w:val="16"/>
          <w:szCs w:val="16"/>
          <w:color w:val="2D3243"/>
        </w:rPr>
        <w:t>awards during 2023. Our CEO also did not</w:t>
      </w:r>
    </w:p>
    <w:p>
      <w:pPr>
        <w:spacing w:after="0" w:line="73" w:lineRule="exact"/>
        <w:rPr>
          <w:sz w:val="20"/>
          <w:szCs w:val="20"/>
          <w:color w:val="auto"/>
        </w:rPr>
      </w:pPr>
    </w:p>
    <w:p>
      <w:pPr>
        <w:ind w:left="166"/>
        <w:spacing w:after="0"/>
        <w:rPr>
          <w:sz w:val="20"/>
          <w:szCs w:val="20"/>
          <w:color w:val="auto"/>
        </w:rPr>
      </w:pPr>
      <w:r>
        <w:rPr>
          <w:rFonts w:ascii="Arial" w:cs="Arial" w:eastAsia="Arial" w:hAnsi="Arial"/>
          <w:sz w:val="16"/>
          <w:szCs w:val="16"/>
          <w:color w:val="2D3243"/>
        </w:rPr>
        <w:t>receive an increase in his base salary or target</w:t>
      </w:r>
    </w:p>
    <w:p>
      <w:pPr>
        <w:spacing w:after="0" w:line="73" w:lineRule="exact"/>
        <w:rPr>
          <w:sz w:val="20"/>
          <w:szCs w:val="20"/>
          <w:color w:val="auto"/>
        </w:rPr>
      </w:pPr>
    </w:p>
    <w:p>
      <w:pPr>
        <w:ind w:left="166"/>
        <w:spacing w:after="0"/>
        <w:rPr>
          <w:sz w:val="20"/>
          <w:szCs w:val="20"/>
          <w:color w:val="auto"/>
        </w:rPr>
      </w:pPr>
      <w:r>
        <w:rPr>
          <w:rFonts w:ascii="Arial" w:cs="Arial" w:eastAsia="Arial" w:hAnsi="Arial"/>
          <w:sz w:val="16"/>
          <w:szCs w:val="16"/>
          <w:color w:val="2D3243"/>
        </w:rPr>
        <w:t>annual bonus opportunity for 2023.</w:t>
      </w:r>
    </w:p>
    <w:p>
      <w:pPr>
        <w:spacing w:after="0" w:line="235" w:lineRule="exact"/>
        <w:rPr>
          <w:sz w:val="20"/>
          <w:szCs w:val="20"/>
          <w:color w:val="auto"/>
        </w:rPr>
      </w:pPr>
    </w:p>
    <w:p>
      <w:pPr>
        <w:ind w:left="166" w:right="3620" w:hanging="166"/>
        <w:spacing w:after="0" w:line="363" w:lineRule="auto"/>
        <w:tabs>
          <w:tab w:leader="none" w:pos="128" w:val="left"/>
        </w:tabs>
        <w:numPr>
          <w:ilvl w:val="0"/>
          <w:numId w:val="36"/>
        </w:numPr>
        <w:rPr>
          <w:rFonts w:ascii="Arial" w:cs="Arial" w:eastAsia="Arial" w:hAnsi="Arial"/>
          <w:sz w:val="16"/>
          <w:szCs w:val="16"/>
          <w:color w:val="2D3243"/>
        </w:rPr>
      </w:pPr>
      <w:r>
        <w:rPr>
          <w:rFonts w:ascii="Arial" w:cs="Arial" w:eastAsia="Arial" w:hAnsi="Arial"/>
          <w:sz w:val="16"/>
          <w:szCs w:val="16"/>
          <w:color w:val="2D3243"/>
        </w:rPr>
        <w:t>The target value of our CEO’s equity awards decreased from that of the initial grant in 2022 to a more modest annual grant amount for 2024.</w:t>
      </w:r>
    </w:p>
    <w:p>
      <w:pPr>
        <w:spacing w:after="0" w:line="110" w:lineRule="exact"/>
        <w:rPr>
          <w:rFonts w:ascii="Arial" w:cs="Arial" w:eastAsia="Arial" w:hAnsi="Arial"/>
          <w:sz w:val="16"/>
          <w:szCs w:val="16"/>
          <w:color w:val="2D3243"/>
        </w:rPr>
      </w:pPr>
    </w:p>
    <w:p>
      <w:pPr>
        <w:jc w:val="both"/>
        <w:ind w:left="166" w:right="3600" w:hanging="166"/>
        <w:spacing w:after="0" w:line="347" w:lineRule="auto"/>
        <w:tabs>
          <w:tab w:leader="none" w:pos="128" w:val="left"/>
        </w:tabs>
        <w:numPr>
          <w:ilvl w:val="0"/>
          <w:numId w:val="36"/>
        </w:numPr>
        <w:rPr>
          <w:rFonts w:ascii="Arial" w:cs="Arial" w:eastAsia="Arial" w:hAnsi="Arial"/>
          <w:sz w:val="16"/>
          <w:szCs w:val="16"/>
          <w:color w:val="2D3243"/>
        </w:rPr>
      </w:pPr>
      <w:r>
        <w:rPr>
          <w:rFonts w:ascii="Arial" w:cs="Arial" w:eastAsia="Arial" w:hAnsi="Arial"/>
          <w:sz w:val="16"/>
          <w:szCs w:val="16"/>
          <w:color w:val="2D3243"/>
        </w:rPr>
        <w:t>The Compensation Committee continues to work with its independent compensation consultant to design a competitive compensation program that will motivate and retain our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87630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274"/>
            <w:col w:w="7266"/>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43</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51" w:name="page52"/>
    <w:bookmarkEnd w:id="51"/>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0336FF"/>
          </w:tcPr>
          <w:p>
            <w:pPr>
              <w:spacing w:after="0"/>
              <w:rPr>
                <w:sz w:val="18"/>
                <w:szCs w:val="18"/>
                <w:color w:val="auto"/>
              </w:rPr>
            </w:pPr>
          </w:p>
        </w:tc>
        <w:tc>
          <w:tcPr>
            <w:tcW w:w="3680" w:type="dxa"/>
            <w:vAlign w:val="bottom"/>
            <w:gridSpan w:val="3"/>
            <w:shd w:val="clear" w:color="auto" w:fill="0336FF"/>
          </w:tcPr>
          <w:p>
            <w:pPr>
              <w:spacing w:after="0"/>
              <w:rPr>
                <w:sz w:val="20"/>
                <w:szCs w:val="20"/>
                <w:color w:val="auto"/>
              </w:rPr>
            </w:pPr>
            <w:r>
              <w:rPr>
                <w:rFonts w:ascii="Arial" w:cs="Arial" w:eastAsia="Arial" w:hAnsi="Arial"/>
                <w:sz w:val="14"/>
                <w:szCs w:val="14"/>
                <w:b w:val="1"/>
                <w:bCs w:val="1"/>
                <w:color w:val="FFFFFF"/>
              </w:rPr>
              <w:t>What We Heard</w:t>
            </w:r>
          </w:p>
        </w:tc>
        <w:tc>
          <w:tcPr>
            <w:tcW w:w="4060" w:type="dxa"/>
            <w:vAlign w:val="bottom"/>
            <w:shd w:val="clear" w:color="auto" w:fill="0336FF"/>
          </w:tcPr>
          <w:p>
            <w:pPr>
              <w:ind w:left="260"/>
              <w:spacing w:after="0"/>
              <w:rPr>
                <w:sz w:val="20"/>
                <w:szCs w:val="20"/>
                <w:color w:val="auto"/>
              </w:rPr>
            </w:pPr>
            <w:r>
              <w:rPr>
                <w:rFonts w:ascii="Arial" w:cs="Arial" w:eastAsia="Arial" w:hAnsi="Arial"/>
                <w:sz w:val="14"/>
                <w:szCs w:val="14"/>
                <w:b w:val="1"/>
                <w:bCs w:val="1"/>
                <w:color w:val="FFFFFF"/>
              </w:rPr>
              <w:t>How We Are Responding</w:t>
            </w:r>
          </w:p>
        </w:tc>
        <w:tc>
          <w:tcPr>
            <w:tcW w:w="3480" w:type="dxa"/>
            <w:vAlign w:val="bottom"/>
            <w:shd w:val="clear" w:color="auto" w:fill="0336FF"/>
          </w:tcPr>
          <w:p>
            <w:pPr>
              <w:ind w:left="140"/>
              <w:spacing w:after="0"/>
              <w:rPr>
                <w:sz w:val="20"/>
                <w:szCs w:val="20"/>
                <w:color w:val="auto"/>
              </w:rPr>
            </w:pPr>
            <w:r>
              <w:rPr>
                <w:rFonts w:ascii="Arial" w:cs="Arial" w:eastAsia="Arial" w:hAnsi="Arial"/>
                <w:sz w:val="14"/>
                <w:szCs w:val="14"/>
                <w:b w:val="1"/>
                <w:bCs w:val="1"/>
                <w:color w:val="FFFFFF"/>
              </w:rPr>
              <w:t>Effective Time of Implementation</w:t>
            </w:r>
          </w:p>
        </w:tc>
      </w:tr>
      <w:tr>
        <w:trPr>
          <w:trHeight w:val="108"/>
        </w:trPr>
        <w:tc>
          <w:tcPr>
            <w:tcW w:w="20" w:type="dxa"/>
            <w:vAlign w:val="bottom"/>
            <w:tcBorders>
              <w:bottom w:val="single" w:sz="8" w:color="2D3243"/>
            </w:tcBorders>
            <w:shd w:val="clear" w:color="auto" w:fill="0336FF"/>
          </w:tcPr>
          <w:p>
            <w:pPr>
              <w:spacing w:after="0"/>
              <w:rPr>
                <w:sz w:val="9"/>
                <w:szCs w:val="9"/>
                <w:color w:val="auto"/>
              </w:rPr>
            </w:pPr>
          </w:p>
        </w:tc>
        <w:tc>
          <w:tcPr>
            <w:tcW w:w="2060" w:type="dxa"/>
            <w:vAlign w:val="bottom"/>
            <w:tcBorders>
              <w:bottom w:val="single" w:sz="8" w:color="2D3243"/>
            </w:tcBorders>
            <w:shd w:val="clear" w:color="auto" w:fill="0336FF"/>
          </w:tcPr>
          <w:p>
            <w:pPr>
              <w:spacing w:after="0"/>
              <w:rPr>
                <w:sz w:val="9"/>
                <w:szCs w:val="9"/>
                <w:color w:val="auto"/>
              </w:rPr>
            </w:pPr>
          </w:p>
        </w:tc>
        <w:tc>
          <w:tcPr>
            <w:tcW w:w="800" w:type="dxa"/>
            <w:vAlign w:val="bottom"/>
            <w:tcBorders>
              <w:bottom w:val="single" w:sz="8" w:color="2D3243"/>
            </w:tcBorders>
            <w:shd w:val="clear" w:color="auto" w:fill="0336FF"/>
          </w:tcPr>
          <w:p>
            <w:pPr>
              <w:spacing w:after="0"/>
              <w:rPr>
                <w:sz w:val="9"/>
                <w:szCs w:val="9"/>
                <w:color w:val="auto"/>
              </w:rPr>
            </w:pPr>
          </w:p>
        </w:tc>
        <w:tc>
          <w:tcPr>
            <w:tcW w:w="820" w:type="dxa"/>
            <w:vAlign w:val="bottom"/>
            <w:tcBorders>
              <w:bottom w:val="single" w:sz="8" w:color="2D3243"/>
            </w:tcBorders>
            <w:shd w:val="clear" w:color="auto" w:fill="0336FF"/>
          </w:tcPr>
          <w:p>
            <w:pPr>
              <w:spacing w:after="0"/>
              <w:rPr>
                <w:sz w:val="9"/>
                <w:szCs w:val="9"/>
                <w:color w:val="auto"/>
              </w:rPr>
            </w:pPr>
          </w:p>
        </w:tc>
        <w:tc>
          <w:tcPr>
            <w:tcW w:w="4060" w:type="dxa"/>
            <w:vAlign w:val="bottom"/>
            <w:tcBorders>
              <w:bottom w:val="single" w:sz="8" w:color="2D3243"/>
            </w:tcBorders>
            <w:shd w:val="clear" w:color="auto" w:fill="0336FF"/>
          </w:tcPr>
          <w:p>
            <w:pPr>
              <w:spacing w:after="0"/>
              <w:rPr>
                <w:sz w:val="9"/>
                <w:szCs w:val="9"/>
                <w:color w:val="auto"/>
              </w:rPr>
            </w:pPr>
          </w:p>
        </w:tc>
        <w:tc>
          <w:tcPr>
            <w:tcW w:w="3480" w:type="dxa"/>
            <w:vAlign w:val="bottom"/>
            <w:tcBorders>
              <w:bottom w:val="single" w:sz="8" w:color="2D3243"/>
            </w:tcBorders>
            <w:shd w:val="clear" w:color="auto" w:fill="0336FF"/>
          </w:tcPr>
          <w:p>
            <w:pPr>
              <w:spacing w:after="0"/>
              <w:rPr>
                <w:sz w:val="9"/>
                <w:szCs w:val="9"/>
                <w:color w:val="auto"/>
              </w:rPr>
            </w:pPr>
          </w:p>
        </w:tc>
      </w:tr>
      <w:tr>
        <w:trPr>
          <w:trHeight w:val="209"/>
        </w:trPr>
        <w:tc>
          <w:tcPr>
            <w:tcW w:w="20" w:type="dxa"/>
            <w:vAlign w:val="bottom"/>
            <w:tcBorders>
              <w:bottom w:val="single" w:sz="8" w:color="F0F1F2"/>
            </w:tcBorders>
            <w:shd w:val="clear" w:color="auto" w:fill="F0F1F2"/>
          </w:tcPr>
          <w:p>
            <w:pPr>
              <w:spacing w:after="0"/>
              <w:rPr>
                <w:sz w:val="18"/>
                <w:szCs w:val="18"/>
                <w:color w:val="auto"/>
              </w:rPr>
            </w:pPr>
          </w:p>
        </w:tc>
        <w:tc>
          <w:tcPr>
            <w:tcW w:w="2860" w:type="dxa"/>
            <w:vAlign w:val="bottom"/>
            <w:tcBorders>
              <w:bottom w:val="single" w:sz="8" w:color="2D3243"/>
            </w:tcBorders>
            <w:gridSpan w:val="2"/>
            <w:shd w:val="clear" w:color="auto" w:fill="F0F1F2"/>
          </w:tcPr>
          <w:p>
            <w:pPr>
              <w:spacing w:after="0"/>
              <w:rPr>
                <w:sz w:val="20"/>
                <w:szCs w:val="20"/>
                <w:color w:val="auto"/>
              </w:rPr>
            </w:pPr>
            <w:r>
              <w:rPr>
                <w:rFonts w:ascii="Arial" w:cs="Arial" w:eastAsia="Arial" w:hAnsi="Arial"/>
                <w:sz w:val="16"/>
                <w:szCs w:val="16"/>
                <w:b w:val="1"/>
                <w:bCs w:val="1"/>
                <w:i w:val="1"/>
                <w:iCs w:val="1"/>
                <w:color w:val="2D3243"/>
              </w:rPr>
              <w:t>Other NEO Retention Awards in 2022</w:t>
            </w:r>
          </w:p>
        </w:tc>
        <w:tc>
          <w:tcPr>
            <w:tcW w:w="820" w:type="dxa"/>
            <w:vAlign w:val="bottom"/>
            <w:tcBorders>
              <w:bottom w:val="single" w:sz="8" w:color="F0F1F2"/>
            </w:tcBorders>
            <w:shd w:val="clear" w:color="auto" w:fill="F0F1F2"/>
          </w:tcPr>
          <w:p>
            <w:pPr>
              <w:spacing w:after="0"/>
              <w:rPr>
                <w:sz w:val="18"/>
                <w:szCs w:val="18"/>
                <w:color w:val="auto"/>
              </w:rPr>
            </w:pPr>
          </w:p>
        </w:tc>
        <w:tc>
          <w:tcPr>
            <w:tcW w:w="4060" w:type="dxa"/>
            <w:vAlign w:val="bottom"/>
            <w:tcBorders>
              <w:bottom w:val="single" w:sz="8" w:color="F0F1F2"/>
            </w:tcBorders>
            <w:shd w:val="clear" w:color="auto" w:fill="F0F1F2"/>
          </w:tcPr>
          <w:p>
            <w:pPr>
              <w:spacing w:after="0"/>
              <w:rPr>
                <w:sz w:val="18"/>
                <w:szCs w:val="18"/>
                <w:color w:val="auto"/>
              </w:rPr>
            </w:pPr>
          </w:p>
        </w:tc>
        <w:tc>
          <w:tcPr>
            <w:tcW w:w="3480" w:type="dxa"/>
            <w:vAlign w:val="bottom"/>
            <w:tcBorders>
              <w:bottom w:val="single" w:sz="8" w:color="F0F1F2"/>
            </w:tcBorders>
            <w:shd w:val="clear" w:color="auto" w:fill="F0F1F2"/>
          </w:tcPr>
          <w:p>
            <w:pPr>
              <w:spacing w:after="0"/>
              <w:rPr>
                <w:sz w:val="18"/>
                <w:szCs w:val="18"/>
                <w:color w:val="auto"/>
              </w:rPr>
            </w:pPr>
          </w:p>
        </w:tc>
      </w:tr>
      <w:tr>
        <w:trPr>
          <w:trHeight w:val="329"/>
        </w:trPr>
        <w:tc>
          <w:tcPr>
            <w:tcW w:w="20" w:type="dxa"/>
            <w:vAlign w:val="bottom"/>
            <w:shd w:val="clear" w:color="auto" w:fill="F0F1F2"/>
          </w:tcPr>
          <w:p>
            <w:pPr>
              <w:spacing w:after="0"/>
              <w:rPr>
                <w:sz w:val="24"/>
                <w:szCs w:val="24"/>
                <w:color w:val="auto"/>
              </w:rPr>
            </w:pPr>
          </w:p>
        </w:tc>
        <w:tc>
          <w:tcPr>
            <w:tcW w:w="3680" w:type="dxa"/>
            <w:vAlign w:val="bottom"/>
            <w:gridSpan w:val="3"/>
            <w:shd w:val="clear" w:color="auto" w:fill="F0F1F2"/>
          </w:tcPr>
          <w:p>
            <w:pPr>
              <w:spacing w:after="0"/>
              <w:rPr>
                <w:sz w:val="20"/>
                <w:szCs w:val="20"/>
                <w:color w:val="auto"/>
              </w:rPr>
            </w:pPr>
            <w:r>
              <w:rPr>
                <w:rFonts w:ascii="Arial" w:cs="Arial" w:eastAsia="Arial" w:hAnsi="Arial"/>
                <w:sz w:val="16"/>
                <w:szCs w:val="16"/>
                <w:color w:val="2D3243"/>
              </w:rPr>
              <w:t>• Some stockholders questioned the special</w:t>
            </w:r>
          </w:p>
        </w:tc>
        <w:tc>
          <w:tcPr>
            <w:tcW w:w="4060" w:type="dxa"/>
            <w:vAlign w:val="bottom"/>
            <w:shd w:val="clear" w:color="auto" w:fill="F0F1F2"/>
          </w:tcPr>
          <w:p>
            <w:pPr>
              <w:ind w:left="260"/>
              <w:spacing w:after="0"/>
              <w:rPr>
                <w:sz w:val="20"/>
                <w:szCs w:val="20"/>
                <w:color w:val="auto"/>
              </w:rPr>
            </w:pPr>
            <w:r>
              <w:rPr>
                <w:rFonts w:ascii="Arial" w:cs="Arial" w:eastAsia="Arial" w:hAnsi="Arial"/>
                <w:sz w:val="16"/>
                <w:szCs w:val="16"/>
                <w:color w:val="2D3243"/>
              </w:rPr>
              <w:t>• The special retention equity awards granted in</w:t>
            </w:r>
          </w:p>
        </w:tc>
        <w:tc>
          <w:tcPr>
            <w:tcW w:w="3480" w:type="dxa"/>
            <w:vAlign w:val="bottom"/>
            <w:shd w:val="clear" w:color="auto" w:fill="F0F1F2"/>
          </w:tcPr>
          <w:p>
            <w:pPr>
              <w:ind w:left="140"/>
              <w:spacing w:after="0"/>
              <w:rPr>
                <w:sz w:val="20"/>
                <w:szCs w:val="20"/>
                <w:color w:val="auto"/>
              </w:rPr>
            </w:pPr>
            <w:r>
              <w:rPr>
                <w:rFonts w:ascii="Arial" w:cs="Arial" w:eastAsia="Arial" w:hAnsi="Arial"/>
                <w:sz w:val="16"/>
                <w:szCs w:val="16"/>
                <w:color w:val="2D3243"/>
              </w:rPr>
              <w:t>2023 and ongoing</w:t>
            </w:r>
          </w:p>
        </w:tc>
      </w:tr>
      <w:tr>
        <w:trPr>
          <w:trHeight w:val="257"/>
        </w:trPr>
        <w:tc>
          <w:tcPr>
            <w:tcW w:w="20" w:type="dxa"/>
            <w:vAlign w:val="bottom"/>
            <w:shd w:val="clear" w:color="auto" w:fill="F0F1F2"/>
          </w:tcPr>
          <w:p>
            <w:pPr>
              <w:spacing w:after="0"/>
              <w:rPr>
                <w:sz w:val="22"/>
                <w:szCs w:val="22"/>
                <w:color w:val="auto"/>
              </w:rPr>
            </w:pPr>
          </w:p>
        </w:tc>
        <w:tc>
          <w:tcPr>
            <w:tcW w:w="3680" w:type="dxa"/>
            <w:vAlign w:val="bottom"/>
            <w:gridSpan w:val="3"/>
            <w:shd w:val="clear" w:color="auto" w:fill="F0F1F2"/>
          </w:tcPr>
          <w:p>
            <w:pPr>
              <w:ind w:left="160"/>
              <w:spacing w:after="0"/>
              <w:rPr>
                <w:sz w:val="20"/>
                <w:szCs w:val="20"/>
                <w:color w:val="auto"/>
              </w:rPr>
            </w:pPr>
            <w:r>
              <w:rPr>
                <w:rFonts w:ascii="Arial" w:cs="Arial" w:eastAsia="Arial" w:hAnsi="Arial"/>
                <w:sz w:val="16"/>
                <w:szCs w:val="16"/>
                <w:color w:val="2D3243"/>
              </w:rPr>
              <w:t>retention equity grants to certain NEOs,</w:t>
            </w:r>
          </w:p>
        </w:tc>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2022 were granted in response to unique</w:t>
            </w:r>
          </w:p>
        </w:tc>
        <w:tc>
          <w:tcPr>
            <w:tcW w:w="3480" w:type="dxa"/>
            <w:vAlign w:val="bottom"/>
            <w:shd w:val="clear" w:color="auto" w:fill="F0F1F2"/>
          </w:tcPr>
          <w:p>
            <w:pPr>
              <w:spacing w:after="0"/>
              <w:rPr>
                <w:sz w:val="22"/>
                <w:szCs w:val="22"/>
                <w:color w:val="auto"/>
              </w:rPr>
            </w:pPr>
          </w:p>
        </w:tc>
      </w:tr>
      <w:tr>
        <w:trPr>
          <w:trHeight w:val="256"/>
        </w:trPr>
        <w:tc>
          <w:tcPr>
            <w:tcW w:w="20" w:type="dxa"/>
            <w:vAlign w:val="bottom"/>
            <w:shd w:val="clear" w:color="auto" w:fill="F0F1F2"/>
          </w:tcPr>
          <w:p>
            <w:pPr>
              <w:spacing w:after="0"/>
              <w:rPr>
                <w:sz w:val="22"/>
                <w:szCs w:val="22"/>
                <w:color w:val="auto"/>
              </w:rPr>
            </w:pPr>
          </w:p>
        </w:tc>
        <w:tc>
          <w:tcPr>
            <w:tcW w:w="3680" w:type="dxa"/>
            <w:vAlign w:val="bottom"/>
            <w:gridSpan w:val="3"/>
            <w:shd w:val="clear" w:color="auto" w:fill="F0F1F2"/>
          </w:tcPr>
          <w:p>
            <w:pPr>
              <w:ind w:left="160"/>
              <w:spacing w:after="0"/>
              <w:rPr>
                <w:sz w:val="20"/>
                <w:szCs w:val="20"/>
                <w:color w:val="auto"/>
              </w:rPr>
            </w:pPr>
            <w:r>
              <w:rPr>
                <w:rFonts w:ascii="Arial" w:cs="Arial" w:eastAsia="Arial" w:hAnsi="Arial"/>
                <w:sz w:val="16"/>
                <w:szCs w:val="16"/>
                <w:color w:val="2D3243"/>
              </w:rPr>
              <w:t>including those based on revenue targets.</w:t>
            </w:r>
          </w:p>
        </w:tc>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circumstances and specific executive retention</w:t>
            </w:r>
          </w:p>
        </w:tc>
        <w:tc>
          <w:tcPr>
            <w:tcW w:w="3480" w:type="dxa"/>
            <w:vAlign w:val="bottom"/>
            <w:shd w:val="clear" w:color="auto" w:fill="F0F1F2"/>
          </w:tcPr>
          <w:p>
            <w:pPr>
              <w:spacing w:after="0"/>
              <w:rPr>
                <w:sz w:val="22"/>
                <w:szCs w:val="22"/>
                <w:color w:val="auto"/>
              </w:rPr>
            </w:pPr>
          </w:p>
        </w:tc>
      </w:tr>
      <w:tr>
        <w:trPr>
          <w:trHeight w:val="270"/>
        </w:trPr>
        <w:tc>
          <w:tcPr>
            <w:tcW w:w="20" w:type="dxa"/>
            <w:vAlign w:val="bottom"/>
            <w:shd w:val="clear" w:color="auto" w:fill="F0F1F2"/>
          </w:tcPr>
          <w:p>
            <w:pPr>
              <w:spacing w:after="0"/>
              <w:rPr>
                <w:sz w:val="23"/>
                <w:szCs w:val="23"/>
                <w:color w:val="auto"/>
              </w:rPr>
            </w:pPr>
          </w:p>
        </w:tc>
        <w:tc>
          <w:tcPr>
            <w:tcW w:w="2060" w:type="dxa"/>
            <w:vAlign w:val="bottom"/>
            <w:shd w:val="clear" w:color="auto" w:fill="F0F1F2"/>
          </w:tcPr>
          <w:p>
            <w:pPr>
              <w:spacing w:after="0"/>
              <w:rPr>
                <w:sz w:val="23"/>
                <w:szCs w:val="23"/>
                <w:color w:val="auto"/>
              </w:rPr>
            </w:pPr>
          </w:p>
        </w:tc>
        <w:tc>
          <w:tcPr>
            <w:tcW w:w="800" w:type="dxa"/>
            <w:vAlign w:val="bottom"/>
            <w:shd w:val="clear" w:color="auto" w:fill="F0F1F2"/>
          </w:tcPr>
          <w:p>
            <w:pPr>
              <w:spacing w:after="0"/>
              <w:rPr>
                <w:sz w:val="23"/>
                <w:szCs w:val="23"/>
                <w:color w:val="auto"/>
              </w:rPr>
            </w:pPr>
          </w:p>
        </w:tc>
        <w:tc>
          <w:tcPr>
            <w:tcW w:w="820" w:type="dxa"/>
            <w:vAlign w:val="bottom"/>
            <w:shd w:val="clear" w:color="auto" w:fill="F0F1F2"/>
          </w:tcPr>
          <w:p>
            <w:pPr>
              <w:spacing w:after="0"/>
              <w:rPr>
                <w:sz w:val="23"/>
                <w:szCs w:val="23"/>
                <w:color w:val="auto"/>
              </w:rPr>
            </w:pPr>
          </w:p>
        </w:tc>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concerns during 2022 and the retention PRSUs</w:t>
            </w:r>
          </w:p>
        </w:tc>
        <w:tc>
          <w:tcPr>
            <w:tcW w:w="3480" w:type="dxa"/>
            <w:vAlign w:val="bottom"/>
            <w:shd w:val="clear" w:color="auto" w:fill="F0F1F2"/>
          </w:tcPr>
          <w:p>
            <w:pPr>
              <w:spacing w:after="0"/>
              <w:rPr>
                <w:sz w:val="23"/>
                <w:szCs w:val="23"/>
                <w:color w:val="auto"/>
              </w:rPr>
            </w:pPr>
          </w:p>
        </w:tc>
      </w:tr>
      <w:tr>
        <w:trPr>
          <w:trHeight w:val="257"/>
        </w:trPr>
        <w:tc>
          <w:tcPr>
            <w:tcW w:w="20" w:type="dxa"/>
            <w:vAlign w:val="bottom"/>
            <w:shd w:val="clear" w:color="auto" w:fill="F0F1F2"/>
          </w:tcPr>
          <w:p>
            <w:pPr>
              <w:spacing w:after="0"/>
              <w:rPr>
                <w:sz w:val="22"/>
                <w:szCs w:val="22"/>
                <w:color w:val="auto"/>
              </w:rPr>
            </w:pPr>
          </w:p>
        </w:tc>
        <w:tc>
          <w:tcPr>
            <w:tcW w:w="2060" w:type="dxa"/>
            <w:vAlign w:val="bottom"/>
            <w:shd w:val="clear" w:color="auto" w:fill="F0F1F2"/>
          </w:tcPr>
          <w:p>
            <w:pPr>
              <w:spacing w:after="0"/>
              <w:rPr>
                <w:sz w:val="22"/>
                <w:szCs w:val="22"/>
                <w:color w:val="auto"/>
              </w:rPr>
            </w:pPr>
          </w:p>
        </w:tc>
        <w:tc>
          <w:tcPr>
            <w:tcW w:w="800" w:type="dxa"/>
            <w:vAlign w:val="bottom"/>
            <w:shd w:val="clear" w:color="auto" w:fill="F0F1F2"/>
          </w:tcPr>
          <w:p>
            <w:pPr>
              <w:spacing w:after="0"/>
              <w:rPr>
                <w:sz w:val="22"/>
                <w:szCs w:val="22"/>
                <w:color w:val="auto"/>
              </w:rPr>
            </w:pPr>
          </w:p>
        </w:tc>
        <w:tc>
          <w:tcPr>
            <w:tcW w:w="820" w:type="dxa"/>
            <w:vAlign w:val="bottom"/>
            <w:shd w:val="clear" w:color="auto" w:fill="F0F1F2"/>
          </w:tcPr>
          <w:p>
            <w:pPr>
              <w:spacing w:after="0"/>
              <w:rPr>
                <w:sz w:val="22"/>
                <w:szCs w:val="22"/>
                <w:color w:val="auto"/>
              </w:rPr>
            </w:pPr>
          </w:p>
        </w:tc>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included an aggressive "stretch" revenue</w:t>
            </w:r>
          </w:p>
        </w:tc>
        <w:tc>
          <w:tcPr>
            <w:tcW w:w="3480" w:type="dxa"/>
            <w:vAlign w:val="bottom"/>
            <w:shd w:val="clear" w:color="auto" w:fill="F0F1F2"/>
          </w:tcPr>
          <w:p>
            <w:pPr>
              <w:spacing w:after="0"/>
              <w:rPr>
                <w:sz w:val="22"/>
                <w:szCs w:val="22"/>
                <w:color w:val="auto"/>
              </w:rPr>
            </w:pPr>
          </w:p>
        </w:tc>
      </w:tr>
      <w:tr>
        <w:trPr>
          <w:trHeight w:val="257"/>
        </w:trPr>
        <w:tc>
          <w:tcPr>
            <w:tcW w:w="20" w:type="dxa"/>
            <w:vAlign w:val="bottom"/>
            <w:shd w:val="clear" w:color="auto" w:fill="F0F1F2"/>
          </w:tcPr>
          <w:p>
            <w:pPr>
              <w:spacing w:after="0"/>
              <w:rPr>
                <w:sz w:val="22"/>
                <w:szCs w:val="22"/>
                <w:color w:val="auto"/>
              </w:rPr>
            </w:pPr>
          </w:p>
        </w:tc>
        <w:tc>
          <w:tcPr>
            <w:tcW w:w="2060" w:type="dxa"/>
            <w:vAlign w:val="bottom"/>
            <w:shd w:val="clear" w:color="auto" w:fill="F0F1F2"/>
          </w:tcPr>
          <w:p>
            <w:pPr>
              <w:spacing w:after="0"/>
              <w:rPr>
                <w:sz w:val="22"/>
                <w:szCs w:val="22"/>
                <w:color w:val="auto"/>
              </w:rPr>
            </w:pPr>
          </w:p>
        </w:tc>
        <w:tc>
          <w:tcPr>
            <w:tcW w:w="800" w:type="dxa"/>
            <w:vAlign w:val="bottom"/>
            <w:shd w:val="clear" w:color="auto" w:fill="F0F1F2"/>
          </w:tcPr>
          <w:p>
            <w:pPr>
              <w:spacing w:after="0"/>
              <w:rPr>
                <w:sz w:val="22"/>
                <w:szCs w:val="22"/>
                <w:color w:val="auto"/>
              </w:rPr>
            </w:pPr>
          </w:p>
        </w:tc>
        <w:tc>
          <w:tcPr>
            <w:tcW w:w="820" w:type="dxa"/>
            <w:vAlign w:val="bottom"/>
            <w:shd w:val="clear" w:color="auto" w:fill="F0F1F2"/>
          </w:tcPr>
          <w:p>
            <w:pPr>
              <w:spacing w:after="0"/>
              <w:rPr>
                <w:sz w:val="22"/>
                <w:szCs w:val="22"/>
                <w:color w:val="auto"/>
              </w:rPr>
            </w:pPr>
          </w:p>
        </w:tc>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performance target. The Company did not grant</w:t>
            </w:r>
          </w:p>
        </w:tc>
        <w:tc>
          <w:tcPr>
            <w:tcW w:w="3480" w:type="dxa"/>
            <w:vAlign w:val="bottom"/>
            <w:shd w:val="clear" w:color="auto" w:fill="F0F1F2"/>
          </w:tcPr>
          <w:p>
            <w:pPr>
              <w:spacing w:after="0"/>
              <w:rPr>
                <w:sz w:val="22"/>
                <w:szCs w:val="22"/>
                <w:color w:val="auto"/>
              </w:rPr>
            </w:pPr>
          </w:p>
        </w:tc>
      </w:tr>
      <w:tr>
        <w:trPr>
          <w:trHeight w:val="257"/>
        </w:trPr>
        <w:tc>
          <w:tcPr>
            <w:tcW w:w="20" w:type="dxa"/>
            <w:vAlign w:val="bottom"/>
            <w:shd w:val="clear" w:color="auto" w:fill="F0F1F2"/>
          </w:tcPr>
          <w:p>
            <w:pPr>
              <w:spacing w:after="0"/>
              <w:rPr>
                <w:sz w:val="22"/>
                <w:szCs w:val="22"/>
                <w:color w:val="auto"/>
              </w:rPr>
            </w:pPr>
          </w:p>
        </w:tc>
        <w:tc>
          <w:tcPr>
            <w:tcW w:w="2060" w:type="dxa"/>
            <w:vAlign w:val="bottom"/>
            <w:shd w:val="clear" w:color="auto" w:fill="F0F1F2"/>
          </w:tcPr>
          <w:p>
            <w:pPr>
              <w:spacing w:after="0"/>
              <w:rPr>
                <w:sz w:val="22"/>
                <w:szCs w:val="22"/>
                <w:color w:val="auto"/>
              </w:rPr>
            </w:pPr>
          </w:p>
        </w:tc>
        <w:tc>
          <w:tcPr>
            <w:tcW w:w="800" w:type="dxa"/>
            <w:vAlign w:val="bottom"/>
            <w:shd w:val="clear" w:color="auto" w:fill="F0F1F2"/>
          </w:tcPr>
          <w:p>
            <w:pPr>
              <w:spacing w:after="0"/>
              <w:rPr>
                <w:sz w:val="22"/>
                <w:szCs w:val="22"/>
                <w:color w:val="auto"/>
              </w:rPr>
            </w:pPr>
          </w:p>
        </w:tc>
        <w:tc>
          <w:tcPr>
            <w:tcW w:w="820" w:type="dxa"/>
            <w:vAlign w:val="bottom"/>
            <w:shd w:val="clear" w:color="auto" w:fill="F0F1F2"/>
          </w:tcPr>
          <w:p>
            <w:pPr>
              <w:spacing w:after="0"/>
              <w:rPr>
                <w:sz w:val="22"/>
                <w:szCs w:val="22"/>
                <w:color w:val="auto"/>
              </w:rPr>
            </w:pPr>
          </w:p>
        </w:tc>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any retention equity awards to our NEOs in</w:t>
            </w:r>
          </w:p>
        </w:tc>
        <w:tc>
          <w:tcPr>
            <w:tcW w:w="3480" w:type="dxa"/>
            <w:vAlign w:val="bottom"/>
            <w:shd w:val="clear" w:color="auto" w:fill="F0F1F2"/>
          </w:tcPr>
          <w:p>
            <w:pPr>
              <w:spacing w:after="0"/>
              <w:rPr>
                <w:sz w:val="22"/>
                <w:szCs w:val="22"/>
                <w:color w:val="auto"/>
              </w:rPr>
            </w:pPr>
          </w:p>
        </w:tc>
      </w:tr>
      <w:tr>
        <w:trPr>
          <w:trHeight w:val="256"/>
        </w:trPr>
        <w:tc>
          <w:tcPr>
            <w:tcW w:w="20" w:type="dxa"/>
            <w:vAlign w:val="bottom"/>
            <w:shd w:val="clear" w:color="auto" w:fill="F0F1F2"/>
          </w:tcPr>
          <w:p>
            <w:pPr>
              <w:spacing w:after="0"/>
              <w:rPr>
                <w:sz w:val="22"/>
                <w:szCs w:val="22"/>
                <w:color w:val="auto"/>
              </w:rPr>
            </w:pPr>
          </w:p>
        </w:tc>
        <w:tc>
          <w:tcPr>
            <w:tcW w:w="2060" w:type="dxa"/>
            <w:vAlign w:val="bottom"/>
            <w:shd w:val="clear" w:color="auto" w:fill="F0F1F2"/>
          </w:tcPr>
          <w:p>
            <w:pPr>
              <w:spacing w:after="0"/>
              <w:rPr>
                <w:sz w:val="22"/>
                <w:szCs w:val="22"/>
                <w:color w:val="auto"/>
              </w:rPr>
            </w:pPr>
          </w:p>
        </w:tc>
        <w:tc>
          <w:tcPr>
            <w:tcW w:w="800" w:type="dxa"/>
            <w:vAlign w:val="bottom"/>
            <w:shd w:val="clear" w:color="auto" w:fill="F0F1F2"/>
          </w:tcPr>
          <w:p>
            <w:pPr>
              <w:spacing w:after="0"/>
              <w:rPr>
                <w:sz w:val="22"/>
                <w:szCs w:val="22"/>
                <w:color w:val="auto"/>
              </w:rPr>
            </w:pPr>
          </w:p>
        </w:tc>
        <w:tc>
          <w:tcPr>
            <w:tcW w:w="820" w:type="dxa"/>
            <w:vAlign w:val="bottom"/>
            <w:shd w:val="clear" w:color="auto" w:fill="F0F1F2"/>
          </w:tcPr>
          <w:p>
            <w:pPr>
              <w:spacing w:after="0"/>
              <w:rPr>
                <w:sz w:val="22"/>
                <w:szCs w:val="22"/>
                <w:color w:val="auto"/>
              </w:rPr>
            </w:pPr>
          </w:p>
        </w:tc>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2023.</w:t>
            </w:r>
          </w:p>
        </w:tc>
        <w:tc>
          <w:tcPr>
            <w:tcW w:w="3480" w:type="dxa"/>
            <w:vAlign w:val="bottom"/>
            <w:shd w:val="clear" w:color="auto" w:fill="F0F1F2"/>
          </w:tcPr>
          <w:p>
            <w:pPr>
              <w:spacing w:after="0"/>
              <w:rPr>
                <w:sz w:val="22"/>
                <w:szCs w:val="22"/>
                <w:color w:val="auto"/>
              </w:rPr>
            </w:pPr>
          </w:p>
        </w:tc>
      </w:tr>
      <w:tr>
        <w:trPr>
          <w:trHeight w:val="432"/>
        </w:trPr>
        <w:tc>
          <w:tcPr>
            <w:tcW w:w="20" w:type="dxa"/>
            <w:vAlign w:val="bottom"/>
            <w:shd w:val="clear" w:color="auto" w:fill="F0F1F2"/>
          </w:tcPr>
          <w:p>
            <w:pPr>
              <w:spacing w:after="0"/>
              <w:rPr>
                <w:sz w:val="24"/>
                <w:szCs w:val="24"/>
                <w:color w:val="auto"/>
              </w:rPr>
            </w:pPr>
          </w:p>
        </w:tc>
        <w:tc>
          <w:tcPr>
            <w:tcW w:w="2060" w:type="dxa"/>
            <w:vAlign w:val="bottom"/>
            <w:shd w:val="clear" w:color="auto" w:fill="F0F1F2"/>
          </w:tcPr>
          <w:p>
            <w:pPr>
              <w:spacing w:after="0"/>
              <w:rPr>
                <w:sz w:val="24"/>
                <w:szCs w:val="24"/>
                <w:color w:val="auto"/>
              </w:rPr>
            </w:pPr>
          </w:p>
        </w:tc>
        <w:tc>
          <w:tcPr>
            <w:tcW w:w="800" w:type="dxa"/>
            <w:vAlign w:val="bottom"/>
            <w:shd w:val="clear" w:color="auto" w:fill="F0F1F2"/>
          </w:tcPr>
          <w:p>
            <w:pPr>
              <w:spacing w:after="0"/>
              <w:rPr>
                <w:sz w:val="24"/>
                <w:szCs w:val="24"/>
                <w:color w:val="auto"/>
              </w:rPr>
            </w:pPr>
          </w:p>
        </w:tc>
        <w:tc>
          <w:tcPr>
            <w:tcW w:w="820" w:type="dxa"/>
            <w:vAlign w:val="bottom"/>
            <w:shd w:val="clear" w:color="auto" w:fill="F0F1F2"/>
          </w:tcPr>
          <w:p>
            <w:pPr>
              <w:spacing w:after="0"/>
              <w:rPr>
                <w:sz w:val="24"/>
                <w:szCs w:val="24"/>
                <w:color w:val="auto"/>
              </w:rPr>
            </w:pPr>
          </w:p>
        </w:tc>
        <w:tc>
          <w:tcPr>
            <w:tcW w:w="4060" w:type="dxa"/>
            <w:vAlign w:val="bottom"/>
            <w:shd w:val="clear" w:color="auto" w:fill="F0F1F2"/>
          </w:tcPr>
          <w:p>
            <w:pPr>
              <w:ind w:left="260"/>
              <w:spacing w:after="0"/>
              <w:rPr>
                <w:sz w:val="20"/>
                <w:szCs w:val="20"/>
                <w:color w:val="auto"/>
              </w:rPr>
            </w:pPr>
            <w:r>
              <w:rPr>
                <w:rFonts w:ascii="Arial" w:cs="Arial" w:eastAsia="Arial" w:hAnsi="Arial"/>
                <w:sz w:val="16"/>
                <w:szCs w:val="16"/>
                <w:color w:val="2D3243"/>
              </w:rPr>
              <w:t>• Outstanding unearned revenue-based PRSUs</w:t>
            </w:r>
          </w:p>
        </w:tc>
        <w:tc>
          <w:tcPr>
            <w:tcW w:w="3480" w:type="dxa"/>
            <w:vAlign w:val="bottom"/>
            <w:shd w:val="clear" w:color="auto" w:fill="F0F1F2"/>
          </w:tcPr>
          <w:p>
            <w:pPr>
              <w:spacing w:after="0"/>
              <w:rPr>
                <w:sz w:val="24"/>
                <w:szCs w:val="24"/>
                <w:color w:val="auto"/>
              </w:rPr>
            </w:pPr>
          </w:p>
        </w:tc>
      </w:tr>
      <w:tr>
        <w:trPr>
          <w:trHeight w:val="257"/>
        </w:trPr>
        <w:tc>
          <w:tcPr>
            <w:tcW w:w="20" w:type="dxa"/>
            <w:vAlign w:val="bottom"/>
            <w:shd w:val="clear" w:color="auto" w:fill="F0F1F2"/>
          </w:tcPr>
          <w:p>
            <w:pPr>
              <w:spacing w:after="0"/>
              <w:rPr>
                <w:sz w:val="22"/>
                <w:szCs w:val="22"/>
                <w:color w:val="auto"/>
              </w:rPr>
            </w:pPr>
          </w:p>
        </w:tc>
        <w:tc>
          <w:tcPr>
            <w:tcW w:w="2060" w:type="dxa"/>
            <w:vAlign w:val="bottom"/>
            <w:shd w:val="clear" w:color="auto" w:fill="F0F1F2"/>
          </w:tcPr>
          <w:p>
            <w:pPr>
              <w:spacing w:after="0"/>
              <w:rPr>
                <w:sz w:val="22"/>
                <w:szCs w:val="22"/>
                <w:color w:val="auto"/>
              </w:rPr>
            </w:pPr>
          </w:p>
        </w:tc>
        <w:tc>
          <w:tcPr>
            <w:tcW w:w="800" w:type="dxa"/>
            <w:vAlign w:val="bottom"/>
            <w:shd w:val="clear" w:color="auto" w:fill="F0F1F2"/>
          </w:tcPr>
          <w:p>
            <w:pPr>
              <w:spacing w:after="0"/>
              <w:rPr>
                <w:sz w:val="22"/>
                <w:szCs w:val="22"/>
                <w:color w:val="auto"/>
              </w:rPr>
            </w:pPr>
          </w:p>
        </w:tc>
        <w:tc>
          <w:tcPr>
            <w:tcW w:w="820" w:type="dxa"/>
            <w:vAlign w:val="bottom"/>
            <w:shd w:val="clear" w:color="auto" w:fill="F0F1F2"/>
          </w:tcPr>
          <w:p>
            <w:pPr>
              <w:spacing w:after="0"/>
              <w:rPr>
                <w:sz w:val="22"/>
                <w:szCs w:val="22"/>
                <w:color w:val="auto"/>
              </w:rPr>
            </w:pPr>
          </w:p>
        </w:tc>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granted in 2022 to our President/CRO expired at</w:t>
            </w:r>
          </w:p>
        </w:tc>
        <w:tc>
          <w:tcPr>
            <w:tcW w:w="3480" w:type="dxa"/>
            <w:vAlign w:val="bottom"/>
            <w:shd w:val="clear" w:color="auto" w:fill="F0F1F2"/>
          </w:tcPr>
          <w:p>
            <w:pPr>
              <w:spacing w:after="0"/>
              <w:rPr>
                <w:sz w:val="22"/>
                <w:szCs w:val="22"/>
                <w:color w:val="auto"/>
              </w:rPr>
            </w:pPr>
          </w:p>
        </w:tc>
      </w:tr>
      <w:tr>
        <w:trPr>
          <w:trHeight w:val="256"/>
        </w:trPr>
        <w:tc>
          <w:tcPr>
            <w:tcW w:w="20" w:type="dxa"/>
            <w:vAlign w:val="bottom"/>
            <w:shd w:val="clear" w:color="auto" w:fill="F0F1F2"/>
          </w:tcPr>
          <w:p>
            <w:pPr>
              <w:spacing w:after="0"/>
              <w:rPr>
                <w:sz w:val="22"/>
                <w:szCs w:val="22"/>
                <w:color w:val="auto"/>
              </w:rPr>
            </w:pPr>
          </w:p>
        </w:tc>
        <w:tc>
          <w:tcPr>
            <w:tcW w:w="2060" w:type="dxa"/>
            <w:vAlign w:val="bottom"/>
            <w:shd w:val="clear" w:color="auto" w:fill="F0F1F2"/>
          </w:tcPr>
          <w:p>
            <w:pPr>
              <w:spacing w:after="0"/>
              <w:rPr>
                <w:sz w:val="22"/>
                <w:szCs w:val="22"/>
                <w:color w:val="auto"/>
              </w:rPr>
            </w:pPr>
          </w:p>
        </w:tc>
        <w:tc>
          <w:tcPr>
            <w:tcW w:w="800" w:type="dxa"/>
            <w:vAlign w:val="bottom"/>
            <w:shd w:val="clear" w:color="auto" w:fill="F0F1F2"/>
          </w:tcPr>
          <w:p>
            <w:pPr>
              <w:spacing w:after="0"/>
              <w:rPr>
                <w:sz w:val="22"/>
                <w:szCs w:val="22"/>
                <w:color w:val="auto"/>
              </w:rPr>
            </w:pPr>
          </w:p>
        </w:tc>
        <w:tc>
          <w:tcPr>
            <w:tcW w:w="820" w:type="dxa"/>
            <w:vAlign w:val="bottom"/>
            <w:shd w:val="clear" w:color="auto" w:fill="F0F1F2"/>
          </w:tcPr>
          <w:p>
            <w:pPr>
              <w:spacing w:after="0"/>
              <w:rPr>
                <w:sz w:val="22"/>
                <w:szCs w:val="22"/>
                <w:color w:val="auto"/>
              </w:rPr>
            </w:pPr>
          </w:p>
        </w:tc>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the end of 2023.</w:t>
            </w:r>
          </w:p>
        </w:tc>
        <w:tc>
          <w:tcPr>
            <w:tcW w:w="3480" w:type="dxa"/>
            <w:vAlign w:val="bottom"/>
            <w:shd w:val="clear" w:color="auto" w:fill="F0F1F2"/>
          </w:tcPr>
          <w:p>
            <w:pPr>
              <w:spacing w:after="0"/>
              <w:rPr>
                <w:sz w:val="22"/>
                <w:szCs w:val="22"/>
                <w:color w:val="auto"/>
              </w:rPr>
            </w:pPr>
          </w:p>
        </w:tc>
      </w:tr>
      <w:tr>
        <w:trPr>
          <w:trHeight w:val="218"/>
        </w:trPr>
        <w:tc>
          <w:tcPr>
            <w:tcW w:w="20" w:type="dxa"/>
            <w:vAlign w:val="bottom"/>
            <w:tcBorders>
              <w:bottom w:val="single" w:sz="8" w:color="2D3243"/>
            </w:tcBorders>
            <w:shd w:val="clear" w:color="auto" w:fill="F0F1F2"/>
          </w:tcPr>
          <w:p>
            <w:pPr>
              <w:spacing w:after="0"/>
              <w:rPr>
                <w:sz w:val="18"/>
                <w:szCs w:val="18"/>
                <w:color w:val="auto"/>
              </w:rPr>
            </w:pPr>
          </w:p>
        </w:tc>
        <w:tc>
          <w:tcPr>
            <w:tcW w:w="2060" w:type="dxa"/>
            <w:vAlign w:val="bottom"/>
            <w:tcBorders>
              <w:bottom w:val="single" w:sz="8" w:color="2D3243"/>
            </w:tcBorders>
            <w:shd w:val="clear" w:color="auto" w:fill="F0F1F2"/>
          </w:tcPr>
          <w:p>
            <w:pPr>
              <w:spacing w:after="0"/>
              <w:rPr>
                <w:sz w:val="18"/>
                <w:szCs w:val="18"/>
                <w:color w:val="auto"/>
              </w:rPr>
            </w:pPr>
          </w:p>
        </w:tc>
        <w:tc>
          <w:tcPr>
            <w:tcW w:w="800" w:type="dxa"/>
            <w:vAlign w:val="bottom"/>
            <w:tcBorders>
              <w:bottom w:val="single" w:sz="8" w:color="2D3243"/>
            </w:tcBorders>
            <w:shd w:val="clear" w:color="auto" w:fill="F0F1F2"/>
          </w:tcPr>
          <w:p>
            <w:pPr>
              <w:spacing w:after="0"/>
              <w:rPr>
                <w:sz w:val="18"/>
                <w:szCs w:val="18"/>
                <w:color w:val="auto"/>
              </w:rPr>
            </w:pPr>
          </w:p>
        </w:tc>
        <w:tc>
          <w:tcPr>
            <w:tcW w:w="820" w:type="dxa"/>
            <w:vAlign w:val="bottom"/>
            <w:tcBorders>
              <w:bottom w:val="single" w:sz="8" w:color="2D3243"/>
            </w:tcBorders>
            <w:shd w:val="clear" w:color="auto" w:fill="F0F1F2"/>
          </w:tcPr>
          <w:p>
            <w:pPr>
              <w:spacing w:after="0"/>
              <w:rPr>
                <w:sz w:val="18"/>
                <w:szCs w:val="18"/>
                <w:color w:val="auto"/>
              </w:rPr>
            </w:pPr>
          </w:p>
        </w:tc>
        <w:tc>
          <w:tcPr>
            <w:tcW w:w="4060" w:type="dxa"/>
            <w:vAlign w:val="bottom"/>
            <w:tcBorders>
              <w:bottom w:val="single" w:sz="8" w:color="2D3243"/>
            </w:tcBorders>
            <w:shd w:val="clear" w:color="auto" w:fill="F0F1F2"/>
          </w:tcPr>
          <w:p>
            <w:pPr>
              <w:spacing w:after="0"/>
              <w:rPr>
                <w:sz w:val="18"/>
                <w:szCs w:val="18"/>
                <w:color w:val="auto"/>
              </w:rPr>
            </w:pPr>
          </w:p>
        </w:tc>
        <w:tc>
          <w:tcPr>
            <w:tcW w:w="3480" w:type="dxa"/>
            <w:vAlign w:val="bottom"/>
            <w:tcBorders>
              <w:bottom w:val="single" w:sz="8" w:color="2D3243"/>
            </w:tcBorders>
            <w:shd w:val="clear" w:color="auto" w:fill="F0F1F2"/>
          </w:tcPr>
          <w:p>
            <w:pPr>
              <w:spacing w:after="0"/>
              <w:rPr>
                <w:sz w:val="18"/>
                <w:szCs w:val="18"/>
                <w:color w:val="auto"/>
              </w:rPr>
            </w:pPr>
          </w:p>
        </w:tc>
      </w:tr>
      <w:tr>
        <w:trPr>
          <w:trHeight w:val="210"/>
        </w:trPr>
        <w:tc>
          <w:tcPr>
            <w:tcW w:w="20" w:type="dxa"/>
            <w:vAlign w:val="bottom"/>
            <w:shd w:val="clear" w:color="auto" w:fill="F9F9F9"/>
          </w:tcPr>
          <w:p>
            <w:pPr>
              <w:spacing w:after="0"/>
              <w:rPr>
                <w:sz w:val="18"/>
                <w:szCs w:val="18"/>
                <w:color w:val="auto"/>
              </w:rPr>
            </w:pPr>
          </w:p>
        </w:tc>
        <w:tc>
          <w:tcPr>
            <w:tcW w:w="3680" w:type="dxa"/>
            <w:vAlign w:val="bottom"/>
            <w:gridSpan w:val="3"/>
            <w:shd w:val="clear" w:color="auto" w:fill="F9F9F9"/>
          </w:tcPr>
          <w:p>
            <w:pPr>
              <w:spacing w:after="0"/>
              <w:rPr>
                <w:sz w:val="20"/>
                <w:szCs w:val="20"/>
                <w:color w:val="auto"/>
              </w:rPr>
            </w:pPr>
            <w:r>
              <w:rPr>
                <w:rFonts w:ascii="Arial" w:cs="Arial" w:eastAsia="Arial" w:hAnsi="Arial"/>
                <w:sz w:val="16"/>
                <w:szCs w:val="16"/>
                <w:b w:val="1"/>
                <w:bCs w:val="1"/>
                <w:i w:val="1"/>
                <w:iCs w:val="1"/>
                <w:color w:val="2D3243"/>
              </w:rPr>
              <w:t>Performance-based Equity</w:t>
            </w:r>
          </w:p>
        </w:tc>
        <w:tc>
          <w:tcPr>
            <w:tcW w:w="4060" w:type="dxa"/>
            <w:vAlign w:val="bottom"/>
            <w:shd w:val="clear" w:color="auto" w:fill="F9F9F9"/>
          </w:tcPr>
          <w:p>
            <w:pPr>
              <w:spacing w:after="0"/>
              <w:rPr>
                <w:sz w:val="18"/>
                <w:szCs w:val="18"/>
                <w:color w:val="auto"/>
              </w:rPr>
            </w:pPr>
          </w:p>
        </w:tc>
        <w:tc>
          <w:tcPr>
            <w:tcW w:w="3480" w:type="dxa"/>
            <w:vAlign w:val="bottom"/>
            <w:shd w:val="clear" w:color="auto" w:fill="F9F9F9"/>
          </w:tcPr>
          <w:p>
            <w:pPr>
              <w:spacing w:after="0"/>
              <w:rPr>
                <w:sz w:val="18"/>
                <w:szCs w:val="18"/>
                <w:color w:val="auto"/>
              </w:rPr>
            </w:pPr>
          </w:p>
        </w:tc>
      </w:tr>
      <w:tr>
        <w:trPr>
          <w:trHeight w:val="74"/>
        </w:trPr>
        <w:tc>
          <w:tcPr>
            <w:tcW w:w="20" w:type="dxa"/>
            <w:vAlign w:val="bottom"/>
            <w:tcBorders>
              <w:top w:val="single" w:sz="8" w:color="F9F9F9"/>
            </w:tcBorders>
            <w:shd w:val="clear" w:color="auto" w:fill="F9F9F9"/>
          </w:tcPr>
          <w:p>
            <w:pPr>
              <w:spacing w:after="0"/>
              <w:rPr>
                <w:sz w:val="6"/>
                <w:szCs w:val="6"/>
                <w:color w:val="auto"/>
              </w:rPr>
            </w:pPr>
          </w:p>
        </w:tc>
        <w:tc>
          <w:tcPr>
            <w:tcW w:w="2060" w:type="dxa"/>
            <w:vAlign w:val="bottom"/>
            <w:tcBorders>
              <w:top w:val="single" w:sz="8" w:color="2D3243"/>
            </w:tcBorders>
            <w:shd w:val="clear" w:color="auto" w:fill="F9F9F9"/>
          </w:tcPr>
          <w:p>
            <w:pPr>
              <w:spacing w:after="0"/>
              <w:rPr>
                <w:sz w:val="6"/>
                <w:szCs w:val="6"/>
                <w:color w:val="auto"/>
              </w:rPr>
            </w:pPr>
          </w:p>
        </w:tc>
        <w:tc>
          <w:tcPr>
            <w:tcW w:w="800" w:type="dxa"/>
            <w:vAlign w:val="bottom"/>
            <w:tcBorders>
              <w:top w:val="single" w:sz="8" w:color="F9F9F9"/>
            </w:tcBorders>
            <w:shd w:val="clear" w:color="auto" w:fill="F9F9F9"/>
          </w:tcPr>
          <w:p>
            <w:pPr>
              <w:spacing w:after="0"/>
              <w:rPr>
                <w:sz w:val="6"/>
                <w:szCs w:val="6"/>
                <w:color w:val="auto"/>
              </w:rPr>
            </w:pPr>
          </w:p>
        </w:tc>
        <w:tc>
          <w:tcPr>
            <w:tcW w:w="820" w:type="dxa"/>
            <w:vAlign w:val="bottom"/>
            <w:tcBorders>
              <w:top w:val="single" w:sz="8" w:color="F9F9F9"/>
            </w:tcBorders>
            <w:shd w:val="clear" w:color="auto" w:fill="F9F9F9"/>
          </w:tcPr>
          <w:p>
            <w:pPr>
              <w:spacing w:after="0"/>
              <w:rPr>
                <w:sz w:val="6"/>
                <w:szCs w:val="6"/>
                <w:color w:val="auto"/>
              </w:rPr>
            </w:pPr>
          </w:p>
        </w:tc>
        <w:tc>
          <w:tcPr>
            <w:tcW w:w="4060" w:type="dxa"/>
            <w:vAlign w:val="bottom"/>
            <w:tcBorders>
              <w:top w:val="single" w:sz="8" w:color="F9F9F9"/>
            </w:tcBorders>
            <w:shd w:val="clear" w:color="auto" w:fill="F9F9F9"/>
          </w:tcPr>
          <w:p>
            <w:pPr>
              <w:spacing w:after="0"/>
              <w:rPr>
                <w:sz w:val="6"/>
                <w:szCs w:val="6"/>
                <w:color w:val="auto"/>
              </w:rPr>
            </w:pPr>
          </w:p>
        </w:tc>
        <w:tc>
          <w:tcPr>
            <w:tcW w:w="3480" w:type="dxa"/>
            <w:vAlign w:val="bottom"/>
            <w:tcBorders>
              <w:top w:val="single" w:sz="8" w:color="F9F9F9"/>
            </w:tcBorders>
            <w:shd w:val="clear" w:color="auto" w:fill="F9F9F9"/>
          </w:tcPr>
          <w:p>
            <w:pPr>
              <w:spacing w:after="0"/>
              <w:rPr>
                <w:sz w:val="6"/>
                <w:szCs w:val="6"/>
                <w:color w:val="auto"/>
              </w:rPr>
            </w:pPr>
          </w:p>
        </w:tc>
      </w:tr>
      <w:tr>
        <w:trPr>
          <w:trHeight w:val="254"/>
        </w:trPr>
        <w:tc>
          <w:tcPr>
            <w:tcW w:w="20" w:type="dxa"/>
            <w:vAlign w:val="bottom"/>
          </w:tcPr>
          <w:p>
            <w:pPr>
              <w:spacing w:after="0"/>
              <w:rPr>
                <w:sz w:val="22"/>
                <w:szCs w:val="22"/>
                <w:color w:val="auto"/>
              </w:rPr>
            </w:pPr>
          </w:p>
        </w:tc>
        <w:tc>
          <w:tcPr>
            <w:tcW w:w="3680" w:type="dxa"/>
            <w:vAlign w:val="bottom"/>
            <w:gridSpan w:val="3"/>
          </w:tcPr>
          <w:p>
            <w:pPr>
              <w:spacing w:after="0"/>
              <w:rPr>
                <w:sz w:val="20"/>
                <w:szCs w:val="20"/>
                <w:color w:val="auto"/>
              </w:rPr>
            </w:pPr>
            <w:r>
              <w:rPr>
                <w:rFonts w:ascii="Arial" w:cs="Arial" w:eastAsia="Arial" w:hAnsi="Arial"/>
                <w:sz w:val="16"/>
                <w:szCs w:val="16"/>
                <w:color w:val="2D3243"/>
              </w:rPr>
              <w:t>• Some stockholders suggested that the Company</w:t>
            </w:r>
          </w:p>
        </w:tc>
        <w:tc>
          <w:tcPr>
            <w:tcW w:w="4060" w:type="dxa"/>
            <w:vAlign w:val="bottom"/>
            <w:shd w:val="clear" w:color="auto" w:fill="F9F9F9"/>
          </w:tcPr>
          <w:p>
            <w:pPr>
              <w:ind w:left="260"/>
              <w:spacing w:after="0"/>
              <w:rPr>
                <w:sz w:val="20"/>
                <w:szCs w:val="20"/>
                <w:color w:val="auto"/>
              </w:rPr>
            </w:pPr>
            <w:r>
              <w:rPr>
                <w:rFonts w:ascii="Arial" w:cs="Arial" w:eastAsia="Arial" w:hAnsi="Arial"/>
                <w:sz w:val="16"/>
                <w:szCs w:val="16"/>
                <w:color w:val="2D3243"/>
              </w:rPr>
              <w:t>• Annual refresh grants for 2024 include a</w:t>
            </w:r>
          </w:p>
        </w:tc>
        <w:tc>
          <w:tcPr>
            <w:tcW w:w="3480" w:type="dxa"/>
            <w:vAlign w:val="bottom"/>
            <w:shd w:val="clear" w:color="auto" w:fill="F9F9F9"/>
          </w:tcPr>
          <w:p>
            <w:pPr>
              <w:ind w:left="140"/>
              <w:spacing w:after="0"/>
              <w:rPr>
                <w:sz w:val="20"/>
                <w:szCs w:val="20"/>
                <w:color w:val="auto"/>
              </w:rPr>
            </w:pPr>
            <w:r>
              <w:rPr>
                <w:rFonts w:ascii="Arial" w:cs="Arial" w:eastAsia="Arial" w:hAnsi="Arial"/>
                <w:sz w:val="16"/>
                <w:szCs w:val="16"/>
                <w:color w:val="2D3243"/>
              </w:rPr>
              <w:t>February 2024 and ongoing</w:t>
            </w:r>
          </w:p>
        </w:tc>
      </w:tr>
      <w:tr>
        <w:trPr>
          <w:trHeight w:val="257"/>
        </w:trPr>
        <w:tc>
          <w:tcPr>
            <w:tcW w:w="20" w:type="dxa"/>
            <w:vAlign w:val="bottom"/>
          </w:tcPr>
          <w:p>
            <w:pPr>
              <w:spacing w:after="0"/>
              <w:rPr>
                <w:sz w:val="22"/>
                <w:szCs w:val="22"/>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2D3243"/>
              </w:rPr>
              <w:t>should consider a 3-year performance</w:t>
            </w:r>
          </w:p>
        </w:tc>
        <w:tc>
          <w:tcPr>
            <w:tcW w:w="4060" w:type="dxa"/>
            <w:vAlign w:val="bottom"/>
            <w:shd w:val="clear" w:color="auto" w:fill="F9F9F9"/>
          </w:tcPr>
          <w:p>
            <w:pPr>
              <w:ind w:left="420"/>
              <w:spacing w:after="0"/>
              <w:rPr>
                <w:sz w:val="20"/>
                <w:szCs w:val="20"/>
                <w:color w:val="auto"/>
              </w:rPr>
            </w:pPr>
            <w:r>
              <w:rPr>
                <w:rFonts w:ascii="Arial" w:cs="Arial" w:eastAsia="Arial" w:hAnsi="Arial"/>
                <w:sz w:val="16"/>
                <w:szCs w:val="16"/>
                <w:color w:val="2D3243"/>
              </w:rPr>
              <w:t>transitional approach using three overlapping</w:t>
            </w:r>
          </w:p>
        </w:tc>
        <w:tc>
          <w:tcPr>
            <w:tcW w:w="3480" w:type="dxa"/>
            <w:vAlign w:val="bottom"/>
            <w:shd w:val="clear" w:color="auto" w:fill="F9F9F9"/>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2D3243"/>
              </w:rPr>
              <w:t>measurement period instead of three one-year</w:t>
            </w:r>
          </w:p>
        </w:tc>
        <w:tc>
          <w:tcPr>
            <w:tcW w:w="4060" w:type="dxa"/>
            <w:vAlign w:val="bottom"/>
            <w:shd w:val="clear" w:color="auto" w:fill="F9F9F9"/>
          </w:tcPr>
          <w:p>
            <w:pPr>
              <w:ind w:left="420"/>
              <w:spacing w:after="0"/>
              <w:rPr>
                <w:sz w:val="20"/>
                <w:szCs w:val="20"/>
                <w:color w:val="auto"/>
              </w:rPr>
            </w:pPr>
            <w:r>
              <w:rPr>
                <w:rFonts w:ascii="Arial" w:cs="Arial" w:eastAsia="Arial" w:hAnsi="Arial"/>
                <w:sz w:val="16"/>
                <w:szCs w:val="16"/>
                <w:color w:val="2D3243"/>
              </w:rPr>
              <w:t>measurement periods: a one-year period (2024),</w:t>
            </w:r>
          </w:p>
        </w:tc>
        <w:tc>
          <w:tcPr>
            <w:tcW w:w="3480" w:type="dxa"/>
            <w:vAlign w:val="bottom"/>
            <w:shd w:val="clear" w:color="auto" w:fill="F9F9F9"/>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2D3243"/>
              </w:rPr>
              <w:t>periods.</w:t>
            </w:r>
          </w:p>
        </w:tc>
        <w:tc>
          <w:tcPr>
            <w:tcW w:w="4060" w:type="dxa"/>
            <w:vAlign w:val="bottom"/>
            <w:shd w:val="clear" w:color="auto" w:fill="F9F9F9"/>
          </w:tcPr>
          <w:p>
            <w:pPr>
              <w:ind w:left="420"/>
              <w:spacing w:after="0"/>
              <w:rPr>
                <w:sz w:val="20"/>
                <w:szCs w:val="20"/>
                <w:color w:val="auto"/>
              </w:rPr>
            </w:pPr>
            <w:r>
              <w:rPr>
                <w:rFonts w:ascii="Arial" w:cs="Arial" w:eastAsia="Arial" w:hAnsi="Arial"/>
                <w:sz w:val="16"/>
                <w:szCs w:val="16"/>
                <w:color w:val="2D3243"/>
              </w:rPr>
              <w:t>a two-year period (2024 through 2025), and a</w:t>
            </w:r>
          </w:p>
        </w:tc>
        <w:tc>
          <w:tcPr>
            <w:tcW w:w="3480" w:type="dxa"/>
            <w:vAlign w:val="bottom"/>
            <w:shd w:val="clear" w:color="auto" w:fill="F9F9F9"/>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60" w:type="dxa"/>
            <w:vAlign w:val="bottom"/>
            <w:shd w:val="clear" w:color="auto" w:fill="F9F9F9"/>
          </w:tcPr>
          <w:p>
            <w:pPr>
              <w:ind w:left="420"/>
              <w:spacing w:after="0"/>
              <w:rPr>
                <w:sz w:val="20"/>
                <w:szCs w:val="20"/>
                <w:color w:val="auto"/>
              </w:rPr>
            </w:pPr>
            <w:r>
              <w:rPr>
                <w:rFonts w:ascii="Arial" w:cs="Arial" w:eastAsia="Arial" w:hAnsi="Arial"/>
                <w:sz w:val="16"/>
                <w:szCs w:val="16"/>
                <w:color w:val="2D3243"/>
              </w:rPr>
              <w:t>three-year period (2024 through 2026) period.</w:t>
            </w:r>
          </w:p>
        </w:tc>
        <w:tc>
          <w:tcPr>
            <w:tcW w:w="3480" w:type="dxa"/>
            <w:vAlign w:val="bottom"/>
            <w:shd w:val="clear" w:color="auto" w:fill="F9F9F9"/>
          </w:tcPr>
          <w:p>
            <w:pPr>
              <w:spacing w:after="0"/>
              <w:rPr>
                <w:sz w:val="22"/>
                <w:szCs w:val="22"/>
                <w:color w:val="auto"/>
              </w:rPr>
            </w:pPr>
          </w:p>
        </w:tc>
      </w:tr>
      <w:tr>
        <w:trPr>
          <w:trHeight w:val="41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60" w:type="dxa"/>
            <w:vAlign w:val="bottom"/>
            <w:shd w:val="clear" w:color="auto" w:fill="F9F9F9"/>
          </w:tcPr>
          <w:p>
            <w:pPr>
              <w:ind w:left="260"/>
              <w:spacing w:after="0"/>
              <w:rPr>
                <w:sz w:val="20"/>
                <w:szCs w:val="20"/>
                <w:color w:val="auto"/>
              </w:rPr>
            </w:pPr>
            <w:r>
              <w:rPr>
                <w:rFonts w:ascii="Arial" w:cs="Arial" w:eastAsia="Arial" w:hAnsi="Arial"/>
                <w:sz w:val="16"/>
                <w:szCs w:val="16"/>
                <w:color w:val="2D3243"/>
              </w:rPr>
              <w:t>• We will continue to consider switching to a 3-year</w:t>
            </w:r>
          </w:p>
        </w:tc>
        <w:tc>
          <w:tcPr>
            <w:tcW w:w="3480" w:type="dxa"/>
            <w:vAlign w:val="bottom"/>
            <w:shd w:val="clear" w:color="auto" w:fill="F9F9F9"/>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60" w:type="dxa"/>
            <w:vAlign w:val="bottom"/>
            <w:shd w:val="clear" w:color="auto" w:fill="F9F9F9"/>
          </w:tcPr>
          <w:p>
            <w:pPr>
              <w:ind w:left="420"/>
              <w:spacing w:after="0"/>
              <w:rPr>
                <w:sz w:val="20"/>
                <w:szCs w:val="20"/>
                <w:color w:val="auto"/>
              </w:rPr>
            </w:pPr>
            <w:r>
              <w:rPr>
                <w:rFonts w:ascii="Arial" w:cs="Arial" w:eastAsia="Arial" w:hAnsi="Arial"/>
                <w:sz w:val="16"/>
                <w:szCs w:val="16"/>
                <w:color w:val="2D3243"/>
              </w:rPr>
              <w:t>performance measurement period for future</w:t>
            </w:r>
          </w:p>
        </w:tc>
        <w:tc>
          <w:tcPr>
            <w:tcW w:w="3480" w:type="dxa"/>
            <w:vAlign w:val="bottom"/>
            <w:shd w:val="clear" w:color="auto" w:fill="F9F9F9"/>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60" w:type="dxa"/>
            <w:vAlign w:val="bottom"/>
            <w:shd w:val="clear" w:color="auto" w:fill="F9F9F9"/>
          </w:tcPr>
          <w:p>
            <w:pPr>
              <w:ind w:left="420"/>
              <w:spacing w:after="0"/>
              <w:rPr>
                <w:sz w:val="20"/>
                <w:szCs w:val="20"/>
                <w:color w:val="auto"/>
              </w:rPr>
            </w:pPr>
            <w:r>
              <w:rPr>
                <w:rFonts w:ascii="Arial" w:cs="Arial" w:eastAsia="Arial" w:hAnsi="Arial"/>
                <w:sz w:val="16"/>
                <w:szCs w:val="16"/>
                <w:color w:val="2D3243"/>
              </w:rPr>
              <w:t>PRSU grants.</w:t>
            </w:r>
          </w:p>
        </w:tc>
        <w:tc>
          <w:tcPr>
            <w:tcW w:w="3480" w:type="dxa"/>
            <w:vAlign w:val="bottom"/>
            <w:shd w:val="clear" w:color="auto" w:fill="F9F9F9"/>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60" w:type="dxa"/>
            <w:vAlign w:val="bottom"/>
            <w:shd w:val="clear" w:color="auto" w:fill="F9F9F9"/>
          </w:tcPr>
          <w:p>
            <w:pPr>
              <w:spacing w:after="0"/>
              <w:rPr>
                <w:sz w:val="20"/>
                <w:szCs w:val="20"/>
                <w:color w:val="auto"/>
              </w:rPr>
            </w:pPr>
          </w:p>
        </w:tc>
        <w:tc>
          <w:tcPr>
            <w:tcW w:w="3480" w:type="dxa"/>
            <w:vAlign w:val="bottom"/>
            <w:shd w:val="clear" w:color="auto" w:fill="F9F9F9"/>
          </w:tcPr>
          <w:p>
            <w:pPr>
              <w:spacing w:after="0"/>
              <w:rPr>
                <w:sz w:val="20"/>
                <w:szCs w:val="20"/>
                <w:color w:val="auto"/>
              </w:rPr>
            </w:pPr>
          </w:p>
        </w:tc>
      </w:tr>
      <w:tr>
        <w:trPr>
          <w:trHeight w:val="255"/>
        </w:trPr>
        <w:tc>
          <w:tcPr>
            <w:tcW w:w="20" w:type="dxa"/>
            <w:vAlign w:val="bottom"/>
          </w:tcPr>
          <w:p>
            <w:pPr>
              <w:spacing w:after="0"/>
              <w:rPr>
                <w:sz w:val="22"/>
                <w:szCs w:val="22"/>
                <w:color w:val="auto"/>
              </w:rPr>
            </w:pPr>
          </w:p>
        </w:tc>
        <w:tc>
          <w:tcPr>
            <w:tcW w:w="3680" w:type="dxa"/>
            <w:vAlign w:val="bottom"/>
            <w:gridSpan w:val="3"/>
          </w:tcPr>
          <w:p>
            <w:pPr>
              <w:spacing w:after="0"/>
              <w:rPr>
                <w:sz w:val="20"/>
                <w:szCs w:val="20"/>
                <w:color w:val="auto"/>
              </w:rPr>
            </w:pPr>
            <w:r>
              <w:rPr>
                <w:rFonts w:ascii="Arial" w:cs="Arial" w:eastAsia="Arial" w:hAnsi="Arial"/>
                <w:sz w:val="16"/>
                <w:szCs w:val="16"/>
                <w:color w:val="2D3243"/>
              </w:rPr>
              <w:t>• Some stockholders suggested that a greater</w:t>
            </w:r>
          </w:p>
        </w:tc>
        <w:tc>
          <w:tcPr>
            <w:tcW w:w="4060" w:type="dxa"/>
            <w:vAlign w:val="bottom"/>
          </w:tcPr>
          <w:p>
            <w:pPr>
              <w:ind w:left="260"/>
              <w:spacing w:after="0"/>
              <w:rPr>
                <w:sz w:val="20"/>
                <w:szCs w:val="20"/>
                <w:color w:val="auto"/>
              </w:rPr>
            </w:pPr>
            <w:r>
              <w:rPr>
                <w:rFonts w:ascii="Arial" w:cs="Arial" w:eastAsia="Arial" w:hAnsi="Arial"/>
                <w:sz w:val="16"/>
                <w:szCs w:val="16"/>
                <w:color w:val="2D3243"/>
              </w:rPr>
              <w:t>• For our NEOS (other than our CEO), for 2024,</w:t>
            </w:r>
          </w:p>
        </w:tc>
        <w:tc>
          <w:tcPr>
            <w:tcW w:w="3480" w:type="dxa"/>
            <w:vAlign w:val="bottom"/>
          </w:tcPr>
          <w:p>
            <w:pPr>
              <w:ind w:left="140"/>
              <w:spacing w:after="0"/>
              <w:rPr>
                <w:sz w:val="20"/>
                <w:szCs w:val="20"/>
                <w:color w:val="auto"/>
              </w:rPr>
            </w:pPr>
            <w:r>
              <w:rPr>
                <w:rFonts w:ascii="Arial" w:cs="Arial" w:eastAsia="Arial" w:hAnsi="Arial"/>
                <w:sz w:val="16"/>
                <w:szCs w:val="16"/>
                <w:color w:val="2D3243"/>
              </w:rPr>
              <w:t>February 2024 and ongoing</w:t>
            </w:r>
          </w:p>
        </w:tc>
      </w:tr>
      <w:tr>
        <w:trPr>
          <w:trHeight w:val="257"/>
        </w:trPr>
        <w:tc>
          <w:tcPr>
            <w:tcW w:w="20" w:type="dxa"/>
            <w:vAlign w:val="bottom"/>
          </w:tcPr>
          <w:p>
            <w:pPr>
              <w:spacing w:after="0"/>
              <w:rPr>
                <w:sz w:val="22"/>
                <w:szCs w:val="22"/>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2D3243"/>
              </w:rPr>
              <w:t>percentage of equity award value be allocated to</w:t>
            </w:r>
          </w:p>
        </w:tc>
        <w:tc>
          <w:tcPr>
            <w:tcW w:w="4060" w:type="dxa"/>
            <w:vAlign w:val="bottom"/>
          </w:tcPr>
          <w:p>
            <w:pPr>
              <w:ind w:left="420"/>
              <w:spacing w:after="0"/>
              <w:rPr>
                <w:sz w:val="20"/>
                <w:szCs w:val="20"/>
                <w:color w:val="auto"/>
              </w:rPr>
            </w:pPr>
            <w:r>
              <w:rPr>
                <w:rFonts w:ascii="Arial" w:cs="Arial" w:eastAsia="Arial" w:hAnsi="Arial"/>
                <w:sz w:val="16"/>
                <w:szCs w:val="16"/>
                <w:color w:val="2D3243"/>
              </w:rPr>
              <w:t>we increased the performance-based share of</w:t>
            </w:r>
          </w:p>
        </w:tc>
        <w:tc>
          <w:tcPr>
            <w:tcW w:w="34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2D3243"/>
              </w:rPr>
              <w:t>PRSUs rather than RSUs.</w:t>
            </w:r>
          </w:p>
        </w:tc>
        <w:tc>
          <w:tcPr>
            <w:tcW w:w="4060" w:type="dxa"/>
            <w:vAlign w:val="bottom"/>
          </w:tcPr>
          <w:p>
            <w:pPr>
              <w:ind w:left="420"/>
              <w:spacing w:after="0"/>
              <w:rPr>
                <w:sz w:val="20"/>
                <w:szCs w:val="20"/>
                <w:color w:val="auto"/>
              </w:rPr>
            </w:pPr>
            <w:r>
              <w:rPr>
                <w:rFonts w:ascii="Arial" w:cs="Arial" w:eastAsia="Arial" w:hAnsi="Arial"/>
                <w:sz w:val="16"/>
                <w:szCs w:val="16"/>
                <w:color w:val="2D3243"/>
              </w:rPr>
              <w:t>equity awards from 25% PRSUs to 33.33%</w:t>
            </w:r>
          </w:p>
        </w:tc>
        <w:tc>
          <w:tcPr>
            <w:tcW w:w="348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60" w:type="dxa"/>
            <w:vAlign w:val="bottom"/>
          </w:tcPr>
          <w:p>
            <w:pPr>
              <w:ind w:left="420"/>
              <w:spacing w:after="0"/>
              <w:rPr>
                <w:sz w:val="20"/>
                <w:szCs w:val="20"/>
                <w:color w:val="auto"/>
              </w:rPr>
            </w:pPr>
            <w:r>
              <w:rPr>
                <w:rFonts w:ascii="Arial" w:cs="Arial" w:eastAsia="Arial" w:hAnsi="Arial"/>
                <w:sz w:val="16"/>
                <w:szCs w:val="16"/>
                <w:color w:val="2D3243"/>
              </w:rPr>
              <w:t>PRSUs.</w:t>
            </w:r>
          </w:p>
        </w:tc>
        <w:tc>
          <w:tcPr>
            <w:tcW w:w="34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-2423795</wp:posOffset>
            </wp:positionV>
            <wp:extent cx="7132320" cy="29914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991485"/>
                    </a:xfrm>
                    <a:prstGeom prst="rect">
                      <a:avLst/>
                    </a:prstGeom>
                    <a:noFill/>
                  </pic:spPr>
                </pic:pic>
              </a:graphicData>
            </a:graphic>
          </wp:anchor>
        </w:drawing>
      </w:r>
    </w:p>
    <w:p>
      <w:pPr>
        <w:spacing w:after="0" w:line="184" w:lineRule="exact"/>
        <w:rPr>
          <w:sz w:val="20"/>
          <w:szCs w:val="20"/>
          <w:color w:val="auto"/>
        </w:rPr>
      </w:pPr>
    </w:p>
    <w:p>
      <w:pPr>
        <w:jc w:val="right"/>
        <w:ind w:right="4100"/>
        <w:spacing w:after="0"/>
        <w:rPr>
          <w:sz w:val="20"/>
          <w:szCs w:val="20"/>
          <w:color w:val="auto"/>
        </w:rPr>
      </w:pPr>
      <w:r>
        <w:rPr>
          <w:rFonts w:ascii="Arial" w:cs="Arial" w:eastAsia="Arial" w:hAnsi="Arial"/>
          <w:sz w:val="16"/>
          <w:szCs w:val="16"/>
          <w:color w:val="2D3243"/>
        </w:rPr>
        <w:t>• For our CEO, we plan to continue using an</w:t>
      </w:r>
    </w:p>
    <w:p>
      <w:pPr>
        <w:spacing w:after="0" w:line="73" w:lineRule="exact"/>
        <w:rPr>
          <w:sz w:val="20"/>
          <w:szCs w:val="20"/>
          <w:color w:val="auto"/>
        </w:rPr>
      </w:pPr>
    </w:p>
    <w:p>
      <w:pPr>
        <w:jc w:val="right"/>
        <w:ind w:right="4120"/>
        <w:spacing w:after="0"/>
        <w:rPr>
          <w:sz w:val="20"/>
          <w:szCs w:val="20"/>
          <w:color w:val="auto"/>
        </w:rPr>
      </w:pPr>
      <w:r>
        <w:rPr>
          <w:rFonts w:ascii="Arial" w:cs="Arial" w:eastAsia="Arial" w:hAnsi="Arial"/>
          <w:sz w:val="16"/>
          <w:szCs w:val="16"/>
          <w:color w:val="2D3243"/>
        </w:rPr>
        <w:t>allocation of 50% RSUs and 50%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44</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2" w:name="page53"/>
    <w:bookmarkEnd w:id="52"/>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0336FF"/>
          </w:tcPr>
          <w:p>
            <w:pPr>
              <w:ind w:left="20"/>
              <w:spacing w:after="0"/>
              <w:rPr>
                <w:sz w:val="20"/>
                <w:szCs w:val="20"/>
                <w:color w:val="auto"/>
              </w:rPr>
            </w:pPr>
            <w:r>
              <w:rPr>
                <w:rFonts w:ascii="Arial" w:cs="Arial" w:eastAsia="Arial" w:hAnsi="Arial"/>
                <w:sz w:val="14"/>
                <w:szCs w:val="14"/>
                <w:b w:val="1"/>
                <w:bCs w:val="1"/>
                <w:color w:val="FFFFFF"/>
              </w:rPr>
              <w:t>What We Heard</w:t>
            </w:r>
          </w:p>
        </w:tc>
        <w:tc>
          <w:tcPr>
            <w:tcW w:w="3080" w:type="dxa"/>
            <w:vAlign w:val="bottom"/>
            <w:shd w:val="clear" w:color="auto" w:fill="0336FF"/>
          </w:tcPr>
          <w:p>
            <w:pPr>
              <w:ind w:left="260"/>
              <w:spacing w:after="0"/>
              <w:rPr>
                <w:sz w:val="20"/>
                <w:szCs w:val="20"/>
                <w:color w:val="auto"/>
              </w:rPr>
            </w:pPr>
            <w:r>
              <w:rPr>
                <w:rFonts w:ascii="Arial" w:cs="Arial" w:eastAsia="Arial" w:hAnsi="Arial"/>
                <w:sz w:val="14"/>
                <w:szCs w:val="14"/>
                <w:b w:val="1"/>
                <w:bCs w:val="1"/>
                <w:color w:val="FFFFFF"/>
              </w:rPr>
              <w:t>How We Are Responding</w:t>
            </w:r>
          </w:p>
        </w:tc>
        <w:tc>
          <w:tcPr>
            <w:tcW w:w="4460" w:type="dxa"/>
            <w:vAlign w:val="bottom"/>
            <w:shd w:val="clear" w:color="auto" w:fill="0336FF"/>
          </w:tcPr>
          <w:p>
            <w:pPr>
              <w:ind w:left="1120"/>
              <w:spacing w:after="0"/>
              <w:rPr>
                <w:sz w:val="20"/>
                <w:szCs w:val="20"/>
                <w:color w:val="auto"/>
              </w:rPr>
            </w:pPr>
            <w:r>
              <w:rPr>
                <w:rFonts w:ascii="Arial" w:cs="Arial" w:eastAsia="Arial" w:hAnsi="Arial"/>
                <w:sz w:val="14"/>
                <w:szCs w:val="14"/>
                <w:b w:val="1"/>
                <w:bCs w:val="1"/>
                <w:color w:val="FFFFFF"/>
              </w:rPr>
              <w:t>Effective Time of Implementation</w:t>
            </w:r>
          </w:p>
        </w:tc>
      </w:tr>
      <w:tr>
        <w:trPr>
          <w:trHeight w:val="108"/>
        </w:trPr>
        <w:tc>
          <w:tcPr>
            <w:tcW w:w="3700" w:type="dxa"/>
            <w:vAlign w:val="bottom"/>
            <w:tcBorders>
              <w:bottom w:val="single" w:sz="8" w:color="2D3243"/>
            </w:tcBorders>
            <w:shd w:val="clear" w:color="auto" w:fill="0336FF"/>
          </w:tcPr>
          <w:p>
            <w:pPr>
              <w:spacing w:after="0"/>
              <w:rPr>
                <w:sz w:val="9"/>
                <w:szCs w:val="9"/>
                <w:color w:val="auto"/>
              </w:rPr>
            </w:pPr>
          </w:p>
        </w:tc>
        <w:tc>
          <w:tcPr>
            <w:tcW w:w="3080" w:type="dxa"/>
            <w:vAlign w:val="bottom"/>
            <w:tcBorders>
              <w:bottom w:val="single" w:sz="8" w:color="2D3243"/>
            </w:tcBorders>
            <w:shd w:val="clear" w:color="auto" w:fill="0336FF"/>
          </w:tcPr>
          <w:p>
            <w:pPr>
              <w:spacing w:after="0"/>
              <w:rPr>
                <w:sz w:val="9"/>
                <w:szCs w:val="9"/>
                <w:color w:val="auto"/>
              </w:rPr>
            </w:pPr>
          </w:p>
        </w:tc>
        <w:tc>
          <w:tcPr>
            <w:tcW w:w="4460" w:type="dxa"/>
            <w:vAlign w:val="bottom"/>
            <w:tcBorders>
              <w:bottom w:val="single" w:sz="8" w:color="2D3243"/>
            </w:tcBorders>
            <w:shd w:val="clear" w:color="auto" w:fill="0336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0175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01752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2D3243"/>
        </w:rPr>
        <w:t>Bonus Program</w:t>
      </w:r>
    </w:p>
    <w:p>
      <w:pPr>
        <w:sectPr>
          <w:pgSz w:w="11900" w:h="16838" w:orient="portrait"/>
          <w:cols w:equalWidth="0" w:num="1">
            <w:col w:w="11240"/>
          </w:cols>
          <w:pgMar w:left="320" w:top="184" w:right="339" w:bottom="1440" w:gutter="0" w:footer="0" w:header="0"/>
        </w:sectPr>
      </w:pPr>
    </w:p>
    <w:p>
      <w:pPr>
        <w:spacing w:after="0" w:line="125" w:lineRule="exact"/>
        <w:rPr>
          <w:sz w:val="20"/>
          <w:szCs w:val="20"/>
          <w:color w:val="auto"/>
        </w:rPr>
      </w:pPr>
    </w:p>
    <w:p>
      <w:pPr>
        <w:ind w:left="180" w:hanging="154"/>
        <w:spacing w:after="0" w:line="374" w:lineRule="auto"/>
        <w:tabs>
          <w:tab w:leader="none" w:pos="142" w:val="left"/>
        </w:tabs>
        <w:numPr>
          <w:ilvl w:val="0"/>
          <w:numId w:val="37"/>
        </w:numPr>
        <w:rPr>
          <w:rFonts w:ascii="Arial" w:cs="Arial" w:eastAsia="Arial" w:hAnsi="Arial"/>
          <w:sz w:val="16"/>
          <w:szCs w:val="16"/>
          <w:color w:val="2D3243"/>
        </w:rPr>
      </w:pPr>
      <w:r>
        <w:rPr>
          <w:rFonts w:ascii="Arial" w:cs="Arial" w:eastAsia="Arial" w:hAnsi="Arial"/>
          <w:sz w:val="16"/>
          <w:szCs w:val="16"/>
          <w:color w:val="2D3243"/>
        </w:rPr>
        <w:t>Consider moving from semi-annual performance periods to an annual performance period.</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4060" w:type="dxa"/>
            <w:vAlign w:val="bottom"/>
            <w:shd w:val="clear" w:color="auto" w:fill="F0F1F2"/>
          </w:tcPr>
          <w:p>
            <w:pPr>
              <w:ind w:left="260"/>
              <w:spacing w:after="0"/>
              <w:rPr>
                <w:sz w:val="20"/>
                <w:szCs w:val="20"/>
                <w:color w:val="auto"/>
              </w:rPr>
            </w:pPr>
            <w:r>
              <w:rPr>
                <w:rFonts w:ascii="Arial" w:cs="Arial" w:eastAsia="Arial" w:hAnsi="Arial"/>
                <w:sz w:val="16"/>
                <w:szCs w:val="16"/>
                <w:color w:val="2D3243"/>
              </w:rPr>
              <w:t>• Modified the bonus program for 2024 to include</w:t>
            </w:r>
          </w:p>
        </w:tc>
        <w:tc>
          <w:tcPr>
            <w:tcW w:w="3480" w:type="dxa"/>
            <w:vAlign w:val="bottom"/>
            <w:shd w:val="clear" w:color="auto" w:fill="F0F1F2"/>
          </w:tcPr>
          <w:p>
            <w:pPr>
              <w:ind w:left="140"/>
              <w:spacing w:after="0"/>
              <w:rPr>
                <w:sz w:val="20"/>
                <w:szCs w:val="20"/>
                <w:color w:val="auto"/>
              </w:rPr>
            </w:pPr>
            <w:r>
              <w:rPr>
                <w:rFonts w:ascii="Arial" w:cs="Arial" w:eastAsia="Arial" w:hAnsi="Arial"/>
                <w:sz w:val="16"/>
                <w:szCs w:val="16"/>
                <w:color w:val="2D3243"/>
              </w:rPr>
              <w:t>February 2024 and ongoing</w:t>
            </w:r>
          </w:p>
        </w:tc>
      </w:tr>
      <w:tr>
        <w:trPr>
          <w:trHeight w:val="257"/>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an annual performance period, with a transitional</w:t>
            </w:r>
          </w:p>
        </w:tc>
        <w:tc>
          <w:tcPr>
            <w:tcW w:w="3480" w:type="dxa"/>
            <w:vAlign w:val="bottom"/>
            <w:shd w:val="clear" w:color="auto" w:fill="F0F1F2"/>
          </w:tcPr>
          <w:p>
            <w:pPr>
              <w:spacing w:after="0"/>
              <w:rPr>
                <w:sz w:val="22"/>
                <w:szCs w:val="22"/>
                <w:color w:val="auto"/>
              </w:rPr>
            </w:pPr>
          </w:p>
        </w:tc>
      </w:tr>
      <w:tr>
        <w:trPr>
          <w:trHeight w:val="256"/>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semi-annual capped draw feature, as described</w:t>
            </w:r>
          </w:p>
        </w:tc>
        <w:tc>
          <w:tcPr>
            <w:tcW w:w="3480" w:type="dxa"/>
            <w:vAlign w:val="bottom"/>
            <w:shd w:val="clear" w:color="auto" w:fill="F0F1F2"/>
          </w:tcPr>
          <w:p>
            <w:pPr>
              <w:spacing w:after="0"/>
              <w:rPr>
                <w:sz w:val="22"/>
                <w:szCs w:val="22"/>
                <w:color w:val="auto"/>
              </w:rPr>
            </w:pPr>
          </w:p>
        </w:tc>
      </w:tr>
      <w:tr>
        <w:trPr>
          <w:trHeight w:val="270"/>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below.</w:t>
            </w:r>
          </w:p>
        </w:tc>
        <w:tc>
          <w:tcPr>
            <w:tcW w:w="3480" w:type="dxa"/>
            <w:vAlign w:val="bottom"/>
            <w:shd w:val="clear" w:color="auto" w:fill="F0F1F2"/>
          </w:tcPr>
          <w:p>
            <w:pPr>
              <w:spacing w:after="0"/>
              <w:rPr>
                <w:sz w:val="23"/>
                <w:szCs w:val="23"/>
                <w:color w:val="auto"/>
              </w:rPr>
            </w:pPr>
          </w:p>
        </w:tc>
      </w:tr>
      <w:tr>
        <w:trPr>
          <w:trHeight w:val="418"/>
        </w:trPr>
        <w:tc>
          <w:tcPr>
            <w:tcW w:w="4060" w:type="dxa"/>
            <w:vAlign w:val="bottom"/>
            <w:shd w:val="clear" w:color="auto" w:fill="F0F1F2"/>
          </w:tcPr>
          <w:p>
            <w:pPr>
              <w:ind w:left="260"/>
              <w:spacing w:after="0"/>
              <w:rPr>
                <w:sz w:val="20"/>
                <w:szCs w:val="20"/>
                <w:color w:val="auto"/>
              </w:rPr>
            </w:pPr>
            <w:r>
              <w:rPr>
                <w:rFonts w:ascii="Arial" w:cs="Arial" w:eastAsia="Arial" w:hAnsi="Arial"/>
                <w:sz w:val="16"/>
                <w:szCs w:val="16"/>
                <w:color w:val="2D3243"/>
              </w:rPr>
              <w:t>• For 2024, removed the individual performance</w:t>
            </w:r>
          </w:p>
        </w:tc>
        <w:tc>
          <w:tcPr>
            <w:tcW w:w="3480" w:type="dxa"/>
            <w:vAlign w:val="bottom"/>
            <w:shd w:val="clear" w:color="auto" w:fill="F0F1F2"/>
          </w:tcPr>
          <w:p>
            <w:pPr>
              <w:spacing w:after="0"/>
              <w:rPr>
                <w:sz w:val="24"/>
                <w:szCs w:val="24"/>
                <w:color w:val="auto"/>
              </w:rPr>
            </w:pPr>
          </w:p>
        </w:tc>
      </w:tr>
      <w:tr>
        <w:trPr>
          <w:trHeight w:val="257"/>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feature such that the 2024 bonus will be 100%</w:t>
            </w:r>
          </w:p>
        </w:tc>
        <w:tc>
          <w:tcPr>
            <w:tcW w:w="3480" w:type="dxa"/>
            <w:vAlign w:val="bottom"/>
            <w:shd w:val="clear" w:color="auto" w:fill="F0F1F2"/>
          </w:tcPr>
          <w:p>
            <w:pPr>
              <w:spacing w:after="0"/>
              <w:rPr>
                <w:sz w:val="22"/>
                <w:szCs w:val="22"/>
                <w:color w:val="auto"/>
              </w:rPr>
            </w:pPr>
          </w:p>
        </w:tc>
      </w:tr>
      <w:tr>
        <w:trPr>
          <w:trHeight w:val="257"/>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based on Company performance for each of our</w:t>
            </w:r>
          </w:p>
        </w:tc>
        <w:tc>
          <w:tcPr>
            <w:tcW w:w="3480" w:type="dxa"/>
            <w:vAlign w:val="bottom"/>
            <w:shd w:val="clear" w:color="auto" w:fill="F0F1F2"/>
          </w:tcPr>
          <w:p>
            <w:pPr>
              <w:spacing w:after="0"/>
              <w:rPr>
                <w:sz w:val="22"/>
                <w:szCs w:val="22"/>
                <w:color w:val="auto"/>
              </w:rPr>
            </w:pPr>
          </w:p>
        </w:tc>
      </w:tr>
      <w:tr>
        <w:trPr>
          <w:trHeight w:val="257"/>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NEOs, except for our Executive Vice President</w:t>
            </w:r>
          </w:p>
        </w:tc>
        <w:tc>
          <w:tcPr>
            <w:tcW w:w="3480" w:type="dxa"/>
            <w:vAlign w:val="bottom"/>
            <w:shd w:val="clear" w:color="auto" w:fill="F0F1F2"/>
          </w:tcPr>
          <w:p>
            <w:pPr>
              <w:spacing w:after="0"/>
              <w:rPr>
                <w:sz w:val="22"/>
                <w:szCs w:val="22"/>
                <w:color w:val="auto"/>
              </w:rPr>
            </w:pPr>
          </w:p>
        </w:tc>
      </w:tr>
      <w:tr>
        <w:trPr>
          <w:trHeight w:val="270"/>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of Product Engineering, who is also subject to</w:t>
            </w:r>
          </w:p>
        </w:tc>
        <w:tc>
          <w:tcPr>
            <w:tcW w:w="3480" w:type="dxa"/>
            <w:vAlign w:val="bottom"/>
            <w:shd w:val="clear" w:color="auto" w:fill="F0F1F2"/>
          </w:tcPr>
          <w:p>
            <w:pPr>
              <w:spacing w:after="0"/>
              <w:rPr>
                <w:sz w:val="23"/>
                <w:szCs w:val="23"/>
                <w:color w:val="auto"/>
              </w:rPr>
            </w:pPr>
          </w:p>
        </w:tc>
      </w:tr>
      <w:tr>
        <w:trPr>
          <w:trHeight w:val="257"/>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strategic engineering objectives.</w:t>
            </w:r>
          </w:p>
        </w:tc>
        <w:tc>
          <w:tcPr>
            <w:tcW w:w="3480" w:type="dxa"/>
            <w:vAlign w:val="bottom"/>
            <w:shd w:val="clear" w:color="auto" w:fill="F0F1F2"/>
          </w:tcPr>
          <w:p>
            <w:pPr>
              <w:spacing w:after="0"/>
              <w:rPr>
                <w:sz w:val="22"/>
                <w:szCs w:val="22"/>
                <w:color w:val="auto"/>
              </w:rPr>
            </w:pPr>
          </w:p>
        </w:tc>
      </w:tr>
      <w:tr>
        <w:trPr>
          <w:trHeight w:val="418"/>
        </w:trPr>
        <w:tc>
          <w:tcPr>
            <w:tcW w:w="4060" w:type="dxa"/>
            <w:vAlign w:val="bottom"/>
            <w:shd w:val="clear" w:color="auto" w:fill="F0F1F2"/>
          </w:tcPr>
          <w:p>
            <w:pPr>
              <w:ind w:left="260"/>
              <w:spacing w:after="0"/>
              <w:rPr>
                <w:sz w:val="20"/>
                <w:szCs w:val="20"/>
                <w:color w:val="auto"/>
              </w:rPr>
            </w:pPr>
            <w:r>
              <w:rPr>
                <w:rFonts w:ascii="Arial" w:cs="Arial" w:eastAsia="Arial" w:hAnsi="Arial"/>
                <w:sz w:val="16"/>
                <w:szCs w:val="16"/>
                <w:color w:val="2D3243"/>
              </w:rPr>
              <w:t>• We will continue to review our executive bonus</w:t>
            </w:r>
          </w:p>
        </w:tc>
        <w:tc>
          <w:tcPr>
            <w:tcW w:w="3480" w:type="dxa"/>
            <w:vAlign w:val="bottom"/>
            <w:shd w:val="clear" w:color="auto" w:fill="F0F1F2"/>
          </w:tcPr>
          <w:p>
            <w:pPr>
              <w:spacing w:after="0"/>
              <w:rPr>
                <w:sz w:val="24"/>
                <w:szCs w:val="24"/>
                <w:color w:val="auto"/>
              </w:rPr>
            </w:pPr>
          </w:p>
        </w:tc>
      </w:tr>
      <w:tr>
        <w:trPr>
          <w:trHeight w:val="257"/>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program in the future. We expect that the bonus</w:t>
            </w:r>
          </w:p>
        </w:tc>
        <w:tc>
          <w:tcPr>
            <w:tcW w:w="3480" w:type="dxa"/>
            <w:vAlign w:val="bottom"/>
            <w:shd w:val="clear" w:color="auto" w:fill="F0F1F2"/>
          </w:tcPr>
          <w:p>
            <w:pPr>
              <w:spacing w:after="0"/>
              <w:rPr>
                <w:sz w:val="22"/>
                <w:szCs w:val="22"/>
                <w:color w:val="auto"/>
              </w:rPr>
            </w:pPr>
          </w:p>
        </w:tc>
      </w:tr>
      <w:tr>
        <w:trPr>
          <w:trHeight w:val="256"/>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for 2025 and beyond will use annual</w:t>
            </w:r>
          </w:p>
        </w:tc>
        <w:tc>
          <w:tcPr>
            <w:tcW w:w="3480" w:type="dxa"/>
            <w:vAlign w:val="bottom"/>
            <w:shd w:val="clear" w:color="auto" w:fill="F0F1F2"/>
          </w:tcPr>
          <w:p>
            <w:pPr>
              <w:spacing w:after="0"/>
              <w:rPr>
                <w:sz w:val="22"/>
                <w:szCs w:val="22"/>
                <w:color w:val="auto"/>
              </w:rPr>
            </w:pPr>
          </w:p>
        </w:tc>
      </w:tr>
      <w:tr>
        <w:trPr>
          <w:trHeight w:val="257"/>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performance periods without the transitional</w:t>
            </w:r>
          </w:p>
        </w:tc>
        <w:tc>
          <w:tcPr>
            <w:tcW w:w="3480" w:type="dxa"/>
            <w:vAlign w:val="bottom"/>
            <w:shd w:val="clear" w:color="auto" w:fill="F0F1F2"/>
          </w:tcPr>
          <w:p>
            <w:pPr>
              <w:spacing w:after="0"/>
              <w:rPr>
                <w:sz w:val="22"/>
                <w:szCs w:val="22"/>
                <w:color w:val="auto"/>
              </w:rPr>
            </w:pPr>
          </w:p>
        </w:tc>
      </w:tr>
      <w:tr>
        <w:trPr>
          <w:trHeight w:val="270"/>
        </w:trPr>
        <w:tc>
          <w:tcPr>
            <w:tcW w:w="4060" w:type="dxa"/>
            <w:vAlign w:val="bottom"/>
            <w:shd w:val="clear" w:color="auto" w:fill="F0F1F2"/>
          </w:tcPr>
          <w:p>
            <w:pPr>
              <w:ind w:left="420"/>
              <w:spacing w:after="0"/>
              <w:rPr>
                <w:sz w:val="20"/>
                <w:szCs w:val="20"/>
                <w:color w:val="auto"/>
              </w:rPr>
            </w:pPr>
            <w:r>
              <w:rPr>
                <w:rFonts w:ascii="Arial" w:cs="Arial" w:eastAsia="Arial" w:hAnsi="Arial"/>
                <w:sz w:val="16"/>
                <w:szCs w:val="16"/>
                <w:color w:val="2D3243"/>
              </w:rPr>
              <w:t>draw feature used in 2024.</w:t>
            </w:r>
          </w:p>
        </w:tc>
        <w:tc>
          <w:tcPr>
            <w:tcW w:w="3480" w:type="dxa"/>
            <w:vAlign w:val="bottom"/>
            <w:shd w:val="clear" w:color="auto" w:fill="F0F1F2"/>
          </w:tcPr>
          <w:p>
            <w:pPr>
              <w:spacing w:after="0"/>
              <w:rPr>
                <w:sz w:val="23"/>
                <w:szCs w:val="23"/>
                <w:color w:val="auto"/>
              </w:rPr>
            </w:pPr>
          </w:p>
        </w:tc>
      </w:tr>
      <w:tr>
        <w:trPr>
          <w:trHeight w:val="218"/>
        </w:trPr>
        <w:tc>
          <w:tcPr>
            <w:tcW w:w="4060" w:type="dxa"/>
            <w:vAlign w:val="bottom"/>
            <w:shd w:val="clear" w:color="auto" w:fill="F0F1F2"/>
          </w:tcPr>
          <w:p>
            <w:pPr>
              <w:spacing w:after="0"/>
              <w:rPr>
                <w:sz w:val="18"/>
                <w:szCs w:val="18"/>
                <w:color w:val="auto"/>
              </w:rPr>
            </w:pPr>
          </w:p>
        </w:tc>
        <w:tc>
          <w:tcPr>
            <w:tcW w:w="3480" w:type="dxa"/>
            <w:vAlign w:val="bottom"/>
            <w:shd w:val="clear" w:color="auto" w:fill="F0F1F2"/>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80"/>
            <w:col w:w="7540"/>
          </w:cols>
          <w:pgMar w:left="320" w:top="184" w:right="3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2024 Executive Compensation Actions</w:t>
      </w:r>
    </w:p>
    <w:p>
      <w:pPr>
        <w:spacing w:after="0" w:line="93" w:lineRule="exact"/>
        <w:rPr>
          <w:sz w:val="20"/>
          <w:szCs w:val="20"/>
          <w:color w:val="auto"/>
        </w:rPr>
      </w:pPr>
    </w:p>
    <w:p>
      <w:pPr>
        <w:ind w:right="180"/>
        <w:spacing w:after="0" w:line="374" w:lineRule="auto"/>
        <w:rPr>
          <w:sz w:val="20"/>
          <w:szCs w:val="20"/>
          <w:color w:val="auto"/>
        </w:rPr>
      </w:pPr>
      <w:r>
        <w:rPr>
          <w:rFonts w:ascii="Arial" w:cs="Arial" w:eastAsia="Arial" w:hAnsi="Arial"/>
          <w:sz w:val="16"/>
          <w:szCs w:val="16"/>
          <w:color w:val="2D3243"/>
        </w:rPr>
        <w:t>In line with our desire to have a more performance-based focus for our executive compensation program, we adopted the following substantive changes to our 2024 NEO compensation program at our February 2024 Compensation Committee meeting:</w:t>
      </w:r>
    </w:p>
    <w:p>
      <w:pPr>
        <w:spacing w:after="0" w:line="102" w:lineRule="exact"/>
        <w:rPr>
          <w:sz w:val="20"/>
          <w:szCs w:val="20"/>
          <w:color w:val="auto"/>
        </w:rPr>
      </w:pPr>
    </w:p>
    <w:p>
      <w:pPr>
        <w:ind w:left="620" w:hanging="288"/>
        <w:spacing w:after="0"/>
        <w:tabs>
          <w:tab w:leader="none" w:pos="620" w:val="left"/>
        </w:tabs>
        <w:numPr>
          <w:ilvl w:val="0"/>
          <w:numId w:val="38"/>
        </w:numPr>
        <w:rPr>
          <w:rFonts w:ascii="Arial" w:cs="Arial" w:eastAsia="Arial" w:hAnsi="Arial"/>
          <w:sz w:val="16"/>
          <w:szCs w:val="16"/>
          <w:b w:val="1"/>
          <w:bCs w:val="1"/>
          <w:color w:val="2D3243"/>
        </w:rPr>
      </w:pPr>
      <w:r>
        <w:rPr>
          <w:rFonts w:ascii="Arial" w:cs="Arial" w:eastAsia="Arial" w:hAnsi="Arial"/>
          <w:sz w:val="16"/>
          <w:szCs w:val="16"/>
          <w:b w:val="1"/>
          <w:bCs w:val="1"/>
          <w:color w:val="2D3243"/>
        </w:rPr>
        <w:t>Short-Term Cash Incentive Awards</w:t>
      </w:r>
    </w:p>
    <w:p>
      <w:pPr>
        <w:spacing w:after="0" w:line="234" w:lineRule="exact"/>
        <w:rPr>
          <w:rFonts w:ascii="Arial" w:cs="Arial" w:eastAsia="Arial" w:hAnsi="Arial"/>
          <w:sz w:val="16"/>
          <w:szCs w:val="16"/>
          <w:b w:val="1"/>
          <w:bCs w:val="1"/>
          <w:color w:val="2D3243"/>
        </w:rPr>
      </w:pPr>
    </w:p>
    <w:p>
      <w:pPr>
        <w:ind w:left="1300" w:right="220" w:hanging="320"/>
        <w:spacing w:after="0" w:line="374" w:lineRule="auto"/>
        <w:tabs>
          <w:tab w:leader="none" w:pos="1290" w:val="left"/>
        </w:tabs>
        <w:numPr>
          <w:ilvl w:val="1"/>
          <w:numId w:val="38"/>
        </w:numPr>
        <w:rPr>
          <w:rFonts w:ascii="Arial" w:cs="Arial" w:eastAsia="Arial" w:hAnsi="Arial"/>
          <w:sz w:val="16"/>
          <w:szCs w:val="16"/>
          <w:color w:val="2D3243"/>
        </w:rPr>
      </w:pPr>
      <w:r>
        <w:rPr>
          <w:rFonts w:ascii="Arial" w:cs="Arial" w:eastAsia="Arial" w:hAnsi="Arial"/>
          <w:sz w:val="16"/>
          <w:szCs w:val="16"/>
          <w:color w:val="2D3243"/>
        </w:rPr>
        <w:t>Eliminated the individual performance objectives for our NEOs, shifting entirely (other than Mr. Kozanian, who is also subject to strategic product engineering objectives) to the Company's financial goals contained in our annual operating plan.</w:t>
      </w:r>
    </w:p>
    <w:p>
      <w:pPr>
        <w:spacing w:after="0" w:line="7" w:lineRule="exact"/>
        <w:rPr>
          <w:rFonts w:ascii="Arial" w:cs="Arial" w:eastAsia="Arial" w:hAnsi="Arial"/>
          <w:sz w:val="16"/>
          <w:szCs w:val="16"/>
          <w:color w:val="2D3243"/>
        </w:rPr>
      </w:pPr>
    </w:p>
    <w:p>
      <w:pPr>
        <w:ind w:left="1300" w:right="100" w:hanging="320"/>
        <w:spacing w:after="0" w:line="344" w:lineRule="auto"/>
        <w:tabs>
          <w:tab w:leader="none" w:pos="1290" w:val="left"/>
        </w:tabs>
        <w:numPr>
          <w:ilvl w:val="1"/>
          <w:numId w:val="38"/>
        </w:numPr>
        <w:rPr>
          <w:rFonts w:ascii="Arial" w:cs="Arial" w:eastAsia="Arial" w:hAnsi="Arial"/>
          <w:sz w:val="16"/>
          <w:szCs w:val="16"/>
          <w:color w:val="2D3243"/>
        </w:rPr>
      </w:pPr>
      <w:r>
        <w:rPr>
          <w:rFonts w:ascii="Arial" w:cs="Arial" w:eastAsia="Arial" w:hAnsi="Arial"/>
          <w:sz w:val="16"/>
          <w:szCs w:val="16"/>
          <w:color w:val="2D3243"/>
        </w:rPr>
        <w:t>Transitioned to an annual performance period (rather than semi-annual) for the annual bonus program. The bonus for 2024 includes a transitional draw feature which allows executive officers to receive a mid-year draw based on the forecasted performance for 2024, based on the performance during the first half of 2024. The non-repayable draw is capped at 80% of the semi-annual target, and the bonus paid for 2024 will be reduced by the amount of the mid-year draw taken (if any). The 2024 draw feature is transitional only, and we do not expect to include the draw feature in 2025 or beyond.</w:t>
      </w:r>
    </w:p>
    <w:p>
      <w:pPr>
        <w:spacing w:after="0" w:line="17" w:lineRule="exact"/>
        <w:rPr>
          <w:rFonts w:ascii="Arial" w:cs="Arial" w:eastAsia="Arial" w:hAnsi="Arial"/>
          <w:sz w:val="16"/>
          <w:szCs w:val="16"/>
          <w:color w:val="2D3243"/>
        </w:rPr>
      </w:pPr>
    </w:p>
    <w:p>
      <w:pPr>
        <w:ind w:left="620" w:hanging="288"/>
        <w:spacing w:after="0"/>
        <w:tabs>
          <w:tab w:leader="none" w:pos="620" w:val="left"/>
        </w:tabs>
        <w:numPr>
          <w:ilvl w:val="0"/>
          <w:numId w:val="38"/>
        </w:numPr>
        <w:rPr>
          <w:rFonts w:ascii="Arial" w:cs="Arial" w:eastAsia="Arial" w:hAnsi="Arial"/>
          <w:sz w:val="16"/>
          <w:szCs w:val="16"/>
          <w:b w:val="1"/>
          <w:bCs w:val="1"/>
          <w:color w:val="2D3243"/>
        </w:rPr>
      </w:pPr>
      <w:r>
        <w:rPr>
          <w:rFonts w:ascii="Arial" w:cs="Arial" w:eastAsia="Arial" w:hAnsi="Arial"/>
          <w:sz w:val="16"/>
          <w:szCs w:val="16"/>
          <w:b w:val="1"/>
          <w:bCs w:val="1"/>
          <w:color w:val="2D3243"/>
        </w:rPr>
        <w:t>Equity Awards</w:t>
      </w:r>
    </w:p>
    <w:p>
      <w:pPr>
        <w:spacing w:after="0" w:line="248" w:lineRule="exact"/>
        <w:rPr>
          <w:rFonts w:ascii="Arial" w:cs="Arial" w:eastAsia="Arial" w:hAnsi="Arial"/>
          <w:sz w:val="16"/>
          <w:szCs w:val="16"/>
          <w:b w:val="1"/>
          <w:bCs w:val="1"/>
          <w:color w:val="2D3243"/>
        </w:rPr>
      </w:pPr>
    </w:p>
    <w:p>
      <w:pPr>
        <w:ind w:left="1300" w:right="80" w:hanging="320"/>
        <w:spacing w:after="0" w:line="347" w:lineRule="auto"/>
        <w:tabs>
          <w:tab w:leader="none" w:pos="1290" w:val="left"/>
        </w:tabs>
        <w:numPr>
          <w:ilvl w:val="1"/>
          <w:numId w:val="38"/>
        </w:numPr>
        <w:rPr>
          <w:rFonts w:ascii="Arial" w:cs="Arial" w:eastAsia="Arial" w:hAnsi="Arial"/>
          <w:sz w:val="16"/>
          <w:szCs w:val="16"/>
          <w:color w:val="2D3243"/>
        </w:rPr>
      </w:pPr>
      <w:r>
        <w:rPr>
          <w:rFonts w:ascii="Arial" w:cs="Arial" w:eastAsia="Arial" w:hAnsi="Arial"/>
          <w:sz w:val="16"/>
          <w:szCs w:val="16"/>
          <w:color w:val="2D3243"/>
        </w:rPr>
        <w:t>Consistent with prior stockholder feedback, we increased the performance-based focus of our equity award program by increasing the regular annual equity award allocation from approximately 75% of the value to RSU awards and 25% of the value to PRSU awards for our NEOs (other than our CEO) to approximately 66-2/3% of the value to RSU awards and 33-1/3% of the value to PRSU awards. The allocation for our CEO remains at approximately 50% of the value to RSU awards and approximately 50% of the value to PRSU awards.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45</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53" w:name="page54"/>
    <w:bookmarkEnd w:id="53"/>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right="300" w:hanging="320"/>
        <w:spacing w:after="0" w:line="369" w:lineRule="auto"/>
        <w:tabs>
          <w:tab w:leader="none" w:pos="1290" w:val="left"/>
        </w:tabs>
        <w:numPr>
          <w:ilvl w:val="0"/>
          <w:numId w:val="39"/>
        </w:numPr>
        <w:rPr>
          <w:rFonts w:ascii="Times New Roman" w:cs="Times New Roman" w:eastAsia="Times New Roman" w:hAnsi="Times New Roman"/>
          <w:sz w:val="16"/>
          <w:szCs w:val="16"/>
          <w:color w:val="2D3243"/>
        </w:rPr>
      </w:pPr>
      <w:r>
        <w:rPr>
          <w:rFonts w:ascii="Arial" w:cs="Arial" w:eastAsia="Arial" w:hAnsi="Arial"/>
          <w:sz w:val="16"/>
          <w:szCs w:val="16"/>
          <w:color w:val="2D3243"/>
        </w:rPr>
        <w:t>We increased the length of the second and third measurement periods for our PRSU awards. Previously, PRSUs were subject to three distinct one-year measurement periods. For 2024, the PRSUs are subject to the following three overlapping measurement periods:</w:t>
      </w:r>
    </w:p>
    <w:p>
      <w:pPr>
        <w:ind w:left="1920" w:hanging="292"/>
        <w:spacing w:after="0"/>
        <w:tabs>
          <w:tab w:leader="none" w:pos="1920" w:val="left"/>
        </w:tabs>
        <w:numPr>
          <w:ilvl w:val="1"/>
          <w:numId w:val="39"/>
        </w:numPr>
        <w:rPr>
          <w:rFonts w:ascii="Arial" w:cs="Arial" w:eastAsia="Arial" w:hAnsi="Arial"/>
          <w:sz w:val="16"/>
          <w:szCs w:val="16"/>
          <w:color w:val="2D3243"/>
        </w:rPr>
      </w:pPr>
      <w:r>
        <w:rPr>
          <w:rFonts w:ascii="Arial" w:cs="Arial" w:eastAsia="Arial" w:hAnsi="Arial"/>
          <w:sz w:val="16"/>
          <w:szCs w:val="16"/>
          <w:color w:val="2D3243"/>
        </w:rPr>
        <w:t>Performance during 2024 (one year period)</w:t>
      </w:r>
    </w:p>
    <w:p>
      <w:pPr>
        <w:spacing w:after="0" w:line="140" w:lineRule="exact"/>
        <w:rPr>
          <w:rFonts w:ascii="Arial" w:cs="Arial" w:eastAsia="Arial" w:hAnsi="Arial"/>
          <w:sz w:val="16"/>
          <w:szCs w:val="16"/>
          <w:color w:val="2D3243"/>
        </w:rPr>
      </w:pPr>
    </w:p>
    <w:p>
      <w:pPr>
        <w:ind w:left="1920" w:hanging="292"/>
        <w:spacing w:after="0"/>
        <w:tabs>
          <w:tab w:leader="none" w:pos="1920" w:val="left"/>
        </w:tabs>
        <w:numPr>
          <w:ilvl w:val="1"/>
          <w:numId w:val="39"/>
        </w:numPr>
        <w:rPr>
          <w:rFonts w:ascii="Arial" w:cs="Arial" w:eastAsia="Arial" w:hAnsi="Arial"/>
          <w:sz w:val="16"/>
          <w:szCs w:val="16"/>
          <w:color w:val="2D3243"/>
        </w:rPr>
      </w:pPr>
      <w:r>
        <w:rPr>
          <w:rFonts w:ascii="Arial" w:cs="Arial" w:eastAsia="Arial" w:hAnsi="Arial"/>
          <w:sz w:val="16"/>
          <w:szCs w:val="16"/>
          <w:color w:val="2D3243"/>
        </w:rPr>
        <w:t>Performance from 2024 through 2025 (two year period)</w:t>
      </w:r>
    </w:p>
    <w:p>
      <w:pPr>
        <w:spacing w:after="0" w:line="126" w:lineRule="exact"/>
        <w:rPr>
          <w:rFonts w:ascii="Arial" w:cs="Arial" w:eastAsia="Arial" w:hAnsi="Arial"/>
          <w:sz w:val="16"/>
          <w:szCs w:val="16"/>
          <w:color w:val="2D3243"/>
        </w:rPr>
      </w:pPr>
    </w:p>
    <w:p>
      <w:pPr>
        <w:ind w:left="1920" w:hanging="292"/>
        <w:spacing w:after="0"/>
        <w:tabs>
          <w:tab w:leader="none" w:pos="1920" w:val="left"/>
        </w:tabs>
        <w:numPr>
          <w:ilvl w:val="1"/>
          <w:numId w:val="39"/>
        </w:numPr>
        <w:rPr>
          <w:rFonts w:ascii="Arial" w:cs="Arial" w:eastAsia="Arial" w:hAnsi="Arial"/>
          <w:sz w:val="16"/>
          <w:szCs w:val="16"/>
          <w:color w:val="2D3243"/>
        </w:rPr>
      </w:pPr>
      <w:r>
        <w:rPr>
          <w:rFonts w:ascii="Arial" w:cs="Arial" w:eastAsia="Arial" w:hAnsi="Arial"/>
          <w:sz w:val="16"/>
          <w:szCs w:val="16"/>
          <w:color w:val="2D3243"/>
        </w:rPr>
        <w:t>Performance from 2024 through 2026 (three year period).</w:t>
      </w:r>
    </w:p>
    <w:p>
      <w:pPr>
        <w:spacing w:after="0" w:line="127" w:lineRule="exact"/>
        <w:rPr>
          <w:sz w:val="20"/>
          <w:szCs w:val="20"/>
          <w:color w:val="auto"/>
        </w:rPr>
      </w:pPr>
    </w:p>
    <w:p>
      <w:pPr>
        <w:ind w:left="80" w:right="220"/>
        <w:spacing w:after="0" w:line="374" w:lineRule="auto"/>
        <w:rPr>
          <w:sz w:val="20"/>
          <w:szCs w:val="20"/>
          <w:color w:val="auto"/>
        </w:rPr>
      </w:pPr>
      <w:r>
        <w:rPr>
          <w:rFonts w:ascii="Arial" w:cs="Arial" w:eastAsia="Arial" w:hAnsi="Arial"/>
          <w:sz w:val="16"/>
          <w:szCs w:val="16"/>
          <w:color w:val="2D3243"/>
        </w:rPr>
        <w:t>In addition, our Severance Plan (as defined below) was set to expire by its terms on April 4, 2024. After consultation with Compensia, in March 2024, the Compensation Committee approved an extension of our Severance Plan for an additional one-year period on its existing terms.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Compensation Philosophy and Objectives</w:t>
      </w:r>
    </w:p>
    <w:p>
      <w:pPr>
        <w:spacing w:after="0" w:line="207" w:lineRule="exact"/>
        <w:rPr>
          <w:sz w:val="20"/>
          <w:szCs w:val="20"/>
          <w:color w:val="auto"/>
        </w:rPr>
      </w:pPr>
    </w:p>
    <w:p>
      <w:pPr>
        <w:spacing w:after="0" w:line="341" w:lineRule="auto"/>
        <w:rPr>
          <w:sz w:val="20"/>
          <w:szCs w:val="20"/>
          <w:color w:val="auto"/>
        </w:rPr>
      </w:pPr>
      <w:r>
        <w:rPr>
          <w:rFonts w:ascii="Arial" w:cs="Arial" w:eastAsia="Arial" w:hAnsi="Arial"/>
          <w:sz w:val="16"/>
          <w:szCs w:val="16"/>
          <w:color w:val="2D3243"/>
        </w:rPr>
        <w:t>We believe that the quality, skills and dedication of our NEOs are critical factors affecting our performance and the creation of stockholder value. Accordingly, the key objectives of our executive compensation program are to attract, retain and motivate superior executive talent while maintaining an appropriate cost structure. In addition, we seek to implement a “pay-for-performance” philosophy by designing our executive compensation program to link a substantial portion of our NEOs’ target total direct compensation to the achievement of financial and strategic performance objectives that directly correlate to key Company objectives and the long-term enhancement of stockholder value. The Compensation Committee believes that the compensation paid to our NEOs should be closely aligned with our corporate performance on both a short-term and long-term basis, linked to specific, measurable results such as revenue and Adjusted EBITDA, and that such compensation should assist us in motivating and retaining the key executive officers critical to our long-term success. Finally, our executive compensation program is designed to maintain an appropriate balance of short-term and long-term incentive compensation opportunities to ensure an appropriate focus on both operational objectives and the creation of long-term stockholder value.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Design and Approval of Our 2023 Compensation Program</w:t>
      </w:r>
    </w:p>
    <w:p>
      <w:pPr>
        <w:spacing w:after="0" w:line="193" w:lineRule="exact"/>
        <w:rPr>
          <w:sz w:val="20"/>
          <w:szCs w:val="20"/>
          <w:color w:val="auto"/>
        </w:rPr>
      </w:pPr>
    </w:p>
    <w:p>
      <w:pPr>
        <w:ind w:right="240"/>
        <w:spacing w:after="0" w:line="353" w:lineRule="auto"/>
        <w:rPr>
          <w:sz w:val="20"/>
          <w:szCs w:val="20"/>
          <w:color w:val="auto"/>
        </w:rPr>
      </w:pPr>
      <w:r>
        <w:rPr>
          <w:rFonts w:ascii="Arial" w:cs="Arial" w:eastAsia="Arial" w:hAnsi="Arial"/>
          <w:sz w:val="16"/>
          <w:szCs w:val="16"/>
          <w:color w:val="2D3243"/>
        </w:rPr>
        <w:t>We have structured our executive compensation program to have the flexibility to meet the demands of the dynamic nature of our business and the competitive market for executive talent in our industry and region. Therefore, our pay mix and annual incentive compensation programs for 2023 reflected the Compensation Committee’s ability to react quickly to hire, retain and motivate our executive officers. To accomplish the foregoing objectives, for 2023, the Compensation Committee structured our executive compensation program to include the following principal compensation elements:</w:t>
      </w:r>
    </w:p>
    <w:p>
      <w:pPr>
        <w:spacing w:after="0" w:line="119" w:lineRule="exact"/>
        <w:rPr>
          <w:sz w:val="20"/>
          <w:szCs w:val="20"/>
          <w:color w:val="auto"/>
        </w:rPr>
      </w:pPr>
    </w:p>
    <w:p>
      <w:pPr>
        <w:ind w:left="620" w:hanging="288"/>
        <w:spacing w:after="0"/>
        <w:tabs>
          <w:tab w:leader="none" w:pos="620" w:val="left"/>
        </w:tabs>
        <w:numPr>
          <w:ilvl w:val="0"/>
          <w:numId w:val="40"/>
        </w:numPr>
        <w:rPr>
          <w:rFonts w:ascii="Arial" w:cs="Arial" w:eastAsia="Arial" w:hAnsi="Arial"/>
          <w:sz w:val="16"/>
          <w:szCs w:val="16"/>
          <w:color w:val="2D3243"/>
        </w:rPr>
      </w:pPr>
      <w:r>
        <w:rPr>
          <w:rFonts w:ascii="Arial" w:cs="Arial" w:eastAsia="Arial" w:hAnsi="Arial"/>
          <w:sz w:val="16"/>
          <w:szCs w:val="16"/>
          <w:color w:val="2D3243"/>
        </w:rPr>
        <w:t>base salaries at levels that we believe allow us to attract and retain key executive officers;</w:t>
      </w:r>
    </w:p>
    <w:p>
      <w:pPr>
        <w:spacing w:after="0" w:line="126" w:lineRule="exact"/>
        <w:rPr>
          <w:rFonts w:ascii="Arial" w:cs="Arial" w:eastAsia="Arial" w:hAnsi="Arial"/>
          <w:sz w:val="16"/>
          <w:szCs w:val="16"/>
          <w:color w:val="2D3243"/>
        </w:rPr>
      </w:pPr>
    </w:p>
    <w:p>
      <w:pPr>
        <w:ind w:left="660" w:right="340" w:hanging="328"/>
        <w:spacing w:after="0" w:line="363" w:lineRule="auto"/>
        <w:tabs>
          <w:tab w:leader="none" w:pos="622" w:val="left"/>
        </w:tabs>
        <w:numPr>
          <w:ilvl w:val="0"/>
          <w:numId w:val="40"/>
        </w:numPr>
        <w:rPr>
          <w:rFonts w:ascii="Arial" w:cs="Arial" w:eastAsia="Arial" w:hAnsi="Arial"/>
          <w:sz w:val="16"/>
          <w:szCs w:val="16"/>
          <w:color w:val="2D3243"/>
        </w:rPr>
      </w:pPr>
      <w:r>
        <w:rPr>
          <w:rFonts w:ascii="Arial" w:cs="Arial" w:eastAsia="Arial" w:hAnsi="Arial"/>
          <w:sz w:val="16"/>
          <w:szCs w:val="16"/>
          <w:color w:val="2D3243"/>
        </w:rPr>
        <w:t>semi-annual cash incentive compensation opportunities tied to (i) the achievement of pre-established semi-annual performance goals related to important financial objectives set forth in our annual operating plan and (ii) for NEOs (other than our CEO), the achievement of individual performance goals and, in the case of Mr. Daniel Burkland, bookings;</w:t>
      </w:r>
    </w:p>
    <w:p>
      <w:pPr>
        <w:spacing w:after="0" w:line="2" w:lineRule="exact"/>
        <w:rPr>
          <w:rFonts w:ascii="Arial" w:cs="Arial" w:eastAsia="Arial" w:hAnsi="Arial"/>
          <w:sz w:val="16"/>
          <w:szCs w:val="16"/>
          <w:color w:val="2D3243"/>
        </w:rPr>
      </w:pPr>
    </w:p>
    <w:p>
      <w:pPr>
        <w:ind w:left="660" w:right="140" w:hanging="328"/>
        <w:spacing w:after="0" w:line="354" w:lineRule="auto"/>
        <w:tabs>
          <w:tab w:leader="none" w:pos="622" w:val="left"/>
        </w:tabs>
        <w:numPr>
          <w:ilvl w:val="0"/>
          <w:numId w:val="40"/>
        </w:numPr>
        <w:rPr>
          <w:rFonts w:ascii="Arial" w:cs="Arial" w:eastAsia="Arial" w:hAnsi="Arial"/>
          <w:sz w:val="16"/>
          <w:szCs w:val="16"/>
          <w:color w:val="2D3243"/>
        </w:rPr>
      </w:pPr>
      <w:r>
        <w:rPr>
          <w:rFonts w:ascii="Arial" w:cs="Arial" w:eastAsia="Arial" w:hAnsi="Arial"/>
          <w:sz w:val="16"/>
          <w:szCs w:val="16"/>
          <w:color w:val="2D3243"/>
        </w:rPr>
        <w:t>long-term incentive compensation using a mix of PRSU and RSU awards, to align the interests of our executive officers with those of our stockholders, including by linking earned PRSU amounts to our stockholder return relative to companies in the S&amp;P Software and Services Select Index, and to promote our performance and retention objectives; and</w:t>
      </w:r>
    </w:p>
    <w:p>
      <w:pPr>
        <w:spacing w:after="0" w:line="9" w:lineRule="exact"/>
        <w:rPr>
          <w:rFonts w:ascii="Arial" w:cs="Arial" w:eastAsia="Arial" w:hAnsi="Arial"/>
          <w:sz w:val="16"/>
          <w:szCs w:val="16"/>
          <w:color w:val="2D3243"/>
        </w:rPr>
      </w:pPr>
    </w:p>
    <w:p>
      <w:pPr>
        <w:ind w:left="620" w:hanging="288"/>
        <w:spacing w:after="0"/>
        <w:tabs>
          <w:tab w:leader="none" w:pos="620" w:val="left"/>
        </w:tabs>
        <w:numPr>
          <w:ilvl w:val="0"/>
          <w:numId w:val="40"/>
        </w:numPr>
        <w:rPr>
          <w:rFonts w:ascii="Arial" w:cs="Arial" w:eastAsia="Arial" w:hAnsi="Arial"/>
          <w:sz w:val="16"/>
          <w:szCs w:val="16"/>
          <w:color w:val="2D3243"/>
        </w:rPr>
      </w:pPr>
      <w:r>
        <w:rPr>
          <w:rFonts w:ascii="Arial" w:cs="Arial" w:eastAsia="Arial" w:hAnsi="Arial"/>
          <w:sz w:val="16"/>
          <w:szCs w:val="16"/>
          <w:color w:val="2D3243"/>
        </w:rPr>
        <w:t>limited post-employment compensation arrangements payable on certain involuntary terminations of employment.</w:t>
      </w:r>
    </w:p>
    <w:p>
      <w:pPr>
        <w:spacing w:after="0" w:line="248" w:lineRule="exact"/>
        <w:rPr>
          <w:sz w:val="20"/>
          <w:szCs w:val="20"/>
          <w:color w:val="auto"/>
        </w:rPr>
      </w:pPr>
    </w:p>
    <w:p>
      <w:pPr>
        <w:spacing w:after="0" w:line="344" w:lineRule="auto"/>
        <w:rPr>
          <w:sz w:val="20"/>
          <w:szCs w:val="20"/>
          <w:color w:val="auto"/>
        </w:rPr>
      </w:pPr>
      <w:r>
        <w:rPr>
          <w:rFonts w:ascii="Arial" w:cs="Arial" w:eastAsia="Arial" w:hAnsi="Arial"/>
          <w:sz w:val="16"/>
          <w:szCs w:val="16"/>
          <w:color w:val="2D3243"/>
        </w:rPr>
        <w:t>Generally, the Compensation Committee seeks to allocate a significant portion of our NEOs’ target total direct compensation opportunity to elements that are performance-based and, therefore, “at risk,” including semi-annual cash incentives and PRSU awards. However, the Compensation Committee does not maintain formal policies for allocating between short-term and long-term compensation or between cash and non-cash compensation. Instead, the Compensation Committee maintains flexibility and adjusts different elements of compensation based upon its evaluation of our financial position (including cash needs), the impact 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46</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4" w:name="page55"/>
    <w:bookmarkEnd w:id="54"/>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2D3243"/>
        </w:rPr>
        <w:t>stockholder dilution, hiring and retention concerns, and consideration of the compensation level and mix paid by our compensation peer group.</w:t>
      </w:r>
    </w:p>
    <w:p>
      <w:pPr>
        <w:spacing w:after="0" w:line="235" w:lineRule="exact"/>
        <w:rPr>
          <w:sz w:val="20"/>
          <w:szCs w:val="20"/>
          <w:color w:val="auto"/>
        </w:rPr>
      </w:pPr>
    </w:p>
    <w:p>
      <w:pPr>
        <w:spacing w:after="0" w:line="367" w:lineRule="auto"/>
        <w:rPr>
          <w:sz w:val="20"/>
          <w:szCs w:val="20"/>
          <w:color w:val="auto"/>
        </w:rPr>
      </w:pPr>
      <w:r>
        <w:rPr>
          <w:rFonts w:ascii="Arial" w:cs="Arial" w:eastAsia="Arial" w:hAnsi="Arial"/>
          <w:sz w:val="16"/>
          <w:szCs w:val="16"/>
          <w:color w:val="2D3243"/>
        </w:rPr>
        <w:t>While compensation levels and weighting of performance goals may differ among our NEOs based on the role, responsibilities and performance of each individual, there are no material differences in the compensation philosophy, policies or practices among our NEOs, other than Daniel Burkland’s target annual cash bonus opportunity being weighted heavily on the achievement of bookings and bookings-related commissions goals (as described in more detail below).</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Role of Compensation Committee</w:t>
      </w:r>
    </w:p>
    <w:p>
      <w:pPr>
        <w:spacing w:after="0" w:line="93"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2D3243"/>
        </w:rPr>
        <w:t>The Compensation Committee is the primary architect of our executive compensation program. The Compensation Committee conducts an annual review of our executive compensation strategy to ensure that it is appropriately aligned with our business strategy, reflective of our compensation philosophy and designed to incentivize our executive officers to accomplish key corporate objectives. The Compensation Committee also reviews market trends and changes in compensation practices. Based on its review and assessment, the Compensation Committee approves annual changes in our executive compensation program.</w:t>
      </w:r>
    </w:p>
    <w:p>
      <w:pPr>
        <w:spacing w:after="0" w:line="124"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color w:val="2D3243"/>
        </w:rPr>
        <w:t>For 2023, the Compensation Committee reviewed and approved the compensation for each of our NEOs. The Compensation Committee also administered our equity compensation plans and evaluated the effectiveness of our overall executive compensation program. The Compensation Committee also reviewed competitive market data on the compensation arrangements for Andy Dignan, who was promoted to the role of Chief Operating Officer of the Company during 2023.</w:t>
      </w:r>
    </w:p>
    <w:p>
      <w:pPr>
        <w:spacing w:after="0" w:line="137" w:lineRule="exact"/>
        <w:rPr>
          <w:sz w:val="20"/>
          <w:szCs w:val="20"/>
          <w:color w:val="auto"/>
        </w:rPr>
      </w:pPr>
    </w:p>
    <w:p>
      <w:pPr>
        <w:ind w:right="320"/>
        <w:spacing w:after="0" w:line="374" w:lineRule="auto"/>
        <w:rPr>
          <w:sz w:val="20"/>
          <w:szCs w:val="20"/>
          <w:color w:val="auto"/>
        </w:rPr>
      </w:pPr>
      <w:r>
        <w:rPr>
          <w:rFonts w:ascii="Arial" w:cs="Arial" w:eastAsia="Arial" w:hAnsi="Arial"/>
          <w:sz w:val="16"/>
          <w:szCs w:val="16"/>
          <w:color w:val="2D3243"/>
        </w:rPr>
        <w:t>The Compensation Committee’s authority, duties and responsibilities are described in its charter, which is reviewed annually and revised and updated as warranted. The current charter, which was most recently re-adopted in February 2024, is available for review at http://investors.five9.com/governance.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Role of Executive Officers</w:t>
      </w:r>
    </w:p>
    <w:p>
      <w:pPr>
        <w:spacing w:after="0" w:line="93" w:lineRule="exact"/>
        <w:rPr>
          <w:sz w:val="20"/>
          <w:szCs w:val="20"/>
          <w:color w:val="auto"/>
        </w:rPr>
      </w:pPr>
    </w:p>
    <w:p>
      <w:pPr>
        <w:ind w:right="220"/>
        <w:spacing w:after="0" w:line="346" w:lineRule="auto"/>
        <w:rPr>
          <w:sz w:val="20"/>
          <w:szCs w:val="20"/>
          <w:color w:val="auto"/>
        </w:rPr>
      </w:pPr>
      <w:r>
        <w:rPr>
          <w:rFonts w:ascii="Arial" w:cs="Arial" w:eastAsia="Arial" w:hAnsi="Arial"/>
          <w:sz w:val="16"/>
          <w:szCs w:val="16"/>
          <w:color w:val="2D3243"/>
        </w:rPr>
        <w:t>In formulating its compensation decisions, the Compensation Committee meets with our Chief Executive Officer to obtain his feedback and recommendations with respect to the structure of our executive compensation program, as well as his assessment of the performance of each of the other executive officers (other than Mr. Daniel Burkland) and his recommendations on the compensation for each other executive officer (other than Mr. Daniel Burkland). In addition, our Chief Executive Officer and our human resources team develop recommendations for performance metrics and target award opportunities under our annual cash and long-term incentive compensation programs based on our annual operating plan, as well as provide information semi-annually regarding individual and Company performance.</w:t>
      </w:r>
    </w:p>
    <w:p>
      <w:pPr>
        <w:spacing w:after="0" w:line="123" w:lineRule="exact"/>
        <w:rPr>
          <w:sz w:val="20"/>
          <w:szCs w:val="20"/>
          <w:color w:val="auto"/>
        </w:rPr>
      </w:pPr>
    </w:p>
    <w:p>
      <w:pPr>
        <w:jc w:val="both"/>
        <w:ind w:right="220"/>
        <w:spacing w:after="0" w:line="353" w:lineRule="auto"/>
        <w:rPr>
          <w:sz w:val="20"/>
          <w:szCs w:val="20"/>
          <w:color w:val="auto"/>
        </w:rPr>
      </w:pPr>
      <w:r>
        <w:rPr>
          <w:rFonts w:ascii="Arial" w:cs="Arial" w:eastAsia="Arial" w:hAnsi="Arial"/>
          <w:sz w:val="16"/>
          <w:szCs w:val="16"/>
          <w:color w:val="2D3243"/>
        </w:rPr>
        <w:t>The Compensation Committee reviews and discusses these recommendations and proposals with our Chief Executive Officer and considers them as one factor in determining the compensation for our executive officers, including our other NEOs. Our Chief Executive Officer recuses himself from discussions, recommendations and decisions regarding his own compensation and compensation for Daniel Burkland (who is his brother) and is not present when his own or Daniel Burkland's compensation is determined.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Role of Compensation Consultant</w:t>
      </w:r>
    </w:p>
    <w:p>
      <w:pPr>
        <w:spacing w:after="0" w:line="93" w:lineRule="exact"/>
        <w:rPr>
          <w:sz w:val="20"/>
          <w:szCs w:val="20"/>
          <w:color w:val="auto"/>
        </w:rPr>
      </w:pPr>
    </w:p>
    <w:p>
      <w:pPr>
        <w:ind w:right="240"/>
        <w:spacing w:after="0" w:line="354" w:lineRule="auto"/>
        <w:rPr>
          <w:sz w:val="20"/>
          <w:szCs w:val="20"/>
          <w:color w:val="auto"/>
        </w:rPr>
      </w:pPr>
      <w:r>
        <w:rPr>
          <w:rFonts w:ascii="Arial" w:cs="Arial" w:eastAsia="Arial" w:hAnsi="Arial"/>
          <w:sz w:val="16"/>
          <w:szCs w:val="16"/>
          <w:color w:val="2D3243"/>
        </w:rPr>
        <w:t>The Compensation Committee has the authority to retain the services of external advisors, including compensation consultants, legal counsel, accounting and other advisors. During 2023, the Compensation Committee continued to directly engage Compensia as its advisor for executive officer and non-employee director compensation and broad-based equity compensation matters. More specifically, Compensia:</w:t>
      </w:r>
    </w:p>
    <w:p>
      <w:pPr>
        <w:spacing w:after="0" w:line="117" w:lineRule="exact"/>
        <w:rPr>
          <w:sz w:val="20"/>
          <w:szCs w:val="20"/>
          <w:color w:val="auto"/>
        </w:rPr>
      </w:pPr>
    </w:p>
    <w:p>
      <w:pPr>
        <w:ind w:left="620" w:hanging="288"/>
        <w:spacing w:after="0"/>
        <w:tabs>
          <w:tab w:leader="none" w:pos="620" w:val="left"/>
        </w:tabs>
        <w:numPr>
          <w:ilvl w:val="0"/>
          <w:numId w:val="41"/>
        </w:numPr>
        <w:rPr>
          <w:rFonts w:ascii="Arial" w:cs="Arial" w:eastAsia="Arial" w:hAnsi="Arial"/>
          <w:sz w:val="16"/>
          <w:szCs w:val="16"/>
          <w:color w:val="2D3243"/>
        </w:rPr>
      </w:pPr>
      <w:r>
        <w:rPr>
          <w:rFonts w:ascii="Arial" w:cs="Arial" w:eastAsia="Arial" w:hAnsi="Arial"/>
          <w:sz w:val="16"/>
          <w:szCs w:val="16"/>
          <w:color w:val="2D3243"/>
        </w:rPr>
        <w:t>reviewed and recommended updates to our compensation peer group;</w:t>
      </w:r>
    </w:p>
    <w:p>
      <w:pPr>
        <w:spacing w:after="0" w:line="140" w:lineRule="exact"/>
        <w:rPr>
          <w:rFonts w:ascii="Arial" w:cs="Arial" w:eastAsia="Arial" w:hAnsi="Arial"/>
          <w:sz w:val="16"/>
          <w:szCs w:val="16"/>
          <w:color w:val="2D3243"/>
        </w:rPr>
      </w:pPr>
    </w:p>
    <w:p>
      <w:pPr>
        <w:ind w:left="660" w:right="660" w:hanging="328"/>
        <w:spacing w:after="0" w:line="369" w:lineRule="auto"/>
        <w:tabs>
          <w:tab w:leader="none" w:pos="622" w:val="left"/>
        </w:tabs>
        <w:numPr>
          <w:ilvl w:val="0"/>
          <w:numId w:val="41"/>
        </w:numPr>
        <w:rPr>
          <w:rFonts w:ascii="Arial" w:cs="Arial" w:eastAsia="Arial" w:hAnsi="Arial"/>
          <w:sz w:val="16"/>
          <w:szCs w:val="16"/>
          <w:color w:val="2D3243"/>
        </w:rPr>
      </w:pPr>
      <w:r>
        <w:rPr>
          <w:rFonts w:ascii="Arial" w:cs="Arial" w:eastAsia="Arial" w:hAnsi="Arial"/>
          <w:sz w:val="16"/>
          <w:szCs w:val="16"/>
          <w:color w:val="2D3243"/>
        </w:rPr>
        <w:t>reviewed and provided competitive market data on executive officer and non-employee director cash and equity compensation for our 2023 compensation determinations;</w:t>
      </w:r>
    </w:p>
    <w:p>
      <w:pPr>
        <w:spacing w:after="0" w:line="1" w:lineRule="exact"/>
        <w:rPr>
          <w:rFonts w:ascii="Arial" w:cs="Arial" w:eastAsia="Arial" w:hAnsi="Arial"/>
          <w:sz w:val="16"/>
          <w:szCs w:val="16"/>
          <w:color w:val="2D3243"/>
        </w:rPr>
      </w:pPr>
    </w:p>
    <w:p>
      <w:pPr>
        <w:ind w:left="620" w:hanging="288"/>
        <w:spacing w:after="0"/>
        <w:tabs>
          <w:tab w:leader="none" w:pos="620" w:val="left"/>
        </w:tabs>
        <w:numPr>
          <w:ilvl w:val="0"/>
          <w:numId w:val="41"/>
        </w:numPr>
        <w:rPr>
          <w:rFonts w:ascii="Arial" w:cs="Arial" w:eastAsia="Arial" w:hAnsi="Arial"/>
          <w:sz w:val="16"/>
          <w:szCs w:val="16"/>
          <w:color w:val="2D3243"/>
        </w:rPr>
      </w:pPr>
      <w:r>
        <w:rPr>
          <w:rFonts w:ascii="Arial" w:cs="Arial" w:eastAsia="Arial" w:hAnsi="Arial"/>
          <w:sz w:val="16"/>
          <w:szCs w:val="16"/>
          <w:color w:val="2D3243"/>
        </w:rPr>
        <w:t>reviewed and provided recommendations on an equity strategy and the development of equity grant guidelines; and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47</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5" w:name="page56"/>
    <w:bookmarkEnd w:id="55"/>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20" w:hanging="288"/>
        <w:spacing w:after="0"/>
        <w:tabs>
          <w:tab w:leader="none" w:pos="620" w:val="left"/>
        </w:tabs>
        <w:numPr>
          <w:ilvl w:val="0"/>
          <w:numId w:val="42"/>
        </w:numPr>
        <w:rPr>
          <w:rFonts w:ascii="Arial" w:cs="Arial" w:eastAsia="Arial" w:hAnsi="Arial"/>
          <w:sz w:val="16"/>
          <w:szCs w:val="16"/>
          <w:color w:val="2D3243"/>
        </w:rPr>
      </w:pPr>
      <w:r>
        <w:rPr>
          <w:rFonts w:ascii="Arial" w:cs="Arial" w:eastAsia="Arial" w:hAnsi="Arial"/>
          <w:sz w:val="16"/>
          <w:szCs w:val="16"/>
          <w:color w:val="2D3243"/>
        </w:rPr>
        <w:t>reviewed and provided comments on the Compensation Discussion &amp; Analysis section of our Proxy Statement for 2023.</w:t>
      </w:r>
    </w:p>
    <w:p>
      <w:pPr>
        <w:spacing w:after="0" w:line="235" w:lineRule="exact"/>
        <w:rPr>
          <w:sz w:val="20"/>
          <w:szCs w:val="20"/>
          <w:color w:val="auto"/>
        </w:rPr>
      </w:pPr>
    </w:p>
    <w:p>
      <w:pPr>
        <w:ind w:right="60"/>
        <w:spacing w:after="0" w:line="363" w:lineRule="auto"/>
        <w:rPr>
          <w:sz w:val="20"/>
          <w:szCs w:val="20"/>
          <w:color w:val="auto"/>
        </w:rPr>
      </w:pPr>
      <w:r>
        <w:rPr>
          <w:rFonts w:ascii="Arial" w:cs="Arial" w:eastAsia="Arial" w:hAnsi="Arial"/>
          <w:sz w:val="16"/>
          <w:szCs w:val="16"/>
          <w:color w:val="2D3243"/>
        </w:rPr>
        <w:t>In 2023, the Compensation Committee considered the independence of Compensia in light of the listing standards of NASDAQ on compensation committee independence and the rules of the Securities and Exchange Commission. Based on these standards and rules, the Compensation Committee concluded that the work performed by Compensia did not raise a conflict of interest.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Competitive Positioning</w:t>
      </w:r>
    </w:p>
    <w:p>
      <w:pPr>
        <w:spacing w:after="0" w:line="93"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color w:val="2D3243"/>
        </w:rPr>
        <w:t>In July 2022, with the assistance of Compensia, the Compensation Committee reviewed and updated our compensation peer group to reflect changes in our market capitalization, recognize our evolving business focus, and account for acquisitions of former peer companies. The compensation peer group described below was utilized when determining the compensation of our executive officers for 2023. The companies in this updated compensation peer group were selected on the basis of their similarity to us, based on the following criteria:</w:t>
      </w:r>
    </w:p>
    <w:p>
      <w:pPr>
        <w:spacing w:after="0" w:line="137" w:lineRule="exact"/>
        <w:rPr>
          <w:sz w:val="20"/>
          <w:szCs w:val="20"/>
          <w:color w:val="auto"/>
        </w:rPr>
      </w:pPr>
    </w:p>
    <w:p>
      <w:pPr>
        <w:ind w:left="660" w:right="140" w:hanging="328"/>
        <w:spacing w:after="0" w:line="369" w:lineRule="auto"/>
        <w:tabs>
          <w:tab w:leader="none" w:pos="622" w:val="left"/>
        </w:tabs>
        <w:numPr>
          <w:ilvl w:val="0"/>
          <w:numId w:val="43"/>
        </w:numPr>
        <w:rPr>
          <w:rFonts w:ascii="Arial" w:cs="Arial" w:eastAsia="Arial" w:hAnsi="Arial"/>
          <w:sz w:val="16"/>
          <w:szCs w:val="16"/>
          <w:color w:val="2D3243"/>
        </w:rPr>
      </w:pPr>
      <w:r>
        <w:rPr>
          <w:rFonts w:ascii="Arial" w:cs="Arial" w:eastAsia="Arial" w:hAnsi="Arial"/>
          <w:sz w:val="16"/>
          <w:szCs w:val="16"/>
          <w:color w:val="2D3243"/>
        </w:rPr>
        <w:t>similar revenue size - ~0.5x to ~2.0x our last four quarter revenue of approximately $654 million as of the first quarter of 2022 (approximately $330 million to approximately $1.3 billion);</w:t>
      </w:r>
    </w:p>
    <w:p>
      <w:pPr>
        <w:spacing w:after="0" w:line="1" w:lineRule="exact"/>
        <w:rPr>
          <w:rFonts w:ascii="Arial" w:cs="Arial" w:eastAsia="Arial" w:hAnsi="Arial"/>
          <w:sz w:val="16"/>
          <w:szCs w:val="16"/>
          <w:color w:val="2D3243"/>
        </w:rPr>
      </w:pPr>
    </w:p>
    <w:p>
      <w:pPr>
        <w:ind w:left="660" w:right="80" w:hanging="328"/>
        <w:spacing w:after="0" w:line="369" w:lineRule="auto"/>
        <w:tabs>
          <w:tab w:leader="none" w:pos="622" w:val="left"/>
        </w:tabs>
        <w:numPr>
          <w:ilvl w:val="0"/>
          <w:numId w:val="43"/>
        </w:numPr>
        <w:rPr>
          <w:rFonts w:ascii="Arial" w:cs="Arial" w:eastAsia="Arial" w:hAnsi="Arial"/>
          <w:sz w:val="16"/>
          <w:szCs w:val="16"/>
          <w:color w:val="2D3243"/>
        </w:rPr>
      </w:pPr>
      <w:r>
        <w:rPr>
          <w:rFonts w:ascii="Arial" w:cs="Arial" w:eastAsia="Arial" w:hAnsi="Arial"/>
          <w:sz w:val="16"/>
          <w:szCs w:val="16"/>
          <w:color w:val="2D3243"/>
        </w:rPr>
        <w:t>similar market capitalization - ~0.33x to ~3.0x our market capitalization of approximately $6.6 billion as of July 1, 2022 (approximately $2.2 billion to approximately $20.0 billion);</w:t>
      </w:r>
    </w:p>
    <w:p>
      <w:pPr>
        <w:spacing w:after="0" w:line="1" w:lineRule="exact"/>
        <w:rPr>
          <w:rFonts w:ascii="Arial" w:cs="Arial" w:eastAsia="Arial" w:hAnsi="Arial"/>
          <w:sz w:val="16"/>
          <w:szCs w:val="16"/>
          <w:color w:val="2D3243"/>
        </w:rPr>
      </w:pPr>
    </w:p>
    <w:p>
      <w:pPr>
        <w:ind w:left="620" w:hanging="288"/>
        <w:spacing w:after="0"/>
        <w:tabs>
          <w:tab w:leader="none" w:pos="620" w:val="left"/>
        </w:tabs>
        <w:numPr>
          <w:ilvl w:val="0"/>
          <w:numId w:val="43"/>
        </w:numPr>
        <w:rPr>
          <w:rFonts w:ascii="Arial" w:cs="Arial" w:eastAsia="Arial" w:hAnsi="Arial"/>
          <w:sz w:val="16"/>
          <w:szCs w:val="16"/>
          <w:color w:val="2D3243"/>
        </w:rPr>
      </w:pPr>
      <w:r>
        <w:rPr>
          <w:rFonts w:ascii="Arial" w:cs="Arial" w:eastAsia="Arial" w:hAnsi="Arial"/>
          <w:sz w:val="16"/>
          <w:szCs w:val="16"/>
          <w:color w:val="2D3243"/>
        </w:rPr>
        <w:t>Industry - SaaS companies;</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43"/>
        </w:numPr>
        <w:rPr>
          <w:rFonts w:ascii="Arial" w:cs="Arial" w:eastAsia="Arial" w:hAnsi="Arial"/>
          <w:sz w:val="16"/>
          <w:szCs w:val="16"/>
          <w:color w:val="2D3243"/>
        </w:rPr>
      </w:pPr>
      <w:r>
        <w:rPr>
          <w:rFonts w:ascii="Arial" w:cs="Arial" w:eastAsia="Arial" w:hAnsi="Arial"/>
          <w:sz w:val="16"/>
          <w:szCs w:val="16"/>
          <w:color w:val="2D3243"/>
        </w:rPr>
        <w:t>executive positions similar in breadth, complexity and/or scope of responsibility; and</w:t>
      </w:r>
    </w:p>
    <w:p>
      <w:pPr>
        <w:spacing w:after="0" w:line="140" w:lineRule="exact"/>
        <w:rPr>
          <w:rFonts w:ascii="Arial" w:cs="Arial" w:eastAsia="Arial" w:hAnsi="Arial"/>
          <w:sz w:val="16"/>
          <w:szCs w:val="16"/>
          <w:color w:val="2D3243"/>
        </w:rPr>
      </w:pPr>
    </w:p>
    <w:p>
      <w:pPr>
        <w:ind w:left="620" w:hanging="288"/>
        <w:spacing w:after="0"/>
        <w:tabs>
          <w:tab w:leader="none" w:pos="620" w:val="left"/>
        </w:tabs>
        <w:numPr>
          <w:ilvl w:val="0"/>
          <w:numId w:val="43"/>
        </w:numPr>
        <w:rPr>
          <w:rFonts w:ascii="Arial" w:cs="Arial" w:eastAsia="Arial" w:hAnsi="Arial"/>
          <w:sz w:val="16"/>
          <w:szCs w:val="16"/>
          <w:color w:val="2D3243"/>
        </w:rPr>
      </w:pPr>
      <w:r>
        <w:rPr>
          <w:rFonts w:ascii="Arial" w:cs="Arial" w:eastAsia="Arial" w:hAnsi="Arial"/>
          <w:sz w:val="16"/>
          <w:szCs w:val="16"/>
          <w:color w:val="2D3243"/>
        </w:rPr>
        <w:t>competitors for executive talent.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D3243"/>
        </w:rPr>
        <w:t>As a result, the Compensation Committee approved an updated compensation peer group consisting of the following companies: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ind w:left="100"/>
              <w:spacing w:after="0"/>
              <w:rPr>
                <w:sz w:val="20"/>
                <w:szCs w:val="20"/>
                <w:color w:val="auto"/>
              </w:rPr>
            </w:pPr>
            <w:r>
              <w:rPr>
                <w:rFonts w:ascii="Arial" w:cs="Arial" w:eastAsia="Arial" w:hAnsi="Arial"/>
                <w:sz w:val="14"/>
                <w:szCs w:val="14"/>
                <w:color w:val="2D3243"/>
              </w:rPr>
              <w:t>Alteryx</w:t>
            </w:r>
          </w:p>
        </w:tc>
        <w:tc>
          <w:tcPr>
            <w:tcW w:w="3360" w:type="dxa"/>
            <w:vAlign w:val="bottom"/>
          </w:tcPr>
          <w:p>
            <w:pPr>
              <w:ind w:left="1340"/>
              <w:spacing w:after="0"/>
              <w:rPr>
                <w:sz w:val="20"/>
                <w:szCs w:val="20"/>
                <w:color w:val="auto"/>
              </w:rPr>
            </w:pPr>
            <w:r>
              <w:rPr>
                <w:rFonts w:ascii="Arial" w:cs="Arial" w:eastAsia="Arial" w:hAnsi="Arial"/>
                <w:sz w:val="14"/>
                <w:szCs w:val="14"/>
                <w:color w:val="2D3243"/>
              </w:rPr>
              <w:t>Dynatrace</w:t>
            </w:r>
          </w:p>
        </w:tc>
        <w:tc>
          <w:tcPr>
            <w:tcW w:w="4420" w:type="dxa"/>
            <w:vAlign w:val="bottom"/>
          </w:tcPr>
          <w:p>
            <w:pPr>
              <w:ind w:left="1200"/>
              <w:spacing w:after="0"/>
              <w:rPr>
                <w:sz w:val="20"/>
                <w:szCs w:val="20"/>
                <w:color w:val="auto"/>
              </w:rPr>
            </w:pPr>
            <w:r>
              <w:rPr>
                <w:rFonts w:ascii="Arial" w:cs="Arial" w:eastAsia="Arial" w:hAnsi="Arial"/>
                <w:sz w:val="14"/>
                <w:szCs w:val="14"/>
                <w:color w:val="2D3243"/>
              </w:rPr>
              <w:t>Rapid7</w:t>
            </w:r>
          </w:p>
        </w:tc>
      </w:tr>
      <w:tr>
        <w:trPr>
          <w:trHeight w:val="22"/>
        </w:trPr>
        <w:tc>
          <w:tcPr>
            <w:tcW w:w="2600" w:type="dxa"/>
            <w:vAlign w:val="bottom"/>
            <w:tcBorders>
              <w:bottom w:val="single" w:sz="8" w:color="81848E"/>
            </w:tcBorders>
          </w:tcPr>
          <w:p>
            <w:pPr>
              <w:spacing w:after="0" w:line="20" w:lineRule="exact"/>
              <w:rPr>
                <w:sz w:val="1"/>
                <w:szCs w:val="1"/>
                <w:color w:val="auto"/>
              </w:rPr>
            </w:pPr>
          </w:p>
        </w:tc>
        <w:tc>
          <w:tcPr>
            <w:tcW w:w="3360" w:type="dxa"/>
            <w:vAlign w:val="bottom"/>
            <w:tcBorders>
              <w:bottom w:val="single" w:sz="8" w:color="81848E"/>
            </w:tcBorders>
          </w:tcPr>
          <w:p>
            <w:pPr>
              <w:spacing w:after="0" w:line="20" w:lineRule="exact"/>
              <w:rPr>
                <w:sz w:val="1"/>
                <w:szCs w:val="1"/>
                <w:color w:val="auto"/>
              </w:rPr>
            </w:pPr>
          </w:p>
        </w:tc>
        <w:tc>
          <w:tcPr>
            <w:tcW w:w="4420" w:type="dxa"/>
            <w:vAlign w:val="bottom"/>
            <w:tcBorders>
              <w:bottom w:val="single" w:sz="8" w:color="81848E"/>
            </w:tcBorders>
          </w:tcPr>
          <w:p>
            <w:pPr>
              <w:spacing w:after="0" w:line="20" w:lineRule="exact"/>
              <w:rPr>
                <w:sz w:val="1"/>
                <w:szCs w:val="1"/>
                <w:color w:val="auto"/>
              </w:rPr>
            </w:pPr>
          </w:p>
        </w:tc>
      </w:tr>
      <w:tr>
        <w:trPr>
          <w:trHeight w:val="201"/>
        </w:trPr>
        <w:tc>
          <w:tcPr>
            <w:tcW w:w="2600" w:type="dxa"/>
            <w:vAlign w:val="bottom"/>
          </w:tcPr>
          <w:p>
            <w:pPr>
              <w:ind w:left="100"/>
              <w:spacing w:after="0"/>
              <w:rPr>
                <w:sz w:val="20"/>
                <w:szCs w:val="20"/>
                <w:color w:val="auto"/>
              </w:rPr>
            </w:pPr>
            <w:r>
              <w:rPr>
                <w:rFonts w:ascii="Arial" w:cs="Arial" w:eastAsia="Arial" w:hAnsi="Arial"/>
                <w:sz w:val="14"/>
                <w:szCs w:val="14"/>
                <w:color w:val="2D3243"/>
              </w:rPr>
              <w:t>AppFolio</w:t>
            </w:r>
          </w:p>
        </w:tc>
        <w:tc>
          <w:tcPr>
            <w:tcW w:w="3360" w:type="dxa"/>
            <w:vAlign w:val="bottom"/>
          </w:tcPr>
          <w:p>
            <w:pPr>
              <w:ind w:left="1340"/>
              <w:spacing w:after="0"/>
              <w:rPr>
                <w:sz w:val="20"/>
                <w:szCs w:val="20"/>
                <w:color w:val="auto"/>
              </w:rPr>
            </w:pPr>
            <w:r>
              <w:rPr>
                <w:rFonts w:ascii="Arial" w:cs="Arial" w:eastAsia="Arial" w:hAnsi="Arial"/>
                <w:sz w:val="14"/>
                <w:szCs w:val="14"/>
                <w:color w:val="2D3243"/>
              </w:rPr>
              <w:t>Elastic N.V.</w:t>
            </w:r>
          </w:p>
        </w:tc>
        <w:tc>
          <w:tcPr>
            <w:tcW w:w="4420" w:type="dxa"/>
            <w:vAlign w:val="bottom"/>
          </w:tcPr>
          <w:p>
            <w:pPr>
              <w:ind w:left="1200"/>
              <w:spacing w:after="0"/>
              <w:rPr>
                <w:sz w:val="20"/>
                <w:szCs w:val="20"/>
                <w:color w:val="auto"/>
              </w:rPr>
            </w:pPr>
            <w:r>
              <w:rPr>
                <w:rFonts w:ascii="Arial" w:cs="Arial" w:eastAsia="Arial" w:hAnsi="Arial"/>
                <w:sz w:val="14"/>
                <w:szCs w:val="14"/>
                <w:color w:val="2D3243"/>
              </w:rPr>
              <w:t>RingCentral</w:t>
            </w:r>
          </w:p>
        </w:tc>
      </w:tr>
      <w:tr>
        <w:trPr>
          <w:trHeight w:val="22"/>
        </w:trPr>
        <w:tc>
          <w:tcPr>
            <w:tcW w:w="2600" w:type="dxa"/>
            <w:vAlign w:val="bottom"/>
            <w:tcBorders>
              <w:bottom w:val="single" w:sz="8" w:color="81848E"/>
            </w:tcBorders>
          </w:tcPr>
          <w:p>
            <w:pPr>
              <w:spacing w:after="0" w:line="20" w:lineRule="exact"/>
              <w:rPr>
                <w:sz w:val="1"/>
                <w:szCs w:val="1"/>
                <w:color w:val="auto"/>
              </w:rPr>
            </w:pPr>
          </w:p>
        </w:tc>
        <w:tc>
          <w:tcPr>
            <w:tcW w:w="3360" w:type="dxa"/>
            <w:vAlign w:val="bottom"/>
            <w:tcBorders>
              <w:bottom w:val="single" w:sz="8" w:color="81848E"/>
            </w:tcBorders>
          </w:tcPr>
          <w:p>
            <w:pPr>
              <w:spacing w:after="0" w:line="20" w:lineRule="exact"/>
              <w:rPr>
                <w:sz w:val="1"/>
                <w:szCs w:val="1"/>
                <w:color w:val="auto"/>
              </w:rPr>
            </w:pPr>
          </w:p>
        </w:tc>
        <w:tc>
          <w:tcPr>
            <w:tcW w:w="4420" w:type="dxa"/>
            <w:vAlign w:val="bottom"/>
            <w:tcBorders>
              <w:bottom w:val="single" w:sz="8" w:color="81848E"/>
            </w:tcBorders>
          </w:tcPr>
          <w:p>
            <w:pPr>
              <w:spacing w:after="0" w:line="20" w:lineRule="exact"/>
              <w:rPr>
                <w:sz w:val="1"/>
                <w:szCs w:val="1"/>
                <w:color w:val="auto"/>
              </w:rPr>
            </w:pPr>
          </w:p>
        </w:tc>
      </w:tr>
      <w:tr>
        <w:trPr>
          <w:trHeight w:val="223"/>
        </w:trPr>
        <w:tc>
          <w:tcPr>
            <w:tcW w:w="2600" w:type="dxa"/>
            <w:vAlign w:val="bottom"/>
            <w:tcBorders>
              <w:bottom w:val="single" w:sz="8" w:color="81848E"/>
            </w:tcBorders>
          </w:tcPr>
          <w:p>
            <w:pPr>
              <w:ind w:left="100"/>
              <w:spacing w:after="0"/>
              <w:rPr>
                <w:sz w:val="20"/>
                <w:szCs w:val="20"/>
                <w:color w:val="auto"/>
              </w:rPr>
            </w:pPr>
            <w:r>
              <w:rPr>
                <w:rFonts w:ascii="Arial" w:cs="Arial" w:eastAsia="Arial" w:hAnsi="Arial"/>
                <w:sz w:val="14"/>
                <w:szCs w:val="14"/>
                <w:color w:val="2D3243"/>
              </w:rPr>
              <w:t>Avalara</w:t>
            </w:r>
            <w:r>
              <w:rPr>
                <w:rFonts w:ascii="Arial" w:cs="Arial" w:eastAsia="Arial" w:hAnsi="Arial"/>
                <w:sz w:val="18"/>
                <w:szCs w:val="18"/>
                <w:color w:val="2D3243"/>
                <w:vertAlign w:val="superscript"/>
              </w:rPr>
              <w:t>(1)</w:t>
            </w:r>
          </w:p>
        </w:tc>
        <w:tc>
          <w:tcPr>
            <w:tcW w:w="3360" w:type="dxa"/>
            <w:vAlign w:val="bottom"/>
            <w:tcBorders>
              <w:bottom w:val="single" w:sz="8" w:color="81848E"/>
            </w:tcBorders>
          </w:tcPr>
          <w:p>
            <w:pPr>
              <w:ind w:left="1340"/>
              <w:spacing w:after="0"/>
              <w:rPr>
                <w:sz w:val="20"/>
                <w:szCs w:val="20"/>
                <w:color w:val="auto"/>
              </w:rPr>
            </w:pPr>
            <w:r>
              <w:rPr>
                <w:rFonts w:ascii="Arial" w:cs="Arial" w:eastAsia="Arial" w:hAnsi="Arial"/>
                <w:sz w:val="14"/>
                <w:szCs w:val="14"/>
                <w:color w:val="2D3243"/>
              </w:rPr>
              <w:t>HubSpot</w:t>
            </w:r>
          </w:p>
        </w:tc>
        <w:tc>
          <w:tcPr>
            <w:tcW w:w="4420" w:type="dxa"/>
            <w:vAlign w:val="bottom"/>
            <w:tcBorders>
              <w:bottom w:val="single" w:sz="8" w:color="81848E"/>
            </w:tcBorders>
          </w:tcPr>
          <w:p>
            <w:pPr>
              <w:ind w:left="1200"/>
              <w:spacing w:after="0"/>
              <w:rPr>
                <w:sz w:val="20"/>
                <w:szCs w:val="20"/>
                <w:color w:val="auto"/>
              </w:rPr>
            </w:pPr>
            <w:r>
              <w:rPr>
                <w:rFonts w:ascii="Arial" w:cs="Arial" w:eastAsia="Arial" w:hAnsi="Arial"/>
                <w:sz w:val="14"/>
                <w:szCs w:val="14"/>
                <w:color w:val="2D3243"/>
              </w:rPr>
              <w:t>Smartsheet</w:t>
            </w:r>
          </w:p>
        </w:tc>
      </w:tr>
      <w:tr>
        <w:trPr>
          <w:trHeight w:val="201"/>
        </w:trPr>
        <w:tc>
          <w:tcPr>
            <w:tcW w:w="2600" w:type="dxa"/>
            <w:vAlign w:val="bottom"/>
          </w:tcPr>
          <w:p>
            <w:pPr>
              <w:ind w:left="100"/>
              <w:spacing w:after="0"/>
              <w:rPr>
                <w:sz w:val="20"/>
                <w:szCs w:val="20"/>
                <w:color w:val="auto"/>
              </w:rPr>
            </w:pPr>
            <w:r>
              <w:rPr>
                <w:rFonts w:ascii="Arial" w:cs="Arial" w:eastAsia="Arial" w:hAnsi="Arial"/>
                <w:sz w:val="14"/>
                <w:szCs w:val="14"/>
                <w:color w:val="2D3243"/>
              </w:rPr>
              <w:t>Bill.com</w:t>
            </w:r>
          </w:p>
        </w:tc>
        <w:tc>
          <w:tcPr>
            <w:tcW w:w="3360" w:type="dxa"/>
            <w:vAlign w:val="bottom"/>
          </w:tcPr>
          <w:p>
            <w:pPr>
              <w:ind w:left="1340"/>
              <w:spacing w:after="0"/>
              <w:rPr>
                <w:sz w:val="20"/>
                <w:szCs w:val="20"/>
                <w:color w:val="auto"/>
              </w:rPr>
            </w:pPr>
            <w:r>
              <w:rPr>
                <w:rFonts w:ascii="Arial" w:cs="Arial" w:eastAsia="Arial" w:hAnsi="Arial"/>
                <w:sz w:val="14"/>
                <w:szCs w:val="14"/>
                <w:color w:val="2D3243"/>
              </w:rPr>
              <w:t>MongoDB</w:t>
            </w:r>
          </w:p>
        </w:tc>
        <w:tc>
          <w:tcPr>
            <w:tcW w:w="4420" w:type="dxa"/>
            <w:vAlign w:val="bottom"/>
          </w:tcPr>
          <w:p>
            <w:pPr>
              <w:ind w:left="1200"/>
              <w:spacing w:after="0"/>
              <w:rPr>
                <w:sz w:val="20"/>
                <w:szCs w:val="20"/>
                <w:color w:val="auto"/>
              </w:rPr>
            </w:pPr>
            <w:r>
              <w:rPr>
                <w:rFonts w:ascii="Arial" w:cs="Arial" w:eastAsia="Arial" w:hAnsi="Arial"/>
                <w:sz w:val="14"/>
                <w:szCs w:val="14"/>
                <w:color w:val="2D3243"/>
              </w:rPr>
              <w:t>The Trade Desk</w:t>
            </w:r>
          </w:p>
        </w:tc>
      </w:tr>
      <w:tr>
        <w:trPr>
          <w:trHeight w:val="22"/>
        </w:trPr>
        <w:tc>
          <w:tcPr>
            <w:tcW w:w="2600" w:type="dxa"/>
            <w:vAlign w:val="bottom"/>
            <w:tcBorders>
              <w:bottom w:val="single" w:sz="8" w:color="81848E"/>
            </w:tcBorders>
          </w:tcPr>
          <w:p>
            <w:pPr>
              <w:spacing w:after="0" w:line="20" w:lineRule="exact"/>
              <w:rPr>
                <w:sz w:val="1"/>
                <w:szCs w:val="1"/>
                <w:color w:val="auto"/>
              </w:rPr>
            </w:pPr>
          </w:p>
        </w:tc>
        <w:tc>
          <w:tcPr>
            <w:tcW w:w="3360" w:type="dxa"/>
            <w:vAlign w:val="bottom"/>
            <w:tcBorders>
              <w:bottom w:val="single" w:sz="8" w:color="81848E"/>
            </w:tcBorders>
          </w:tcPr>
          <w:p>
            <w:pPr>
              <w:spacing w:after="0" w:line="20" w:lineRule="exact"/>
              <w:rPr>
                <w:sz w:val="1"/>
                <w:szCs w:val="1"/>
                <w:color w:val="auto"/>
              </w:rPr>
            </w:pPr>
          </w:p>
        </w:tc>
        <w:tc>
          <w:tcPr>
            <w:tcW w:w="4420" w:type="dxa"/>
            <w:vAlign w:val="bottom"/>
            <w:tcBorders>
              <w:bottom w:val="single" w:sz="8" w:color="81848E"/>
            </w:tcBorders>
          </w:tcPr>
          <w:p>
            <w:pPr>
              <w:spacing w:after="0" w:line="20" w:lineRule="exact"/>
              <w:rPr>
                <w:sz w:val="1"/>
                <w:szCs w:val="1"/>
                <w:color w:val="auto"/>
              </w:rPr>
            </w:pPr>
          </w:p>
        </w:tc>
      </w:tr>
      <w:tr>
        <w:trPr>
          <w:trHeight w:val="202"/>
        </w:trPr>
        <w:tc>
          <w:tcPr>
            <w:tcW w:w="2600" w:type="dxa"/>
            <w:vAlign w:val="bottom"/>
          </w:tcPr>
          <w:p>
            <w:pPr>
              <w:ind w:left="100"/>
              <w:spacing w:after="0"/>
              <w:rPr>
                <w:sz w:val="20"/>
                <w:szCs w:val="20"/>
                <w:color w:val="auto"/>
              </w:rPr>
            </w:pPr>
            <w:r>
              <w:rPr>
                <w:rFonts w:ascii="Arial" w:cs="Arial" w:eastAsia="Arial" w:hAnsi="Arial"/>
                <w:sz w:val="14"/>
                <w:szCs w:val="14"/>
                <w:color w:val="2D3243"/>
              </w:rPr>
              <w:t>Blackline</w:t>
            </w:r>
          </w:p>
        </w:tc>
        <w:tc>
          <w:tcPr>
            <w:tcW w:w="3360" w:type="dxa"/>
            <w:vAlign w:val="bottom"/>
          </w:tcPr>
          <w:p>
            <w:pPr>
              <w:ind w:left="1340"/>
              <w:spacing w:after="0"/>
              <w:rPr>
                <w:sz w:val="20"/>
                <w:szCs w:val="20"/>
                <w:color w:val="auto"/>
              </w:rPr>
            </w:pPr>
            <w:r>
              <w:rPr>
                <w:rFonts w:ascii="Arial" w:cs="Arial" w:eastAsia="Arial" w:hAnsi="Arial"/>
                <w:sz w:val="14"/>
                <w:szCs w:val="14"/>
                <w:color w:val="2D3243"/>
              </w:rPr>
              <w:t>New Relic</w:t>
            </w:r>
          </w:p>
        </w:tc>
        <w:tc>
          <w:tcPr>
            <w:tcW w:w="4420" w:type="dxa"/>
            <w:vAlign w:val="bottom"/>
          </w:tcPr>
          <w:p>
            <w:pPr>
              <w:ind w:left="1200"/>
              <w:spacing w:after="0"/>
              <w:rPr>
                <w:sz w:val="20"/>
                <w:szCs w:val="20"/>
                <w:color w:val="auto"/>
              </w:rPr>
            </w:pPr>
            <w:r>
              <w:rPr>
                <w:rFonts w:ascii="Arial" w:cs="Arial" w:eastAsia="Arial" w:hAnsi="Arial"/>
                <w:sz w:val="14"/>
                <w:szCs w:val="14"/>
                <w:color w:val="2D3243"/>
              </w:rPr>
              <w:t>Zscaler</w:t>
            </w:r>
          </w:p>
        </w:tc>
      </w:tr>
      <w:tr>
        <w:trPr>
          <w:trHeight w:val="22"/>
        </w:trPr>
        <w:tc>
          <w:tcPr>
            <w:tcW w:w="2600" w:type="dxa"/>
            <w:vAlign w:val="bottom"/>
            <w:tcBorders>
              <w:bottom w:val="single" w:sz="8" w:color="81848E"/>
            </w:tcBorders>
          </w:tcPr>
          <w:p>
            <w:pPr>
              <w:spacing w:after="0" w:line="20" w:lineRule="exact"/>
              <w:rPr>
                <w:sz w:val="1"/>
                <w:szCs w:val="1"/>
                <w:color w:val="auto"/>
              </w:rPr>
            </w:pPr>
          </w:p>
        </w:tc>
        <w:tc>
          <w:tcPr>
            <w:tcW w:w="3360" w:type="dxa"/>
            <w:vAlign w:val="bottom"/>
            <w:tcBorders>
              <w:bottom w:val="single" w:sz="8" w:color="81848E"/>
            </w:tcBorders>
          </w:tcPr>
          <w:p>
            <w:pPr>
              <w:spacing w:after="0" w:line="20" w:lineRule="exact"/>
              <w:rPr>
                <w:sz w:val="1"/>
                <w:szCs w:val="1"/>
                <w:color w:val="auto"/>
              </w:rPr>
            </w:pPr>
          </w:p>
        </w:tc>
        <w:tc>
          <w:tcPr>
            <w:tcW w:w="4420" w:type="dxa"/>
            <w:vAlign w:val="bottom"/>
            <w:tcBorders>
              <w:bottom w:val="single" w:sz="8" w:color="81848E"/>
            </w:tcBorders>
          </w:tcPr>
          <w:p>
            <w:pPr>
              <w:spacing w:after="0" w:line="20" w:lineRule="exact"/>
              <w:rPr>
                <w:sz w:val="1"/>
                <w:szCs w:val="1"/>
                <w:color w:val="auto"/>
              </w:rPr>
            </w:pPr>
          </w:p>
        </w:tc>
      </w:tr>
      <w:tr>
        <w:trPr>
          <w:trHeight w:val="201"/>
        </w:trPr>
        <w:tc>
          <w:tcPr>
            <w:tcW w:w="2600" w:type="dxa"/>
            <w:vAlign w:val="bottom"/>
          </w:tcPr>
          <w:p>
            <w:pPr>
              <w:ind w:left="100"/>
              <w:spacing w:after="0"/>
              <w:rPr>
                <w:sz w:val="20"/>
                <w:szCs w:val="20"/>
                <w:color w:val="auto"/>
              </w:rPr>
            </w:pPr>
            <w:r>
              <w:rPr>
                <w:rFonts w:ascii="Arial" w:cs="Arial" w:eastAsia="Arial" w:hAnsi="Arial"/>
                <w:sz w:val="14"/>
                <w:szCs w:val="14"/>
                <w:color w:val="2D3243"/>
              </w:rPr>
              <w:t>Cloudflare</w:t>
            </w:r>
          </w:p>
        </w:tc>
        <w:tc>
          <w:tcPr>
            <w:tcW w:w="3360" w:type="dxa"/>
            <w:vAlign w:val="bottom"/>
          </w:tcPr>
          <w:p>
            <w:pPr>
              <w:ind w:left="1340"/>
              <w:spacing w:after="0"/>
              <w:rPr>
                <w:sz w:val="20"/>
                <w:szCs w:val="20"/>
                <w:color w:val="auto"/>
              </w:rPr>
            </w:pPr>
            <w:r>
              <w:rPr>
                <w:rFonts w:ascii="Arial" w:cs="Arial" w:eastAsia="Arial" w:hAnsi="Arial"/>
                <w:sz w:val="14"/>
                <w:szCs w:val="14"/>
                <w:color w:val="2D3243"/>
              </w:rPr>
              <w:t>Q2 Holdings</w:t>
            </w:r>
          </w:p>
        </w:tc>
        <w:tc>
          <w:tcPr>
            <w:tcW w:w="4420" w:type="dxa"/>
            <w:vAlign w:val="bottom"/>
          </w:tcPr>
          <w:p>
            <w:pPr>
              <w:spacing w:after="0"/>
              <w:rPr>
                <w:sz w:val="17"/>
                <w:szCs w:val="17"/>
                <w:color w:val="auto"/>
              </w:rPr>
            </w:pPr>
          </w:p>
        </w:tc>
      </w:tr>
      <w:tr>
        <w:trPr>
          <w:trHeight w:val="22"/>
        </w:trPr>
        <w:tc>
          <w:tcPr>
            <w:tcW w:w="2600" w:type="dxa"/>
            <w:vAlign w:val="bottom"/>
            <w:tcBorders>
              <w:bottom w:val="single" w:sz="8" w:color="81848E"/>
            </w:tcBorders>
          </w:tcPr>
          <w:p>
            <w:pPr>
              <w:spacing w:after="0" w:line="20" w:lineRule="exact"/>
              <w:rPr>
                <w:sz w:val="1"/>
                <w:szCs w:val="1"/>
                <w:color w:val="auto"/>
              </w:rPr>
            </w:pPr>
          </w:p>
        </w:tc>
        <w:tc>
          <w:tcPr>
            <w:tcW w:w="3360" w:type="dxa"/>
            <w:vAlign w:val="bottom"/>
            <w:tcBorders>
              <w:bottom w:val="single" w:sz="8" w:color="81848E"/>
            </w:tcBorders>
          </w:tcPr>
          <w:p>
            <w:pPr>
              <w:spacing w:after="0" w:line="20" w:lineRule="exact"/>
              <w:rPr>
                <w:sz w:val="1"/>
                <w:szCs w:val="1"/>
                <w:color w:val="auto"/>
              </w:rPr>
            </w:pPr>
          </w:p>
        </w:tc>
        <w:tc>
          <w:tcPr>
            <w:tcW w:w="4420" w:type="dxa"/>
            <w:vAlign w:val="bottom"/>
            <w:tcBorders>
              <w:bottom w:val="single" w:sz="8" w:color="81848E"/>
            </w:tcBorders>
          </w:tcPr>
          <w:p>
            <w:pPr>
              <w:spacing w:after="0" w:line="20" w:lineRule="exact"/>
              <w:rPr>
                <w:sz w:val="1"/>
                <w:szCs w:val="1"/>
                <w:color w:val="auto"/>
              </w:rPr>
            </w:pPr>
          </w:p>
        </w:tc>
      </w:tr>
      <w:tr>
        <w:trPr>
          <w:trHeight w:val="223"/>
        </w:trPr>
        <w:tc>
          <w:tcPr>
            <w:tcW w:w="2600" w:type="dxa"/>
            <w:vAlign w:val="bottom"/>
            <w:tcBorders>
              <w:bottom w:val="single" w:sz="8" w:color="0336FF"/>
            </w:tcBorders>
          </w:tcPr>
          <w:p>
            <w:pPr>
              <w:ind w:left="100"/>
              <w:spacing w:after="0"/>
              <w:rPr>
                <w:sz w:val="20"/>
                <w:szCs w:val="20"/>
                <w:color w:val="auto"/>
              </w:rPr>
            </w:pPr>
            <w:r>
              <w:rPr>
                <w:rFonts w:ascii="Arial" w:cs="Arial" w:eastAsia="Arial" w:hAnsi="Arial"/>
                <w:sz w:val="14"/>
                <w:szCs w:val="14"/>
                <w:color w:val="2D3243"/>
              </w:rPr>
              <w:t>Coupa Software</w:t>
            </w:r>
            <w:r>
              <w:rPr>
                <w:rFonts w:ascii="Arial" w:cs="Arial" w:eastAsia="Arial" w:hAnsi="Arial"/>
                <w:sz w:val="18"/>
                <w:szCs w:val="18"/>
                <w:color w:val="2D3243"/>
                <w:vertAlign w:val="superscript"/>
              </w:rPr>
              <w:t>(1)</w:t>
            </w:r>
          </w:p>
        </w:tc>
        <w:tc>
          <w:tcPr>
            <w:tcW w:w="3360" w:type="dxa"/>
            <w:vAlign w:val="bottom"/>
            <w:tcBorders>
              <w:bottom w:val="single" w:sz="8" w:color="0336FF"/>
            </w:tcBorders>
          </w:tcPr>
          <w:p>
            <w:pPr>
              <w:ind w:left="1340"/>
              <w:spacing w:after="0"/>
              <w:rPr>
                <w:sz w:val="20"/>
                <w:szCs w:val="20"/>
                <w:color w:val="auto"/>
              </w:rPr>
            </w:pPr>
            <w:r>
              <w:rPr>
                <w:rFonts w:ascii="Arial" w:cs="Arial" w:eastAsia="Arial" w:hAnsi="Arial"/>
                <w:sz w:val="14"/>
                <w:szCs w:val="14"/>
                <w:color w:val="2D3243"/>
              </w:rPr>
              <w:t>Qualys</w:t>
            </w:r>
          </w:p>
        </w:tc>
        <w:tc>
          <w:tcPr>
            <w:tcW w:w="4420" w:type="dxa"/>
            <w:vAlign w:val="bottom"/>
            <w:tcBorders>
              <w:bottom w:val="single" w:sz="8" w:color="0336FF"/>
            </w:tcBorders>
          </w:tcPr>
          <w:p>
            <w:pPr>
              <w:spacing w:after="0"/>
              <w:rPr>
                <w:sz w:val="19"/>
                <w:szCs w:val="19"/>
                <w:color w:val="auto"/>
              </w:rPr>
            </w:pPr>
          </w:p>
        </w:tc>
      </w:tr>
    </w:tbl>
    <w:p>
      <w:pPr>
        <w:spacing w:after="0" w:line="16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2D3243"/>
        </w:rPr>
      </w:pPr>
      <w:r>
        <w:rPr>
          <w:rFonts w:ascii="Arial" w:cs="Arial" w:eastAsia="Arial" w:hAnsi="Arial"/>
          <w:sz w:val="14"/>
          <w:szCs w:val="14"/>
          <w:color w:val="2D3243"/>
        </w:rPr>
        <w:t>Both Avalara and Coupa Software have subsequently been acquired, and thus are no longer considered part of our compensation peer group.</w:t>
      </w:r>
    </w:p>
    <w:p>
      <w:pPr>
        <w:spacing w:after="0" w:line="217" w:lineRule="exact"/>
        <w:rPr>
          <w:sz w:val="20"/>
          <w:szCs w:val="20"/>
          <w:color w:val="auto"/>
        </w:rPr>
      </w:pPr>
    </w:p>
    <w:p>
      <w:pPr>
        <w:ind w:right="80"/>
        <w:spacing w:after="0" w:line="336" w:lineRule="auto"/>
        <w:rPr>
          <w:sz w:val="20"/>
          <w:szCs w:val="20"/>
          <w:color w:val="auto"/>
        </w:rPr>
      </w:pPr>
      <w:r>
        <w:rPr>
          <w:rFonts w:ascii="Arial" w:cs="Arial" w:eastAsia="Arial" w:hAnsi="Arial"/>
          <w:sz w:val="14"/>
          <w:szCs w:val="14"/>
          <w:color w:val="2D3243"/>
        </w:rPr>
        <w:t>In August 2023, with the assistance of Compensia, the Compensation Committee reviewed and updated our compensation peer group to reflect changes in our market capitalization, recognize our evolving business focus, and account for acquisitions of former peer companies. The compensation peer group described below was utilized when determining the compensation of Mr. Dignan upon his promotion in November 2023 and the compensation for all of our executive officers for 2024. The companies in this updated compensation peer group were selected on the basis of their similarity to us, based on the following criteria:</w:t>
      </w:r>
    </w:p>
    <w:p>
      <w:pPr>
        <w:spacing w:after="0" w:line="120" w:lineRule="exact"/>
        <w:rPr>
          <w:sz w:val="20"/>
          <w:szCs w:val="20"/>
          <w:color w:val="auto"/>
        </w:rPr>
      </w:pPr>
    </w:p>
    <w:p>
      <w:pPr>
        <w:ind w:left="660" w:right="140" w:hanging="328"/>
        <w:spacing w:after="0" w:line="369" w:lineRule="auto"/>
        <w:tabs>
          <w:tab w:leader="none" w:pos="622" w:val="left"/>
        </w:tabs>
        <w:numPr>
          <w:ilvl w:val="0"/>
          <w:numId w:val="45"/>
        </w:numPr>
        <w:rPr>
          <w:rFonts w:ascii="Arial" w:cs="Arial" w:eastAsia="Arial" w:hAnsi="Arial"/>
          <w:sz w:val="16"/>
          <w:szCs w:val="16"/>
          <w:color w:val="2D3243"/>
        </w:rPr>
      </w:pPr>
      <w:r>
        <w:rPr>
          <w:rFonts w:ascii="Arial" w:cs="Arial" w:eastAsia="Arial" w:hAnsi="Arial"/>
          <w:sz w:val="16"/>
          <w:szCs w:val="16"/>
          <w:color w:val="2D3243"/>
        </w:rPr>
        <w:t>similar revenue size - ~0.5x to ~2.0x our last four quarter revenue of approximately $815 million as of the first quarter of 2023 (approximately $410 million to approximately $1.6 billion);</w:t>
      </w:r>
    </w:p>
    <w:p>
      <w:pPr>
        <w:spacing w:after="0" w:line="1" w:lineRule="exact"/>
        <w:rPr>
          <w:rFonts w:ascii="Arial" w:cs="Arial" w:eastAsia="Arial" w:hAnsi="Arial"/>
          <w:sz w:val="16"/>
          <w:szCs w:val="16"/>
          <w:color w:val="2D3243"/>
        </w:rPr>
      </w:pPr>
    </w:p>
    <w:p>
      <w:pPr>
        <w:ind w:left="660" w:right="80" w:hanging="328"/>
        <w:spacing w:after="0" w:line="369" w:lineRule="auto"/>
        <w:tabs>
          <w:tab w:leader="none" w:pos="622" w:val="left"/>
        </w:tabs>
        <w:numPr>
          <w:ilvl w:val="0"/>
          <w:numId w:val="45"/>
        </w:numPr>
        <w:rPr>
          <w:rFonts w:ascii="Arial" w:cs="Arial" w:eastAsia="Arial" w:hAnsi="Arial"/>
          <w:sz w:val="16"/>
          <w:szCs w:val="16"/>
          <w:color w:val="2D3243"/>
        </w:rPr>
      </w:pPr>
      <w:r>
        <w:rPr>
          <w:rFonts w:ascii="Arial" w:cs="Arial" w:eastAsia="Arial" w:hAnsi="Arial"/>
          <w:sz w:val="16"/>
          <w:szCs w:val="16"/>
          <w:color w:val="2D3243"/>
        </w:rPr>
        <w:t>similar market capitalization - ~0.33x to ~3.0x our market capitalization of approximately $5.3 billion as of July 1, 2023 (approximately $1.7 billion to approximately $16.0 billion);</w:t>
      </w:r>
    </w:p>
    <w:p>
      <w:pPr>
        <w:spacing w:after="0" w:line="1" w:lineRule="exact"/>
        <w:rPr>
          <w:rFonts w:ascii="Arial" w:cs="Arial" w:eastAsia="Arial" w:hAnsi="Arial"/>
          <w:sz w:val="16"/>
          <w:szCs w:val="16"/>
          <w:color w:val="2D3243"/>
        </w:rPr>
      </w:pPr>
    </w:p>
    <w:p>
      <w:pPr>
        <w:ind w:left="620" w:hanging="288"/>
        <w:spacing w:after="0"/>
        <w:tabs>
          <w:tab w:leader="none" w:pos="620" w:val="left"/>
        </w:tabs>
        <w:numPr>
          <w:ilvl w:val="0"/>
          <w:numId w:val="45"/>
        </w:numPr>
        <w:rPr>
          <w:rFonts w:ascii="Arial" w:cs="Arial" w:eastAsia="Arial" w:hAnsi="Arial"/>
          <w:sz w:val="16"/>
          <w:szCs w:val="16"/>
          <w:color w:val="2D3243"/>
        </w:rPr>
      </w:pPr>
      <w:r>
        <w:rPr>
          <w:rFonts w:ascii="Arial" w:cs="Arial" w:eastAsia="Arial" w:hAnsi="Arial"/>
          <w:sz w:val="16"/>
          <w:szCs w:val="16"/>
          <w:color w:val="2D3243"/>
        </w:rPr>
        <w:t>Industry - SaaS companies;</w:t>
      </w:r>
    </w:p>
    <w:p>
      <w:pPr>
        <w:spacing w:after="0" w:line="140" w:lineRule="exact"/>
        <w:rPr>
          <w:rFonts w:ascii="Arial" w:cs="Arial" w:eastAsia="Arial" w:hAnsi="Arial"/>
          <w:sz w:val="16"/>
          <w:szCs w:val="16"/>
          <w:color w:val="2D3243"/>
        </w:rPr>
      </w:pPr>
    </w:p>
    <w:p>
      <w:pPr>
        <w:ind w:left="620" w:hanging="288"/>
        <w:spacing w:after="0"/>
        <w:tabs>
          <w:tab w:leader="none" w:pos="620" w:val="left"/>
        </w:tabs>
        <w:numPr>
          <w:ilvl w:val="0"/>
          <w:numId w:val="45"/>
        </w:numPr>
        <w:rPr>
          <w:rFonts w:ascii="Arial" w:cs="Arial" w:eastAsia="Arial" w:hAnsi="Arial"/>
          <w:sz w:val="16"/>
          <w:szCs w:val="16"/>
          <w:color w:val="2D3243"/>
        </w:rPr>
      </w:pPr>
      <w:r>
        <w:rPr>
          <w:rFonts w:ascii="Arial" w:cs="Arial" w:eastAsia="Arial" w:hAnsi="Arial"/>
          <w:sz w:val="16"/>
          <w:szCs w:val="16"/>
          <w:color w:val="2D3243"/>
        </w:rPr>
        <w:t>executive positions similar in breadth, complexity and/or scope of responsibility; and</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45"/>
        </w:numPr>
        <w:rPr>
          <w:rFonts w:ascii="Arial" w:cs="Arial" w:eastAsia="Arial" w:hAnsi="Arial"/>
          <w:sz w:val="16"/>
          <w:szCs w:val="16"/>
          <w:color w:val="2D3243"/>
        </w:rPr>
      </w:pPr>
      <w:r>
        <w:rPr>
          <w:rFonts w:ascii="Arial" w:cs="Arial" w:eastAsia="Arial" w:hAnsi="Arial"/>
          <w:sz w:val="16"/>
          <w:szCs w:val="16"/>
          <w:color w:val="2D3243"/>
        </w:rPr>
        <w:t>competitors for executive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48</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6" w:name="page57"/>
    <w:bookmarkEnd w:id="56"/>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2D3243"/>
        </w:rPr>
        <w:t>As a result, the Compensation Committee approved an updated compensation peer group consisting of the following companies: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Alteryx</w:t>
            </w:r>
          </w:p>
        </w:tc>
        <w:tc>
          <w:tcPr>
            <w:tcW w:w="4060" w:type="dxa"/>
            <w:vAlign w:val="bottom"/>
          </w:tcPr>
          <w:p>
            <w:pPr>
              <w:ind w:left="1420"/>
              <w:spacing w:after="0"/>
              <w:rPr>
                <w:sz w:val="20"/>
                <w:szCs w:val="20"/>
                <w:color w:val="auto"/>
              </w:rPr>
            </w:pPr>
            <w:r>
              <w:rPr>
                <w:rFonts w:ascii="Arial" w:cs="Arial" w:eastAsia="Arial" w:hAnsi="Arial"/>
                <w:sz w:val="16"/>
                <w:szCs w:val="16"/>
                <w:color w:val="2D3243"/>
              </w:rPr>
              <w:t>Freshworks</w:t>
            </w:r>
          </w:p>
        </w:tc>
        <w:tc>
          <w:tcPr>
            <w:tcW w:w="4840" w:type="dxa"/>
            <w:vAlign w:val="bottom"/>
          </w:tcPr>
          <w:p>
            <w:pPr>
              <w:ind w:left="1100"/>
              <w:spacing w:after="0"/>
              <w:rPr>
                <w:sz w:val="20"/>
                <w:szCs w:val="20"/>
                <w:color w:val="auto"/>
              </w:rPr>
            </w:pPr>
            <w:r>
              <w:rPr>
                <w:rFonts w:ascii="Arial" w:cs="Arial" w:eastAsia="Arial" w:hAnsi="Arial"/>
                <w:sz w:val="16"/>
                <w:szCs w:val="16"/>
                <w:color w:val="2D3243"/>
              </w:rPr>
              <w:t>Rapid7</w:t>
            </w:r>
          </w:p>
        </w:tc>
      </w:tr>
      <w:tr>
        <w:trPr>
          <w:trHeight w:val="29"/>
        </w:trPr>
        <w:tc>
          <w:tcPr>
            <w:tcW w:w="2340" w:type="dxa"/>
            <w:vAlign w:val="bottom"/>
            <w:tcBorders>
              <w:bottom w:val="single" w:sz="8" w:color="81848E"/>
            </w:tcBorders>
          </w:tcPr>
          <w:p>
            <w:pPr>
              <w:spacing w:after="0"/>
              <w:rPr>
                <w:sz w:val="2"/>
                <w:szCs w:val="2"/>
                <w:color w:val="auto"/>
              </w:rPr>
            </w:pPr>
          </w:p>
        </w:tc>
        <w:tc>
          <w:tcPr>
            <w:tcW w:w="4060" w:type="dxa"/>
            <w:vAlign w:val="bottom"/>
            <w:tcBorders>
              <w:bottom w:val="single" w:sz="8" w:color="81848E"/>
            </w:tcBorders>
          </w:tcPr>
          <w:p>
            <w:pPr>
              <w:spacing w:after="0"/>
              <w:rPr>
                <w:sz w:val="2"/>
                <w:szCs w:val="2"/>
                <w:color w:val="auto"/>
              </w:rPr>
            </w:pPr>
          </w:p>
        </w:tc>
        <w:tc>
          <w:tcPr>
            <w:tcW w:w="4840" w:type="dxa"/>
            <w:vAlign w:val="bottom"/>
            <w:tcBorders>
              <w:bottom w:val="single" w:sz="8" w:color="81848E"/>
            </w:tcBorders>
          </w:tcPr>
          <w:p>
            <w:pPr>
              <w:spacing w:after="0"/>
              <w:rPr>
                <w:sz w:val="2"/>
                <w:szCs w:val="2"/>
                <w:color w:val="auto"/>
              </w:rPr>
            </w:pPr>
          </w:p>
        </w:tc>
      </w:tr>
      <w:tr>
        <w:trPr>
          <w:trHeight w:val="248"/>
        </w:trPr>
        <w:tc>
          <w:tcPr>
            <w:tcW w:w="2340" w:type="dxa"/>
            <w:vAlign w:val="bottom"/>
          </w:tcPr>
          <w:p>
            <w:pPr>
              <w:ind w:left="100"/>
              <w:spacing w:after="0"/>
              <w:rPr>
                <w:sz w:val="20"/>
                <w:szCs w:val="20"/>
                <w:color w:val="auto"/>
              </w:rPr>
            </w:pPr>
            <w:r>
              <w:rPr>
                <w:rFonts w:ascii="Arial" w:cs="Arial" w:eastAsia="Arial" w:hAnsi="Arial"/>
                <w:sz w:val="16"/>
                <w:szCs w:val="16"/>
                <w:color w:val="2D3243"/>
              </w:rPr>
              <w:t>AppFolio</w:t>
            </w:r>
          </w:p>
        </w:tc>
        <w:tc>
          <w:tcPr>
            <w:tcW w:w="4060" w:type="dxa"/>
            <w:vAlign w:val="bottom"/>
          </w:tcPr>
          <w:p>
            <w:pPr>
              <w:ind w:left="1420"/>
              <w:spacing w:after="0"/>
              <w:rPr>
                <w:sz w:val="20"/>
                <w:szCs w:val="20"/>
                <w:color w:val="auto"/>
              </w:rPr>
            </w:pPr>
            <w:r>
              <w:rPr>
                <w:rFonts w:ascii="Arial" w:cs="Arial" w:eastAsia="Arial" w:hAnsi="Arial"/>
                <w:sz w:val="16"/>
                <w:szCs w:val="16"/>
                <w:color w:val="2D3243"/>
              </w:rPr>
              <w:t>Guidewire Software</w:t>
            </w:r>
          </w:p>
        </w:tc>
        <w:tc>
          <w:tcPr>
            <w:tcW w:w="4840" w:type="dxa"/>
            <w:vAlign w:val="bottom"/>
          </w:tcPr>
          <w:p>
            <w:pPr>
              <w:ind w:left="1100"/>
              <w:spacing w:after="0"/>
              <w:rPr>
                <w:sz w:val="20"/>
                <w:szCs w:val="20"/>
                <w:color w:val="auto"/>
              </w:rPr>
            </w:pPr>
            <w:r>
              <w:rPr>
                <w:rFonts w:ascii="Arial" w:cs="Arial" w:eastAsia="Arial" w:hAnsi="Arial"/>
                <w:sz w:val="16"/>
                <w:szCs w:val="16"/>
                <w:color w:val="2D3243"/>
              </w:rPr>
              <w:t>RingCentral</w:t>
            </w:r>
          </w:p>
        </w:tc>
      </w:tr>
      <w:tr>
        <w:trPr>
          <w:trHeight w:val="56"/>
        </w:trPr>
        <w:tc>
          <w:tcPr>
            <w:tcW w:w="2340" w:type="dxa"/>
            <w:vAlign w:val="bottom"/>
            <w:tcBorders>
              <w:bottom w:val="single" w:sz="8" w:color="81848E"/>
            </w:tcBorders>
          </w:tcPr>
          <w:p>
            <w:pPr>
              <w:spacing w:after="0"/>
              <w:rPr>
                <w:sz w:val="4"/>
                <w:szCs w:val="4"/>
                <w:color w:val="auto"/>
              </w:rPr>
            </w:pPr>
          </w:p>
        </w:tc>
        <w:tc>
          <w:tcPr>
            <w:tcW w:w="4060" w:type="dxa"/>
            <w:vAlign w:val="bottom"/>
            <w:tcBorders>
              <w:bottom w:val="single" w:sz="8" w:color="81848E"/>
            </w:tcBorders>
          </w:tcPr>
          <w:p>
            <w:pPr>
              <w:spacing w:after="0"/>
              <w:rPr>
                <w:sz w:val="4"/>
                <w:szCs w:val="4"/>
                <w:color w:val="auto"/>
              </w:rPr>
            </w:pPr>
          </w:p>
        </w:tc>
        <w:tc>
          <w:tcPr>
            <w:tcW w:w="4840" w:type="dxa"/>
            <w:vAlign w:val="bottom"/>
            <w:tcBorders>
              <w:bottom w:val="single" w:sz="8" w:color="81848E"/>
            </w:tcBorders>
          </w:tcPr>
          <w:p>
            <w:pPr>
              <w:spacing w:after="0"/>
              <w:rPr>
                <w:sz w:val="4"/>
                <w:szCs w:val="4"/>
                <w:color w:val="auto"/>
              </w:rPr>
            </w:pPr>
          </w:p>
        </w:tc>
      </w:tr>
      <w:tr>
        <w:trPr>
          <w:trHeight w:val="248"/>
        </w:trPr>
        <w:tc>
          <w:tcPr>
            <w:tcW w:w="2340" w:type="dxa"/>
            <w:vAlign w:val="bottom"/>
          </w:tcPr>
          <w:p>
            <w:pPr>
              <w:ind w:left="100"/>
              <w:spacing w:after="0"/>
              <w:rPr>
                <w:sz w:val="20"/>
                <w:szCs w:val="20"/>
                <w:color w:val="auto"/>
              </w:rPr>
            </w:pPr>
            <w:r>
              <w:rPr>
                <w:rFonts w:ascii="Arial" w:cs="Arial" w:eastAsia="Arial" w:hAnsi="Arial"/>
                <w:sz w:val="16"/>
                <w:szCs w:val="16"/>
                <w:color w:val="2D3243"/>
              </w:rPr>
              <w:t>Bill.com</w:t>
            </w:r>
          </w:p>
        </w:tc>
        <w:tc>
          <w:tcPr>
            <w:tcW w:w="4060" w:type="dxa"/>
            <w:vAlign w:val="bottom"/>
          </w:tcPr>
          <w:p>
            <w:pPr>
              <w:ind w:left="1420"/>
              <w:spacing w:after="0"/>
              <w:rPr>
                <w:sz w:val="20"/>
                <w:szCs w:val="20"/>
                <w:color w:val="auto"/>
              </w:rPr>
            </w:pPr>
            <w:r>
              <w:rPr>
                <w:rFonts w:ascii="Arial" w:cs="Arial" w:eastAsia="Arial" w:hAnsi="Arial"/>
                <w:sz w:val="16"/>
                <w:szCs w:val="16"/>
                <w:color w:val="2D3243"/>
              </w:rPr>
              <w:t>New Relic</w:t>
            </w:r>
          </w:p>
        </w:tc>
        <w:tc>
          <w:tcPr>
            <w:tcW w:w="4840" w:type="dxa"/>
            <w:vAlign w:val="bottom"/>
          </w:tcPr>
          <w:p>
            <w:pPr>
              <w:ind w:left="1100"/>
              <w:spacing w:after="0"/>
              <w:rPr>
                <w:sz w:val="20"/>
                <w:szCs w:val="20"/>
                <w:color w:val="auto"/>
              </w:rPr>
            </w:pPr>
            <w:r>
              <w:rPr>
                <w:rFonts w:ascii="Arial" w:cs="Arial" w:eastAsia="Arial" w:hAnsi="Arial"/>
                <w:sz w:val="16"/>
                <w:szCs w:val="16"/>
                <w:color w:val="2D3243"/>
              </w:rPr>
              <w:t>Samsara</w:t>
            </w:r>
          </w:p>
        </w:tc>
      </w:tr>
      <w:tr>
        <w:trPr>
          <w:trHeight w:val="56"/>
        </w:trPr>
        <w:tc>
          <w:tcPr>
            <w:tcW w:w="2340" w:type="dxa"/>
            <w:vAlign w:val="bottom"/>
            <w:tcBorders>
              <w:bottom w:val="single" w:sz="8" w:color="81848E"/>
            </w:tcBorders>
          </w:tcPr>
          <w:p>
            <w:pPr>
              <w:spacing w:after="0"/>
              <w:rPr>
                <w:sz w:val="4"/>
                <w:szCs w:val="4"/>
                <w:color w:val="auto"/>
              </w:rPr>
            </w:pPr>
          </w:p>
        </w:tc>
        <w:tc>
          <w:tcPr>
            <w:tcW w:w="4060" w:type="dxa"/>
            <w:vAlign w:val="bottom"/>
            <w:tcBorders>
              <w:bottom w:val="single" w:sz="8" w:color="81848E"/>
            </w:tcBorders>
          </w:tcPr>
          <w:p>
            <w:pPr>
              <w:spacing w:after="0"/>
              <w:rPr>
                <w:sz w:val="4"/>
                <w:szCs w:val="4"/>
                <w:color w:val="auto"/>
              </w:rPr>
            </w:pPr>
          </w:p>
        </w:tc>
        <w:tc>
          <w:tcPr>
            <w:tcW w:w="4840" w:type="dxa"/>
            <w:vAlign w:val="bottom"/>
            <w:tcBorders>
              <w:bottom w:val="single" w:sz="8" w:color="81848E"/>
            </w:tcBorders>
          </w:tcPr>
          <w:p>
            <w:pPr>
              <w:spacing w:after="0"/>
              <w:rPr>
                <w:sz w:val="4"/>
                <w:szCs w:val="4"/>
                <w:color w:val="auto"/>
              </w:rPr>
            </w:pPr>
          </w:p>
        </w:tc>
      </w:tr>
      <w:tr>
        <w:trPr>
          <w:trHeight w:val="248"/>
        </w:trPr>
        <w:tc>
          <w:tcPr>
            <w:tcW w:w="2340" w:type="dxa"/>
            <w:vAlign w:val="bottom"/>
          </w:tcPr>
          <w:p>
            <w:pPr>
              <w:ind w:left="100"/>
              <w:spacing w:after="0"/>
              <w:rPr>
                <w:sz w:val="20"/>
                <w:szCs w:val="20"/>
                <w:color w:val="auto"/>
              </w:rPr>
            </w:pPr>
            <w:r>
              <w:rPr>
                <w:rFonts w:ascii="Arial" w:cs="Arial" w:eastAsia="Arial" w:hAnsi="Arial"/>
                <w:sz w:val="16"/>
                <w:szCs w:val="16"/>
                <w:color w:val="2D3243"/>
              </w:rPr>
              <w:t>Blackline</w:t>
            </w:r>
          </w:p>
        </w:tc>
        <w:tc>
          <w:tcPr>
            <w:tcW w:w="4060" w:type="dxa"/>
            <w:vAlign w:val="bottom"/>
          </w:tcPr>
          <w:p>
            <w:pPr>
              <w:ind w:left="1420"/>
              <w:spacing w:after="0"/>
              <w:rPr>
                <w:sz w:val="20"/>
                <w:szCs w:val="20"/>
                <w:color w:val="auto"/>
              </w:rPr>
            </w:pPr>
            <w:r>
              <w:rPr>
                <w:rFonts w:ascii="Arial" w:cs="Arial" w:eastAsia="Arial" w:hAnsi="Arial"/>
                <w:sz w:val="16"/>
                <w:szCs w:val="16"/>
                <w:color w:val="2D3243"/>
              </w:rPr>
              <w:t>Paylocity</w:t>
            </w:r>
          </w:p>
        </w:tc>
        <w:tc>
          <w:tcPr>
            <w:tcW w:w="4840" w:type="dxa"/>
            <w:vAlign w:val="bottom"/>
          </w:tcPr>
          <w:p>
            <w:pPr>
              <w:ind w:left="1100"/>
              <w:spacing w:after="0"/>
              <w:rPr>
                <w:sz w:val="20"/>
                <w:szCs w:val="20"/>
                <w:color w:val="auto"/>
              </w:rPr>
            </w:pPr>
            <w:r>
              <w:rPr>
                <w:rFonts w:ascii="Arial" w:cs="Arial" w:eastAsia="Arial" w:hAnsi="Arial"/>
                <w:sz w:val="16"/>
                <w:szCs w:val="16"/>
                <w:color w:val="2D3243"/>
              </w:rPr>
              <w:t>Smartsheet</w:t>
            </w:r>
          </w:p>
        </w:tc>
      </w:tr>
      <w:tr>
        <w:trPr>
          <w:trHeight w:val="56"/>
        </w:trPr>
        <w:tc>
          <w:tcPr>
            <w:tcW w:w="2340" w:type="dxa"/>
            <w:vAlign w:val="bottom"/>
            <w:tcBorders>
              <w:bottom w:val="single" w:sz="8" w:color="81848E"/>
            </w:tcBorders>
          </w:tcPr>
          <w:p>
            <w:pPr>
              <w:spacing w:after="0"/>
              <w:rPr>
                <w:sz w:val="4"/>
                <w:szCs w:val="4"/>
                <w:color w:val="auto"/>
              </w:rPr>
            </w:pPr>
          </w:p>
        </w:tc>
        <w:tc>
          <w:tcPr>
            <w:tcW w:w="4060" w:type="dxa"/>
            <w:vAlign w:val="bottom"/>
            <w:tcBorders>
              <w:bottom w:val="single" w:sz="8" w:color="81848E"/>
            </w:tcBorders>
          </w:tcPr>
          <w:p>
            <w:pPr>
              <w:spacing w:after="0"/>
              <w:rPr>
                <w:sz w:val="4"/>
                <w:szCs w:val="4"/>
                <w:color w:val="auto"/>
              </w:rPr>
            </w:pPr>
          </w:p>
        </w:tc>
        <w:tc>
          <w:tcPr>
            <w:tcW w:w="4840" w:type="dxa"/>
            <w:vAlign w:val="bottom"/>
            <w:tcBorders>
              <w:bottom w:val="single" w:sz="8" w:color="81848E"/>
            </w:tcBorders>
          </w:tcPr>
          <w:p>
            <w:pPr>
              <w:spacing w:after="0"/>
              <w:rPr>
                <w:sz w:val="4"/>
                <w:szCs w:val="4"/>
                <w:color w:val="auto"/>
              </w:rPr>
            </w:pPr>
          </w:p>
        </w:tc>
      </w:tr>
      <w:tr>
        <w:trPr>
          <w:trHeight w:val="248"/>
        </w:trPr>
        <w:tc>
          <w:tcPr>
            <w:tcW w:w="2340" w:type="dxa"/>
            <w:vAlign w:val="bottom"/>
          </w:tcPr>
          <w:p>
            <w:pPr>
              <w:ind w:left="100"/>
              <w:spacing w:after="0"/>
              <w:rPr>
                <w:sz w:val="20"/>
                <w:szCs w:val="20"/>
                <w:color w:val="auto"/>
              </w:rPr>
            </w:pPr>
            <w:r>
              <w:rPr>
                <w:rFonts w:ascii="Arial" w:cs="Arial" w:eastAsia="Arial" w:hAnsi="Arial"/>
                <w:sz w:val="16"/>
                <w:szCs w:val="16"/>
                <w:color w:val="2D3243"/>
              </w:rPr>
              <w:t>Cloudflare</w:t>
            </w:r>
          </w:p>
        </w:tc>
        <w:tc>
          <w:tcPr>
            <w:tcW w:w="4060" w:type="dxa"/>
            <w:vAlign w:val="bottom"/>
          </w:tcPr>
          <w:p>
            <w:pPr>
              <w:ind w:left="1420"/>
              <w:spacing w:after="0"/>
              <w:rPr>
                <w:sz w:val="20"/>
                <w:szCs w:val="20"/>
                <w:color w:val="auto"/>
              </w:rPr>
            </w:pPr>
            <w:r>
              <w:rPr>
                <w:rFonts w:ascii="Arial" w:cs="Arial" w:eastAsia="Arial" w:hAnsi="Arial"/>
                <w:sz w:val="16"/>
                <w:szCs w:val="16"/>
                <w:color w:val="2D3243"/>
              </w:rPr>
              <w:t>Procore Technologies</w:t>
            </w:r>
          </w:p>
        </w:tc>
        <w:tc>
          <w:tcPr>
            <w:tcW w:w="4840" w:type="dxa"/>
            <w:vAlign w:val="bottom"/>
          </w:tcPr>
          <w:p>
            <w:pPr>
              <w:ind w:left="1100"/>
              <w:spacing w:after="0"/>
              <w:rPr>
                <w:sz w:val="20"/>
                <w:szCs w:val="20"/>
                <w:color w:val="auto"/>
              </w:rPr>
            </w:pPr>
            <w:r>
              <w:rPr>
                <w:rFonts w:ascii="Arial" w:cs="Arial" w:eastAsia="Arial" w:hAnsi="Arial"/>
                <w:sz w:val="16"/>
                <w:szCs w:val="16"/>
                <w:color w:val="2D3243"/>
              </w:rPr>
              <w:t>Sprinklr</w:t>
            </w:r>
          </w:p>
        </w:tc>
      </w:tr>
      <w:tr>
        <w:trPr>
          <w:trHeight w:val="56"/>
        </w:trPr>
        <w:tc>
          <w:tcPr>
            <w:tcW w:w="2340" w:type="dxa"/>
            <w:vAlign w:val="bottom"/>
            <w:tcBorders>
              <w:bottom w:val="single" w:sz="8" w:color="81848E"/>
            </w:tcBorders>
          </w:tcPr>
          <w:p>
            <w:pPr>
              <w:spacing w:after="0"/>
              <w:rPr>
                <w:sz w:val="4"/>
                <w:szCs w:val="4"/>
                <w:color w:val="auto"/>
              </w:rPr>
            </w:pPr>
          </w:p>
        </w:tc>
        <w:tc>
          <w:tcPr>
            <w:tcW w:w="4060" w:type="dxa"/>
            <w:vAlign w:val="bottom"/>
            <w:tcBorders>
              <w:bottom w:val="single" w:sz="8" w:color="81848E"/>
            </w:tcBorders>
          </w:tcPr>
          <w:p>
            <w:pPr>
              <w:spacing w:after="0"/>
              <w:rPr>
                <w:sz w:val="4"/>
                <w:szCs w:val="4"/>
                <w:color w:val="auto"/>
              </w:rPr>
            </w:pPr>
          </w:p>
        </w:tc>
        <w:tc>
          <w:tcPr>
            <w:tcW w:w="4840" w:type="dxa"/>
            <w:vAlign w:val="bottom"/>
            <w:tcBorders>
              <w:bottom w:val="single" w:sz="8" w:color="81848E"/>
            </w:tcBorders>
          </w:tcPr>
          <w:p>
            <w:pPr>
              <w:spacing w:after="0"/>
              <w:rPr>
                <w:sz w:val="4"/>
                <w:szCs w:val="4"/>
                <w:color w:val="auto"/>
              </w:rPr>
            </w:pPr>
          </w:p>
        </w:tc>
      </w:tr>
      <w:tr>
        <w:trPr>
          <w:trHeight w:val="248"/>
        </w:trPr>
        <w:tc>
          <w:tcPr>
            <w:tcW w:w="2340" w:type="dxa"/>
            <w:vAlign w:val="bottom"/>
          </w:tcPr>
          <w:p>
            <w:pPr>
              <w:ind w:left="100"/>
              <w:spacing w:after="0"/>
              <w:rPr>
                <w:sz w:val="20"/>
                <w:szCs w:val="20"/>
                <w:color w:val="auto"/>
              </w:rPr>
            </w:pPr>
            <w:r>
              <w:rPr>
                <w:rFonts w:ascii="Arial" w:cs="Arial" w:eastAsia="Arial" w:hAnsi="Arial"/>
                <w:sz w:val="16"/>
                <w:szCs w:val="16"/>
                <w:color w:val="2D3243"/>
              </w:rPr>
              <w:t>Dynatrace</w:t>
            </w:r>
          </w:p>
        </w:tc>
        <w:tc>
          <w:tcPr>
            <w:tcW w:w="4060" w:type="dxa"/>
            <w:vAlign w:val="bottom"/>
          </w:tcPr>
          <w:p>
            <w:pPr>
              <w:ind w:left="1420"/>
              <w:spacing w:after="0"/>
              <w:rPr>
                <w:sz w:val="20"/>
                <w:szCs w:val="20"/>
                <w:color w:val="auto"/>
              </w:rPr>
            </w:pPr>
            <w:r>
              <w:rPr>
                <w:rFonts w:ascii="Arial" w:cs="Arial" w:eastAsia="Arial" w:hAnsi="Arial"/>
                <w:sz w:val="16"/>
                <w:szCs w:val="16"/>
                <w:color w:val="2D3243"/>
              </w:rPr>
              <w:t>Q2 Holdings</w:t>
            </w:r>
          </w:p>
        </w:tc>
        <w:tc>
          <w:tcPr>
            <w:tcW w:w="4840" w:type="dxa"/>
            <w:vAlign w:val="bottom"/>
          </w:tcPr>
          <w:p>
            <w:pPr>
              <w:ind w:left="1100"/>
              <w:spacing w:after="0"/>
              <w:rPr>
                <w:sz w:val="20"/>
                <w:szCs w:val="20"/>
                <w:color w:val="auto"/>
              </w:rPr>
            </w:pPr>
            <w:r>
              <w:rPr>
                <w:rFonts w:ascii="Arial" w:cs="Arial" w:eastAsia="Arial" w:hAnsi="Arial"/>
                <w:sz w:val="16"/>
                <w:szCs w:val="16"/>
                <w:color w:val="2D3243"/>
              </w:rPr>
              <w:t>Zscaler</w:t>
            </w:r>
          </w:p>
        </w:tc>
      </w:tr>
      <w:tr>
        <w:trPr>
          <w:trHeight w:val="56"/>
        </w:trPr>
        <w:tc>
          <w:tcPr>
            <w:tcW w:w="2340" w:type="dxa"/>
            <w:vAlign w:val="bottom"/>
            <w:tcBorders>
              <w:bottom w:val="single" w:sz="8" w:color="81848E"/>
            </w:tcBorders>
          </w:tcPr>
          <w:p>
            <w:pPr>
              <w:spacing w:after="0"/>
              <w:rPr>
                <w:sz w:val="4"/>
                <w:szCs w:val="4"/>
                <w:color w:val="auto"/>
              </w:rPr>
            </w:pPr>
          </w:p>
        </w:tc>
        <w:tc>
          <w:tcPr>
            <w:tcW w:w="4060" w:type="dxa"/>
            <w:vAlign w:val="bottom"/>
            <w:tcBorders>
              <w:bottom w:val="single" w:sz="8" w:color="81848E"/>
            </w:tcBorders>
          </w:tcPr>
          <w:p>
            <w:pPr>
              <w:spacing w:after="0"/>
              <w:rPr>
                <w:sz w:val="4"/>
                <w:szCs w:val="4"/>
                <w:color w:val="auto"/>
              </w:rPr>
            </w:pPr>
          </w:p>
        </w:tc>
        <w:tc>
          <w:tcPr>
            <w:tcW w:w="4840" w:type="dxa"/>
            <w:vAlign w:val="bottom"/>
            <w:tcBorders>
              <w:bottom w:val="single" w:sz="8" w:color="81848E"/>
            </w:tcBorders>
          </w:tcPr>
          <w:p>
            <w:pPr>
              <w:spacing w:after="0"/>
              <w:rPr>
                <w:sz w:val="4"/>
                <w:szCs w:val="4"/>
                <w:color w:val="auto"/>
              </w:rPr>
            </w:pPr>
          </w:p>
        </w:tc>
      </w:tr>
      <w:tr>
        <w:trPr>
          <w:trHeight w:val="248"/>
        </w:trPr>
        <w:tc>
          <w:tcPr>
            <w:tcW w:w="2340" w:type="dxa"/>
            <w:vAlign w:val="bottom"/>
          </w:tcPr>
          <w:p>
            <w:pPr>
              <w:ind w:left="100"/>
              <w:spacing w:after="0"/>
              <w:rPr>
                <w:sz w:val="20"/>
                <w:szCs w:val="20"/>
                <w:color w:val="auto"/>
              </w:rPr>
            </w:pPr>
            <w:r>
              <w:rPr>
                <w:rFonts w:ascii="Arial" w:cs="Arial" w:eastAsia="Arial" w:hAnsi="Arial"/>
                <w:sz w:val="16"/>
                <w:szCs w:val="16"/>
                <w:color w:val="2D3243"/>
              </w:rPr>
              <w:t>Elastic N.V.</w:t>
            </w:r>
          </w:p>
        </w:tc>
        <w:tc>
          <w:tcPr>
            <w:tcW w:w="4060" w:type="dxa"/>
            <w:vAlign w:val="bottom"/>
          </w:tcPr>
          <w:p>
            <w:pPr>
              <w:ind w:left="1420"/>
              <w:spacing w:after="0"/>
              <w:rPr>
                <w:sz w:val="20"/>
                <w:szCs w:val="20"/>
                <w:color w:val="auto"/>
              </w:rPr>
            </w:pPr>
            <w:r>
              <w:rPr>
                <w:rFonts w:ascii="Arial" w:cs="Arial" w:eastAsia="Arial" w:hAnsi="Arial"/>
                <w:sz w:val="16"/>
                <w:szCs w:val="16"/>
                <w:color w:val="2D3243"/>
              </w:rPr>
              <w:t>Qualys</w:t>
            </w:r>
          </w:p>
        </w:tc>
        <w:tc>
          <w:tcPr>
            <w:tcW w:w="4840" w:type="dxa"/>
            <w:vAlign w:val="bottom"/>
          </w:tcPr>
          <w:p>
            <w:pPr>
              <w:spacing w:after="0"/>
              <w:rPr>
                <w:sz w:val="21"/>
                <w:szCs w:val="21"/>
                <w:color w:val="auto"/>
              </w:rPr>
            </w:pPr>
          </w:p>
        </w:tc>
      </w:tr>
      <w:tr>
        <w:trPr>
          <w:trHeight w:val="56"/>
        </w:trPr>
        <w:tc>
          <w:tcPr>
            <w:tcW w:w="2340" w:type="dxa"/>
            <w:vAlign w:val="bottom"/>
            <w:tcBorders>
              <w:bottom w:val="single" w:sz="8" w:color="0336FF"/>
            </w:tcBorders>
          </w:tcPr>
          <w:p>
            <w:pPr>
              <w:spacing w:after="0"/>
              <w:rPr>
                <w:sz w:val="4"/>
                <w:szCs w:val="4"/>
                <w:color w:val="auto"/>
              </w:rPr>
            </w:pPr>
          </w:p>
        </w:tc>
        <w:tc>
          <w:tcPr>
            <w:tcW w:w="4060" w:type="dxa"/>
            <w:vAlign w:val="bottom"/>
            <w:tcBorders>
              <w:bottom w:val="single" w:sz="8" w:color="0336FF"/>
            </w:tcBorders>
          </w:tcPr>
          <w:p>
            <w:pPr>
              <w:spacing w:after="0"/>
              <w:rPr>
                <w:sz w:val="4"/>
                <w:szCs w:val="4"/>
                <w:color w:val="auto"/>
              </w:rPr>
            </w:pPr>
          </w:p>
        </w:tc>
        <w:tc>
          <w:tcPr>
            <w:tcW w:w="4840" w:type="dxa"/>
            <w:vAlign w:val="bottom"/>
            <w:tcBorders>
              <w:bottom w:val="single" w:sz="8" w:color="0336FF"/>
            </w:tcBorders>
          </w:tcPr>
          <w:p>
            <w:pPr>
              <w:spacing w:after="0"/>
              <w:rPr>
                <w:sz w:val="4"/>
                <w:szCs w:val="4"/>
                <w:color w:val="auto"/>
              </w:rPr>
            </w:pPr>
          </w:p>
        </w:tc>
      </w:tr>
    </w:tbl>
    <w:p>
      <w:pPr>
        <w:spacing w:after="0" w:line="269"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color w:val="2D3243"/>
        </w:rPr>
        <w:t>To analyze the compensation practices of the companies in our compensation peer group, Compensia gathered data from public filings (primarily proxy statements) for the peer group companies. We also considered survey data from the Radford McLagan Compensation Database, including a custom cut of our peer group companies and a broader cut of financially comparable software companies. This market data was then used as a reference point for the Compensation Committee to assess our current compensation levels in the course of its deliberations on compensation elements and amounts.</w:t>
      </w:r>
    </w:p>
    <w:p>
      <w:pPr>
        <w:spacing w:after="0" w:line="137" w:lineRule="exact"/>
        <w:rPr>
          <w:sz w:val="20"/>
          <w:szCs w:val="20"/>
          <w:color w:val="auto"/>
        </w:rPr>
      </w:pPr>
    </w:p>
    <w:p>
      <w:pPr>
        <w:ind w:right="440"/>
        <w:spacing w:after="0" w:line="374" w:lineRule="auto"/>
        <w:rPr>
          <w:sz w:val="20"/>
          <w:szCs w:val="20"/>
          <w:color w:val="auto"/>
        </w:rPr>
      </w:pPr>
      <w:r>
        <w:rPr>
          <w:rFonts w:ascii="Arial" w:cs="Arial" w:eastAsia="Arial" w:hAnsi="Arial"/>
          <w:sz w:val="16"/>
          <w:szCs w:val="16"/>
          <w:color w:val="2D3243"/>
        </w:rPr>
        <w:t>Going forward, the Compensation Committee intends to review and update the compensation peer group at least annually and make adjustments to its composition when appropriate, taking into account changes in both our business and the businesses of the companies in the peer group.</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Key Elements of Our 2023 Executive Compensation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Base Salary</w:t>
      </w:r>
    </w:p>
    <w:p>
      <w:pPr>
        <w:spacing w:after="0" w:line="93" w:lineRule="exact"/>
        <w:rPr>
          <w:sz w:val="20"/>
          <w:szCs w:val="20"/>
          <w:color w:val="auto"/>
        </w:rPr>
      </w:pPr>
    </w:p>
    <w:p>
      <w:pPr>
        <w:ind w:right="220"/>
        <w:spacing w:after="0" w:line="344" w:lineRule="auto"/>
        <w:rPr>
          <w:sz w:val="20"/>
          <w:szCs w:val="20"/>
          <w:color w:val="auto"/>
        </w:rPr>
      </w:pPr>
      <w:r>
        <w:rPr>
          <w:rFonts w:ascii="Arial" w:cs="Arial" w:eastAsia="Arial" w:hAnsi="Arial"/>
          <w:sz w:val="16"/>
          <w:szCs w:val="16"/>
          <w:color w:val="2D3243"/>
        </w:rPr>
        <w:t>We pay a base salary to each of our NEOs to provide a base level of fixed income for their services, and the Compensation Committee establishes base salaries for our NEOs that are competitive with those received by individuals in similar positions at the companies in our compensation peer group. At the start of 2023, the Compensation Committee evaluated our performance in 2022 and the performance of our NEOs at that time, Messrs. Michael Burkland, Zwarenstein, Daniel Burkland and Kozanian. Consistent with its objective of increasing “at risk” compensation and improving the balance between base salary and incentive compensation, the Compensation Committee increased the annual base salaries of Messrs. Zwarenstein, Daniel Burkland and Kozanian from their 2022 levels. The Company did not increase the base salary for Michael Burkland from his 2022 level. For more information regarding these increases, see the “Executive Summary - 2023 Executive Compensation Actions” section above.</w:t>
      </w:r>
    </w:p>
    <w:p>
      <w:pPr>
        <w:spacing w:after="0" w:line="125" w:lineRule="exact"/>
        <w:rPr>
          <w:sz w:val="20"/>
          <w:szCs w:val="20"/>
          <w:color w:val="auto"/>
        </w:rPr>
      </w:pPr>
    </w:p>
    <w:p>
      <w:pPr>
        <w:ind w:right="100"/>
        <w:spacing w:after="0" w:line="363" w:lineRule="auto"/>
        <w:rPr>
          <w:sz w:val="20"/>
          <w:szCs w:val="20"/>
          <w:color w:val="auto"/>
        </w:rPr>
      </w:pPr>
      <w:r>
        <w:rPr>
          <w:rFonts w:ascii="Arial" w:cs="Arial" w:eastAsia="Arial" w:hAnsi="Arial"/>
          <w:sz w:val="16"/>
          <w:szCs w:val="16"/>
          <w:color w:val="2D3243"/>
        </w:rPr>
        <w:t>In addition, in connection with the appointment of Mr. Dignan as our Chief Operating Officer on November 9, 2023, the Compensation Committee set his annual base salary at $446,000. The Compensation Committee established the base salary level taking into account his position, qualifications, experience, the base salaries of our other executive officers, and a competitive market analysis prepared by Compensia</w:t>
      </w:r>
      <w:r>
        <w:rPr>
          <w:rFonts w:ascii="Arial" w:cs="Arial" w:eastAsia="Arial" w:hAnsi="Arial"/>
          <w:sz w:val="16"/>
          <w:szCs w:val="16"/>
          <w:color w:val="EE2724"/>
        </w:rPr>
        <w: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2D3243"/>
        </w:rPr>
        <w:t>The annual base salaries of our NEOs for 2023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NEO</w:t>
            </w:r>
          </w:p>
        </w:tc>
        <w:tc>
          <w:tcPr>
            <w:tcW w:w="244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2023 Base Salary Rate</w:t>
            </w:r>
          </w:p>
        </w:tc>
      </w:tr>
      <w:tr>
        <w:trPr>
          <w:trHeight w:val="67"/>
        </w:trPr>
        <w:tc>
          <w:tcPr>
            <w:tcW w:w="8800" w:type="dxa"/>
            <w:vAlign w:val="bottom"/>
            <w:shd w:val="clear" w:color="auto" w:fill="0336FF"/>
          </w:tcPr>
          <w:p>
            <w:pPr>
              <w:spacing w:after="0"/>
              <w:rPr>
                <w:sz w:val="5"/>
                <w:szCs w:val="5"/>
                <w:color w:val="auto"/>
              </w:rPr>
            </w:pPr>
          </w:p>
        </w:tc>
        <w:tc>
          <w:tcPr>
            <w:tcW w:w="2440" w:type="dxa"/>
            <w:vAlign w:val="bottom"/>
            <w:shd w:val="clear" w:color="auto" w:fill="0336FF"/>
          </w:tcPr>
          <w:p>
            <w:pPr>
              <w:spacing w:after="0"/>
              <w:rPr>
                <w:sz w:val="5"/>
                <w:szCs w:val="5"/>
                <w:color w:val="auto"/>
              </w:rPr>
            </w:pPr>
          </w:p>
        </w:tc>
      </w:tr>
      <w:tr>
        <w:trPr>
          <w:trHeight w:val="222"/>
        </w:trPr>
        <w:tc>
          <w:tcPr>
            <w:tcW w:w="880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2440" w:type="dxa"/>
            <w:vAlign w:val="bottom"/>
          </w:tcPr>
          <w:p>
            <w:pPr>
              <w:jc w:val="right"/>
              <w:ind w:right="88"/>
              <w:spacing w:after="0"/>
              <w:rPr>
                <w:sz w:val="20"/>
                <w:szCs w:val="20"/>
                <w:color w:val="auto"/>
              </w:rPr>
            </w:pPr>
            <w:r>
              <w:rPr>
                <w:rFonts w:ascii="Arial" w:cs="Arial" w:eastAsia="Arial" w:hAnsi="Arial"/>
                <w:sz w:val="14"/>
                <w:szCs w:val="14"/>
                <w:color w:val="2D3243"/>
              </w:rPr>
              <w:t>585,000</w:t>
            </w:r>
          </w:p>
        </w:tc>
      </w:tr>
      <w:tr>
        <w:trPr>
          <w:trHeight w:val="237"/>
        </w:trPr>
        <w:tc>
          <w:tcPr>
            <w:tcW w:w="880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244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430,000</w:t>
            </w:r>
          </w:p>
        </w:tc>
      </w:tr>
      <w:tr>
        <w:trPr>
          <w:trHeight w:val="235"/>
        </w:trPr>
        <w:tc>
          <w:tcPr>
            <w:tcW w:w="8800" w:type="dxa"/>
            <w:vAlign w:val="bottom"/>
          </w:tcPr>
          <w:p>
            <w:pPr>
              <w:ind w:left="100"/>
              <w:spacing w:after="0"/>
              <w:rPr>
                <w:sz w:val="20"/>
                <w:szCs w:val="20"/>
                <w:color w:val="auto"/>
              </w:rPr>
            </w:pPr>
            <w:r>
              <w:rPr>
                <w:rFonts w:ascii="Arial" w:cs="Arial" w:eastAsia="Arial" w:hAnsi="Arial"/>
                <w:sz w:val="14"/>
                <w:szCs w:val="14"/>
                <w:b w:val="1"/>
                <w:bCs w:val="1"/>
                <w:color w:val="2D3243"/>
              </w:rPr>
              <w:t>Daniel Burkland</w:t>
            </w:r>
          </w:p>
        </w:tc>
        <w:tc>
          <w:tcPr>
            <w:tcW w:w="2440" w:type="dxa"/>
            <w:vAlign w:val="bottom"/>
          </w:tcPr>
          <w:p>
            <w:pPr>
              <w:jc w:val="right"/>
              <w:ind w:right="88"/>
              <w:spacing w:after="0"/>
              <w:rPr>
                <w:sz w:val="20"/>
                <w:szCs w:val="20"/>
                <w:color w:val="auto"/>
              </w:rPr>
            </w:pPr>
            <w:r>
              <w:rPr>
                <w:rFonts w:ascii="Arial" w:cs="Arial" w:eastAsia="Arial" w:hAnsi="Arial"/>
                <w:sz w:val="14"/>
                <w:szCs w:val="14"/>
                <w:color w:val="2D3243"/>
              </w:rPr>
              <w:t>425,000</w:t>
            </w:r>
          </w:p>
        </w:tc>
      </w:tr>
      <w:tr>
        <w:trPr>
          <w:trHeight w:val="49"/>
        </w:trPr>
        <w:tc>
          <w:tcPr>
            <w:tcW w:w="8800" w:type="dxa"/>
            <w:vAlign w:val="bottom"/>
          </w:tcPr>
          <w:p>
            <w:pPr>
              <w:spacing w:after="0"/>
              <w:rPr>
                <w:sz w:val="4"/>
                <w:szCs w:val="4"/>
                <w:color w:val="auto"/>
              </w:rPr>
            </w:pPr>
          </w:p>
        </w:tc>
        <w:tc>
          <w:tcPr>
            <w:tcW w:w="2440" w:type="dxa"/>
            <w:vAlign w:val="bottom"/>
          </w:tcPr>
          <w:p>
            <w:pPr>
              <w:spacing w:after="0"/>
              <w:rPr>
                <w:sz w:val="4"/>
                <w:szCs w:val="4"/>
                <w:color w:val="auto"/>
              </w:rPr>
            </w:pPr>
          </w:p>
        </w:tc>
      </w:tr>
      <w:tr>
        <w:trPr>
          <w:trHeight w:val="263"/>
        </w:trPr>
        <w:tc>
          <w:tcPr>
            <w:tcW w:w="880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r>
              <w:rPr>
                <w:rFonts w:ascii="Arial" w:cs="Arial" w:eastAsia="Arial" w:hAnsi="Arial"/>
                <w:sz w:val="9"/>
                <w:szCs w:val="9"/>
                <w:b w:val="1"/>
                <w:bCs w:val="1"/>
                <w:color w:val="2D3243"/>
              </w:rPr>
              <w:t>(1)</w:t>
            </w:r>
          </w:p>
        </w:tc>
        <w:tc>
          <w:tcPr>
            <w:tcW w:w="244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446,000</w:t>
            </w:r>
          </w:p>
        </w:tc>
      </w:tr>
      <w:tr>
        <w:trPr>
          <w:trHeight w:val="223"/>
        </w:trPr>
        <w:tc>
          <w:tcPr>
            <w:tcW w:w="8800" w:type="dxa"/>
            <w:vAlign w:val="bottom"/>
            <w:tcBorders>
              <w:bottom w:val="single" w:sz="8" w:color="0336FF"/>
            </w:tcBorders>
          </w:tcPr>
          <w:p>
            <w:pPr>
              <w:ind w:left="100"/>
              <w:spacing w:after="0"/>
              <w:rPr>
                <w:sz w:val="20"/>
                <w:szCs w:val="20"/>
                <w:color w:val="auto"/>
              </w:rPr>
            </w:pPr>
            <w:r>
              <w:rPr>
                <w:rFonts w:ascii="Arial" w:cs="Arial" w:eastAsia="Arial" w:hAnsi="Arial"/>
                <w:sz w:val="14"/>
                <w:szCs w:val="14"/>
                <w:b w:val="1"/>
                <w:bCs w:val="1"/>
                <w:color w:val="2D3243"/>
              </w:rPr>
              <w:t>Panos Kozanian</w:t>
            </w:r>
          </w:p>
        </w:tc>
        <w:tc>
          <w:tcPr>
            <w:tcW w:w="2440" w:type="dxa"/>
            <w:vAlign w:val="bottom"/>
            <w:tcBorders>
              <w:bottom w:val="single" w:sz="8" w:color="0336FF"/>
            </w:tcBorders>
          </w:tcPr>
          <w:p>
            <w:pPr>
              <w:jc w:val="right"/>
              <w:ind w:right="88"/>
              <w:spacing w:after="0"/>
              <w:rPr>
                <w:sz w:val="20"/>
                <w:szCs w:val="20"/>
                <w:color w:val="auto"/>
              </w:rPr>
            </w:pPr>
            <w:r>
              <w:rPr>
                <w:rFonts w:ascii="Arial" w:cs="Arial" w:eastAsia="Arial" w:hAnsi="Arial"/>
                <w:sz w:val="14"/>
                <w:szCs w:val="14"/>
                <w:color w:val="2D3243"/>
              </w:rPr>
              <w:t>450,000</w:t>
            </w:r>
          </w:p>
        </w:tc>
      </w:tr>
    </w:tbl>
    <w:p>
      <w:pPr>
        <w:spacing w:after="0" w:line="166"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2D3243"/>
        </w:rPr>
      </w:pPr>
      <w:r>
        <w:rPr>
          <w:rFonts w:ascii="Arial" w:cs="Arial" w:eastAsia="Arial" w:hAnsi="Arial"/>
          <w:sz w:val="14"/>
          <w:szCs w:val="14"/>
          <w:color w:val="2D3243"/>
        </w:rPr>
        <w:t>Mr. Dignan's 2023 base salary rate was effective from his appointment as an executive officer on November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49</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7" w:name="page58"/>
    <w:bookmarkEnd w:id="57"/>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Short-Term Cash Incentive Compensation</w:t>
      </w:r>
    </w:p>
    <w:p>
      <w:pPr>
        <w:spacing w:after="0" w:line="93"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2D3243"/>
        </w:rPr>
        <w:t>We use performance-based cash incentives to motivate our executive officers, including our NEOs, to focus on specific goals established by the Board of Directors in our annual operating plan and specific individual performance goals (other than for our CEO), to provide additional cash compensation opportunities beyond base salary in a manner that is consistent with competitive market practices, and to recognize and reward achievement at or above our pre-established levels of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2023 Bonus Program: Target Annual Cash Bonus Opportunities</w:t>
      </w:r>
    </w:p>
    <w:p>
      <w:pPr>
        <w:spacing w:after="0" w:line="235" w:lineRule="exact"/>
        <w:rPr>
          <w:sz w:val="20"/>
          <w:szCs w:val="20"/>
          <w:color w:val="auto"/>
        </w:rPr>
      </w:pPr>
    </w:p>
    <w:p>
      <w:pPr>
        <w:ind w:right="180"/>
        <w:spacing w:after="0" w:line="354" w:lineRule="auto"/>
        <w:rPr>
          <w:sz w:val="20"/>
          <w:szCs w:val="20"/>
          <w:color w:val="auto"/>
        </w:rPr>
      </w:pPr>
      <w:r>
        <w:rPr>
          <w:rFonts w:ascii="Arial" w:cs="Arial" w:eastAsia="Arial" w:hAnsi="Arial"/>
          <w:sz w:val="16"/>
          <w:szCs w:val="16"/>
          <w:color w:val="2D3243"/>
        </w:rPr>
        <w:t>In 2023, each of our executive officers, including our NEOs, was eligible to earn cash bonuses on a semi-annual basis under our short-term cash incentive program (the “2023 Bonus Program”), with commission-based goals for Daniel Burkland measured quarterly. Funding of the 2023 Bonus Program was based upon Company financial performance and each NEO’s individual performance for each semi-annual period in 2023 as summarized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60" w:type="dxa"/>
            <w:vAlign w:val="bottom"/>
            <w:shd w:val="clear" w:color="auto" w:fill="0336FF"/>
          </w:tcPr>
          <w:p>
            <w:pPr>
              <w:spacing w:after="0"/>
              <w:rPr>
                <w:sz w:val="15"/>
                <w:szCs w:val="15"/>
                <w:color w:val="auto"/>
              </w:rPr>
            </w:pPr>
          </w:p>
        </w:tc>
        <w:tc>
          <w:tcPr>
            <w:tcW w:w="3680" w:type="dxa"/>
            <w:vAlign w:val="bottom"/>
            <w:shd w:val="clear" w:color="auto" w:fill="0336FF"/>
          </w:tcPr>
          <w:p>
            <w:pPr>
              <w:jc w:val="right"/>
              <w:ind w:right="348"/>
              <w:spacing w:after="0"/>
              <w:rPr>
                <w:sz w:val="20"/>
                <w:szCs w:val="20"/>
                <w:color w:val="auto"/>
              </w:rPr>
            </w:pPr>
            <w:r>
              <w:rPr>
                <w:rFonts w:ascii="Arial" w:cs="Arial" w:eastAsia="Arial" w:hAnsi="Arial"/>
                <w:sz w:val="14"/>
                <w:szCs w:val="14"/>
                <w:b w:val="1"/>
                <w:bCs w:val="1"/>
                <w:color w:val="FFFFFF"/>
              </w:rPr>
              <w:t>Financial Performance</w:t>
            </w:r>
          </w:p>
        </w:tc>
        <w:tc>
          <w:tcPr>
            <w:tcW w:w="22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Individual Performance</w:t>
            </w:r>
          </w:p>
        </w:tc>
      </w:tr>
      <w:tr>
        <w:trPr>
          <w:trHeight w:val="176"/>
        </w:trPr>
        <w:tc>
          <w:tcPr>
            <w:tcW w:w="5360" w:type="dxa"/>
            <w:vAlign w:val="bottom"/>
            <w:shd w:val="clear" w:color="auto" w:fill="0336FF"/>
          </w:tcPr>
          <w:p>
            <w:pPr>
              <w:spacing w:after="0"/>
              <w:rPr>
                <w:sz w:val="15"/>
                <w:szCs w:val="15"/>
                <w:color w:val="auto"/>
              </w:rPr>
            </w:pPr>
          </w:p>
        </w:tc>
        <w:tc>
          <w:tcPr>
            <w:tcW w:w="3680" w:type="dxa"/>
            <w:vAlign w:val="bottom"/>
            <w:shd w:val="clear" w:color="auto" w:fill="0336FF"/>
          </w:tcPr>
          <w:p>
            <w:pPr>
              <w:jc w:val="right"/>
              <w:ind w:right="348"/>
              <w:spacing w:after="0"/>
              <w:rPr>
                <w:sz w:val="20"/>
                <w:szCs w:val="20"/>
                <w:color w:val="auto"/>
              </w:rPr>
            </w:pPr>
            <w:r>
              <w:rPr>
                <w:rFonts w:ascii="Arial" w:cs="Arial" w:eastAsia="Arial" w:hAnsi="Arial"/>
                <w:sz w:val="14"/>
                <w:szCs w:val="14"/>
                <w:b w:val="1"/>
                <w:bCs w:val="1"/>
                <w:color w:val="FFFFFF"/>
              </w:rPr>
              <w:t>Component Weighting</w:t>
            </w:r>
            <w:r>
              <w:rPr>
                <w:rFonts w:ascii="Arial" w:cs="Arial" w:eastAsia="Arial" w:hAnsi="Arial"/>
                <w:sz w:val="9"/>
                <w:szCs w:val="9"/>
                <w:b w:val="1"/>
                <w:bCs w:val="1"/>
                <w:color w:val="FFFFFF"/>
              </w:rPr>
              <w:t>(1)</w:t>
            </w:r>
          </w:p>
        </w:tc>
        <w:tc>
          <w:tcPr>
            <w:tcW w:w="22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Component Weighting</w:t>
            </w:r>
            <w:r>
              <w:rPr>
                <w:rFonts w:ascii="Arial" w:cs="Arial" w:eastAsia="Arial" w:hAnsi="Arial"/>
                <w:sz w:val="9"/>
                <w:szCs w:val="9"/>
                <w:b w:val="1"/>
                <w:bCs w:val="1"/>
                <w:color w:val="FFFFFF"/>
              </w:rPr>
              <w:t>(2)</w:t>
            </w:r>
          </w:p>
        </w:tc>
      </w:tr>
      <w:tr>
        <w:trPr>
          <w:trHeight w:val="196"/>
        </w:trPr>
        <w:tc>
          <w:tcPr>
            <w:tcW w:w="536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3680" w:type="dxa"/>
            <w:vAlign w:val="bottom"/>
            <w:shd w:val="clear" w:color="auto" w:fill="0336FF"/>
          </w:tcPr>
          <w:p>
            <w:pPr>
              <w:jc w:val="right"/>
              <w:ind w:right="348"/>
              <w:spacing w:after="0"/>
              <w:rPr>
                <w:sz w:val="20"/>
                <w:szCs w:val="20"/>
                <w:color w:val="auto"/>
              </w:rPr>
            </w:pPr>
            <w:r>
              <w:rPr>
                <w:rFonts w:ascii="Arial" w:cs="Arial" w:eastAsia="Arial" w:hAnsi="Arial"/>
                <w:sz w:val="14"/>
                <w:szCs w:val="14"/>
                <w:b w:val="1"/>
                <w:bCs w:val="1"/>
                <w:color w:val="FFFFFF"/>
              </w:rPr>
              <w:t>(%)</w:t>
            </w:r>
          </w:p>
        </w:tc>
        <w:tc>
          <w:tcPr>
            <w:tcW w:w="22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5360" w:type="dxa"/>
            <w:vAlign w:val="bottom"/>
            <w:shd w:val="clear" w:color="auto" w:fill="0336FF"/>
          </w:tcPr>
          <w:p>
            <w:pPr>
              <w:spacing w:after="0"/>
              <w:rPr>
                <w:sz w:val="6"/>
                <w:szCs w:val="6"/>
                <w:color w:val="auto"/>
              </w:rPr>
            </w:pPr>
          </w:p>
        </w:tc>
        <w:tc>
          <w:tcPr>
            <w:tcW w:w="3680" w:type="dxa"/>
            <w:vAlign w:val="bottom"/>
            <w:shd w:val="clear" w:color="auto" w:fill="0336FF"/>
          </w:tcPr>
          <w:p>
            <w:pPr>
              <w:spacing w:after="0"/>
              <w:rPr>
                <w:sz w:val="6"/>
                <w:szCs w:val="6"/>
                <w:color w:val="auto"/>
              </w:rPr>
            </w:pPr>
          </w:p>
        </w:tc>
        <w:tc>
          <w:tcPr>
            <w:tcW w:w="2200" w:type="dxa"/>
            <w:vAlign w:val="bottom"/>
            <w:shd w:val="clear" w:color="auto" w:fill="0336FF"/>
          </w:tcPr>
          <w:p>
            <w:pPr>
              <w:spacing w:after="0"/>
              <w:rPr>
                <w:sz w:val="6"/>
                <w:szCs w:val="6"/>
                <w:color w:val="auto"/>
              </w:rPr>
            </w:pPr>
          </w:p>
        </w:tc>
      </w:tr>
      <w:tr>
        <w:trPr>
          <w:trHeight w:val="222"/>
        </w:trPr>
        <w:tc>
          <w:tcPr>
            <w:tcW w:w="536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3680" w:type="dxa"/>
            <w:vAlign w:val="bottom"/>
          </w:tcPr>
          <w:p>
            <w:pPr>
              <w:jc w:val="right"/>
              <w:ind w:right="408"/>
              <w:spacing w:after="0"/>
              <w:rPr>
                <w:sz w:val="20"/>
                <w:szCs w:val="20"/>
                <w:color w:val="auto"/>
              </w:rPr>
            </w:pPr>
            <w:r>
              <w:rPr>
                <w:rFonts w:ascii="Arial" w:cs="Arial" w:eastAsia="Arial" w:hAnsi="Arial"/>
                <w:sz w:val="14"/>
                <w:szCs w:val="14"/>
                <w:color w:val="2D3243"/>
              </w:rPr>
              <w:t>100</w:t>
            </w:r>
          </w:p>
        </w:tc>
        <w:tc>
          <w:tcPr>
            <w:tcW w:w="2200" w:type="dxa"/>
            <w:vAlign w:val="bottom"/>
          </w:tcPr>
          <w:p>
            <w:pPr>
              <w:jc w:val="right"/>
              <w:ind w:right="88"/>
              <w:spacing w:after="0"/>
              <w:rPr>
                <w:sz w:val="20"/>
                <w:szCs w:val="20"/>
                <w:color w:val="auto"/>
              </w:rPr>
            </w:pPr>
            <w:r>
              <w:rPr>
                <w:rFonts w:ascii="Arial" w:cs="Arial" w:eastAsia="Arial" w:hAnsi="Arial"/>
                <w:sz w:val="14"/>
                <w:szCs w:val="14"/>
                <w:color w:val="2D3243"/>
              </w:rPr>
              <w:t>—</w:t>
            </w:r>
          </w:p>
        </w:tc>
      </w:tr>
      <w:tr>
        <w:trPr>
          <w:trHeight w:val="237"/>
        </w:trPr>
        <w:tc>
          <w:tcPr>
            <w:tcW w:w="53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3680" w:type="dxa"/>
            <w:vAlign w:val="bottom"/>
            <w:shd w:val="clear" w:color="auto" w:fill="F0F1F2"/>
          </w:tcPr>
          <w:p>
            <w:pPr>
              <w:jc w:val="right"/>
              <w:ind w:right="408"/>
              <w:spacing w:after="0"/>
              <w:rPr>
                <w:sz w:val="20"/>
                <w:szCs w:val="20"/>
                <w:color w:val="auto"/>
              </w:rPr>
            </w:pPr>
            <w:r>
              <w:rPr>
                <w:rFonts w:ascii="Arial" w:cs="Arial" w:eastAsia="Arial" w:hAnsi="Arial"/>
                <w:sz w:val="14"/>
                <w:szCs w:val="14"/>
                <w:color w:val="2D3243"/>
              </w:rPr>
              <w:t>80</w:t>
            </w:r>
          </w:p>
        </w:tc>
        <w:tc>
          <w:tcPr>
            <w:tcW w:w="2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20</w:t>
            </w:r>
          </w:p>
        </w:tc>
      </w:tr>
      <w:tr>
        <w:trPr>
          <w:trHeight w:val="222"/>
        </w:trPr>
        <w:tc>
          <w:tcPr>
            <w:tcW w:w="5360" w:type="dxa"/>
            <w:vAlign w:val="bottom"/>
          </w:tcPr>
          <w:p>
            <w:pPr>
              <w:ind w:left="100"/>
              <w:spacing w:after="0"/>
              <w:rPr>
                <w:sz w:val="20"/>
                <w:szCs w:val="20"/>
                <w:color w:val="auto"/>
              </w:rPr>
            </w:pPr>
            <w:r>
              <w:rPr>
                <w:rFonts w:ascii="Arial" w:cs="Arial" w:eastAsia="Arial" w:hAnsi="Arial"/>
                <w:sz w:val="14"/>
                <w:szCs w:val="14"/>
                <w:b w:val="1"/>
                <w:bCs w:val="1"/>
                <w:color w:val="2D3243"/>
              </w:rPr>
              <w:t>Daniel Burkland</w:t>
            </w:r>
          </w:p>
        </w:tc>
        <w:tc>
          <w:tcPr>
            <w:tcW w:w="3680" w:type="dxa"/>
            <w:vAlign w:val="bottom"/>
          </w:tcPr>
          <w:p>
            <w:pPr>
              <w:jc w:val="right"/>
              <w:ind w:right="408"/>
              <w:spacing w:after="0"/>
              <w:rPr>
                <w:sz w:val="20"/>
                <w:szCs w:val="20"/>
                <w:color w:val="auto"/>
              </w:rPr>
            </w:pPr>
            <w:r>
              <w:rPr>
                <w:rFonts w:ascii="Arial" w:cs="Arial" w:eastAsia="Arial" w:hAnsi="Arial"/>
                <w:sz w:val="14"/>
                <w:szCs w:val="14"/>
                <w:color w:val="2D3243"/>
              </w:rPr>
              <w:t>18.75</w:t>
            </w:r>
          </w:p>
        </w:tc>
        <w:tc>
          <w:tcPr>
            <w:tcW w:w="2200" w:type="dxa"/>
            <w:vAlign w:val="bottom"/>
          </w:tcPr>
          <w:p>
            <w:pPr>
              <w:jc w:val="right"/>
              <w:ind w:right="88"/>
              <w:spacing w:after="0"/>
              <w:rPr>
                <w:sz w:val="20"/>
                <w:szCs w:val="20"/>
                <w:color w:val="auto"/>
              </w:rPr>
            </w:pPr>
            <w:r>
              <w:rPr>
                <w:rFonts w:ascii="Arial" w:cs="Arial" w:eastAsia="Arial" w:hAnsi="Arial"/>
                <w:sz w:val="14"/>
                <w:szCs w:val="14"/>
                <w:color w:val="2D3243"/>
              </w:rPr>
              <w:t>81.25</w:t>
            </w:r>
          </w:p>
        </w:tc>
      </w:tr>
      <w:tr>
        <w:trPr>
          <w:trHeight w:val="237"/>
        </w:trPr>
        <w:tc>
          <w:tcPr>
            <w:tcW w:w="53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p>
        </w:tc>
        <w:tc>
          <w:tcPr>
            <w:tcW w:w="3680" w:type="dxa"/>
            <w:vAlign w:val="bottom"/>
            <w:shd w:val="clear" w:color="auto" w:fill="F0F1F2"/>
          </w:tcPr>
          <w:p>
            <w:pPr>
              <w:jc w:val="right"/>
              <w:ind w:right="408"/>
              <w:spacing w:after="0"/>
              <w:rPr>
                <w:sz w:val="20"/>
                <w:szCs w:val="20"/>
                <w:color w:val="auto"/>
              </w:rPr>
            </w:pPr>
            <w:r>
              <w:rPr>
                <w:rFonts w:ascii="Arial" w:cs="Arial" w:eastAsia="Arial" w:hAnsi="Arial"/>
                <w:sz w:val="14"/>
                <w:szCs w:val="14"/>
                <w:color w:val="2D3243"/>
              </w:rPr>
              <w:t>80</w:t>
            </w:r>
          </w:p>
        </w:tc>
        <w:tc>
          <w:tcPr>
            <w:tcW w:w="2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20</w:t>
            </w:r>
          </w:p>
        </w:tc>
      </w:tr>
      <w:tr>
        <w:trPr>
          <w:trHeight w:val="223"/>
        </w:trPr>
        <w:tc>
          <w:tcPr>
            <w:tcW w:w="5360" w:type="dxa"/>
            <w:vAlign w:val="bottom"/>
            <w:tcBorders>
              <w:bottom w:val="single" w:sz="8" w:color="0336FF"/>
            </w:tcBorders>
          </w:tcPr>
          <w:p>
            <w:pPr>
              <w:ind w:left="100"/>
              <w:spacing w:after="0"/>
              <w:rPr>
                <w:sz w:val="20"/>
                <w:szCs w:val="20"/>
                <w:color w:val="auto"/>
              </w:rPr>
            </w:pPr>
            <w:r>
              <w:rPr>
                <w:rFonts w:ascii="Arial" w:cs="Arial" w:eastAsia="Arial" w:hAnsi="Arial"/>
                <w:sz w:val="14"/>
                <w:szCs w:val="14"/>
                <w:b w:val="1"/>
                <w:bCs w:val="1"/>
                <w:color w:val="2D3243"/>
              </w:rPr>
              <w:t>Panos Kozanian</w:t>
            </w:r>
          </w:p>
        </w:tc>
        <w:tc>
          <w:tcPr>
            <w:tcW w:w="3680" w:type="dxa"/>
            <w:vAlign w:val="bottom"/>
            <w:tcBorders>
              <w:bottom w:val="single" w:sz="8" w:color="0336FF"/>
            </w:tcBorders>
          </w:tcPr>
          <w:p>
            <w:pPr>
              <w:jc w:val="right"/>
              <w:ind w:right="408"/>
              <w:spacing w:after="0"/>
              <w:rPr>
                <w:sz w:val="20"/>
                <w:szCs w:val="20"/>
                <w:color w:val="auto"/>
              </w:rPr>
            </w:pPr>
            <w:r>
              <w:rPr>
                <w:rFonts w:ascii="Arial" w:cs="Arial" w:eastAsia="Arial" w:hAnsi="Arial"/>
                <w:sz w:val="14"/>
                <w:szCs w:val="14"/>
                <w:color w:val="2D3243"/>
              </w:rPr>
              <w:t>80</w:t>
            </w:r>
          </w:p>
        </w:tc>
        <w:tc>
          <w:tcPr>
            <w:tcW w:w="2200" w:type="dxa"/>
            <w:vAlign w:val="bottom"/>
            <w:tcBorders>
              <w:bottom w:val="single" w:sz="8" w:color="0336FF"/>
            </w:tcBorders>
          </w:tcPr>
          <w:p>
            <w:pPr>
              <w:jc w:val="right"/>
              <w:ind w:right="88"/>
              <w:spacing w:after="0"/>
              <w:rPr>
                <w:sz w:val="20"/>
                <w:szCs w:val="20"/>
                <w:color w:val="auto"/>
              </w:rPr>
            </w:pPr>
            <w:r>
              <w:rPr>
                <w:rFonts w:ascii="Arial" w:cs="Arial" w:eastAsia="Arial" w:hAnsi="Arial"/>
                <w:sz w:val="14"/>
                <w:szCs w:val="14"/>
                <w:color w:val="2D3243"/>
              </w:rPr>
              <w:t>20</w:t>
            </w:r>
          </w:p>
        </w:tc>
      </w:tr>
    </w:tbl>
    <w:p>
      <w:pPr>
        <w:spacing w:after="0" w:line="153" w:lineRule="exact"/>
        <w:rPr>
          <w:sz w:val="20"/>
          <w:szCs w:val="20"/>
          <w:color w:val="auto"/>
        </w:rPr>
      </w:pPr>
    </w:p>
    <w:p>
      <w:pPr>
        <w:ind w:left="340" w:right="100" w:hanging="332"/>
        <w:spacing w:after="0" w:line="362" w:lineRule="auto"/>
        <w:tabs>
          <w:tab w:leader="none" w:pos="338" w:val="left"/>
        </w:tabs>
        <w:numPr>
          <w:ilvl w:val="0"/>
          <w:numId w:val="47"/>
        </w:numPr>
        <w:rPr>
          <w:rFonts w:ascii="Arial" w:cs="Arial" w:eastAsia="Arial" w:hAnsi="Arial"/>
          <w:sz w:val="14"/>
          <w:szCs w:val="14"/>
          <w:color w:val="2D3243"/>
        </w:rPr>
      </w:pPr>
      <w:r>
        <w:rPr>
          <w:rFonts w:ascii="Arial" w:cs="Arial" w:eastAsia="Arial" w:hAnsi="Arial"/>
          <w:sz w:val="14"/>
          <w:szCs w:val="14"/>
          <w:color w:val="2D3243"/>
        </w:rPr>
        <w:t>The financial performance component was based upon our achievement of pre-established revenue and Adjusted EBITDA targets with the revenue performance measure weighted 75% and the Adjusted EBITDA performance measure weighted 25%.</w:t>
      </w:r>
    </w:p>
    <w:p>
      <w:pPr>
        <w:ind w:left="340" w:right="80" w:hanging="332"/>
        <w:spacing w:after="0" w:line="330" w:lineRule="auto"/>
        <w:tabs>
          <w:tab w:leader="none" w:pos="338" w:val="left"/>
        </w:tabs>
        <w:numPr>
          <w:ilvl w:val="0"/>
          <w:numId w:val="47"/>
        </w:numPr>
        <w:rPr>
          <w:rFonts w:ascii="Arial" w:cs="Arial" w:eastAsia="Arial" w:hAnsi="Arial"/>
          <w:sz w:val="14"/>
          <w:szCs w:val="14"/>
          <w:color w:val="2D3243"/>
        </w:rPr>
      </w:pPr>
      <w:r>
        <w:rPr>
          <w:rFonts w:ascii="Arial" w:cs="Arial" w:eastAsia="Arial" w:hAnsi="Arial"/>
          <w:sz w:val="14"/>
          <w:szCs w:val="14"/>
          <w:color w:val="2D3243"/>
        </w:rPr>
        <w:t>Individual performance was based on the achievement of individual objectives consistent with the key strategic goals established by the Board of Directors, except with respect to our CEO (whose bonus was based solely on the Company's financial performance). Daniel Burkland’s individual performance objectives were based on a combination of bookings and bookings-related commissions (75% of target annual cash bonus opportunity) and key individual strategic goals (6.25% of target annual cash bonus opportunity). In addition, if Daniel Burkland exceeded his 2023 quarterly cumulative bookings commissions goals in the aggregate across all of the bookings components in a quarter by 20% or more, he was eligible to earn an additional $50,000 cash bonus for each such quarter, payable on a semi-annual basis. Mr. Burkland did not achieve this additional bookings goal in any of the four quarters of 2023 and, therefore, did not receive the additional $50,000 cash bonus for any quarter in 2023.</w:t>
      </w:r>
    </w:p>
    <w:p>
      <w:pPr>
        <w:spacing w:after="0" w:line="125" w:lineRule="exact"/>
        <w:rPr>
          <w:sz w:val="20"/>
          <w:szCs w:val="20"/>
          <w:color w:val="auto"/>
        </w:rPr>
      </w:pPr>
    </w:p>
    <w:p>
      <w:pPr>
        <w:spacing w:after="0" w:line="348" w:lineRule="auto"/>
        <w:rPr>
          <w:sz w:val="20"/>
          <w:szCs w:val="20"/>
          <w:color w:val="auto"/>
        </w:rPr>
      </w:pPr>
      <w:r>
        <w:rPr>
          <w:rFonts w:ascii="Arial" w:cs="Arial" w:eastAsia="Arial" w:hAnsi="Arial"/>
          <w:sz w:val="16"/>
          <w:szCs w:val="16"/>
          <w:color w:val="2D3243"/>
        </w:rPr>
        <w:t>At the start of 2023, the Compensation Committee reviewed the target annual cash bonus opportunity for each NEO at the time (expressed as a percentage of his annual base salary), and, after taking into account internal pay equity with our other executive officers, pay practices within our compensation peer group, and other competitive market data provided by Compensia, the Compensation Committee decided not to increase the target annual cash bonus opportunity percentage of our NEOs, except for Mr. Kozanian whose percentage increased from 60% in 2022 to 65% in 2023. Due to an increase in the base salary of Messrs. Zwarenstein, Daniel Burkland and Kozanian, the dollar value of each of their target annual cash bonuses increased accordingly.</w:t>
      </w:r>
    </w:p>
    <w:p>
      <w:pPr>
        <w:spacing w:after="0" w:line="124"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2D3243"/>
        </w:rPr>
        <w:t>In addition, in connection with the appointment of Mr. Dignan as our Chief Operating Officer in November 2023, the Compensation Committee set his annual target bonus opportunity at 75% of his annual base salary. This target annual cash bonus opportunity was set after taking into account the same factors identified above for the other NEOs.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50</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8" w:name="page59"/>
    <w:bookmarkEnd w:id="58"/>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shows each NEO’s target annual cash bonus opportunity (expressed as a percentage of base salary and as a dollar amount)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402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179"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FFFFFF"/>
        </w:rPr>
        <w:t>Annual Target Bonus for 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060" w:type="dxa"/>
            <w:vAlign w:val="bottom"/>
          </w:tcPr>
          <w:p>
            <w:pPr>
              <w:ind w:left="100"/>
              <w:spacing w:after="0"/>
              <w:rPr>
                <w:sz w:val="20"/>
                <w:szCs w:val="20"/>
                <w:color w:val="auto"/>
              </w:rPr>
            </w:pPr>
            <w:r>
              <w:rPr>
                <w:rFonts w:ascii="Arial" w:cs="Arial" w:eastAsia="Arial" w:hAnsi="Arial"/>
                <w:sz w:val="14"/>
                <w:szCs w:val="14"/>
                <w:b w:val="1"/>
                <w:bCs w:val="1"/>
                <w:color w:val="FFFFFF"/>
              </w:rPr>
              <w:t>NEO</w:t>
            </w:r>
          </w:p>
        </w:tc>
        <w:tc>
          <w:tcPr>
            <w:tcW w:w="146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 of Base Salary</w:t>
            </w:r>
          </w:p>
        </w:tc>
        <w:tc>
          <w:tcPr>
            <w:tcW w:w="172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Dollar Amount</w:t>
            </w:r>
          </w:p>
        </w:tc>
      </w:tr>
      <w:tr>
        <w:trPr>
          <w:trHeight w:val="69"/>
        </w:trPr>
        <w:tc>
          <w:tcPr>
            <w:tcW w:w="8060" w:type="dxa"/>
            <w:vAlign w:val="bottom"/>
          </w:tcPr>
          <w:p>
            <w:pPr>
              <w:spacing w:after="0"/>
              <w:rPr>
                <w:sz w:val="6"/>
                <w:szCs w:val="6"/>
                <w:color w:val="auto"/>
              </w:rPr>
            </w:pPr>
          </w:p>
        </w:tc>
        <w:tc>
          <w:tcPr>
            <w:tcW w:w="1460" w:type="dxa"/>
            <w:vAlign w:val="bottom"/>
            <w:shd w:val="clear" w:color="auto" w:fill="0336FF"/>
          </w:tcPr>
          <w:p>
            <w:pPr>
              <w:spacing w:after="0"/>
              <w:rPr>
                <w:sz w:val="6"/>
                <w:szCs w:val="6"/>
                <w:color w:val="auto"/>
              </w:rPr>
            </w:pPr>
          </w:p>
        </w:tc>
        <w:tc>
          <w:tcPr>
            <w:tcW w:w="1720" w:type="dxa"/>
            <w:vAlign w:val="bottom"/>
            <w:shd w:val="clear" w:color="auto" w:fill="0336FF"/>
          </w:tcPr>
          <w:p>
            <w:pPr>
              <w:spacing w:after="0"/>
              <w:rPr>
                <w:sz w:val="6"/>
                <w:szCs w:val="6"/>
                <w:color w:val="auto"/>
              </w:rPr>
            </w:pPr>
          </w:p>
        </w:tc>
      </w:tr>
      <w:tr>
        <w:trPr>
          <w:trHeight w:val="222"/>
        </w:trPr>
        <w:tc>
          <w:tcPr>
            <w:tcW w:w="806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1460" w:type="dxa"/>
            <w:vAlign w:val="bottom"/>
          </w:tcPr>
          <w:p>
            <w:pPr>
              <w:jc w:val="right"/>
              <w:spacing w:after="0"/>
              <w:rPr>
                <w:sz w:val="20"/>
                <w:szCs w:val="20"/>
                <w:color w:val="auto"/>
              </w:rPr>
            </w:pPr>
            <w:r>
              <w:rPr>
                <w:rFonts w:ascii="Arial" w:cs="Arial" w:eastAsia="Arial" w:hAnsi="Arial"/>
                <w:sz w:val="14"/>
                <w:szCs w:val="14"/>
                <w:color w:val="2D3243"/>
              </w:rPr>
              <w:t>100</w:t>
            </w:r>
          </w:p>
        </w:tc>
        <w:tc>
          <w:tcPr>
            <w:tcW w:w="1720" w:type="dxa"/>
            <w:vAlign w:val="bottom"/>
          </w:tcPr>
          <w:p>
            <w:pPr>
              <w:jc w:val="right"/>
              <w:spacing w:after="0"/>
              <w:rPr>
                <w:sz w:val="20"/>
                <w:szCs w:val="20"/>
                <w:color w:val="auto"/>
              </w:rPr>
            </w:pPr>
            <w:r>
              <w:rPr>
                <w:rFonts w:ascii="Arial" w:cs="Arial" w:eastAsia="Arial" w:hAnsi="Arial"/>
                <w:sz w:val="14"/>
                <w:szCs w:val="14"/>
                <w:color w:val="2D3243"/>
              </w:rPr>
              <w:t>585,000</w:t>
            </w:r>
          </w:p>
        </w:tc>
      </w:tr>
      <w:tr>
        <w:trPr>
          <w:trHeight w:val="237"/>
        </w:trPr>
        <w:tc>
          <w:tcPr>
            <w:tcW w:w="80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146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75</w:t>
            </w:r>
          </w:p>
        </w:tc>
        <w:tc>
          <w:tcPr>
            <w:tcW w:w="17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322,500</w:t>
            </w:r>
          </w:p>
        </w:tc>
      </w:tr>
      <w:tr>
        <w:trPr>
          <w:trHeight w:val="235"/>
        </w:trPr>
        <w:tc>
          <w:tcPr>
            <w:tcW w:w="8060" w:type="dxa"/>
            <w:vAlign w:val="bottom"/>
          </w:tcPr>
          <w:p>
            <w:pPr>
              <w:ind w:left="100"/>
              <w:spacing w:after="0"/>
              <w:rPr>
                <w:sz w:val="20"/>
                <w:szCs w:val="20"/>
                <w:color w:val="auto"/>
              </w:rPr>
            </w:pPr>
            <w:r>
              <w:rPr>
                <w:rFonts w:ascii="Arial" w:cs="Arial" w:eastAsia="Arial" w:hAnsi="Arial"/>
                <w:sz w:val="14"/>
                <w:szCs w:val="14"/>
                <w:b w:val="1"/>
                <w:bCs w:val="1"/>
                <w:color w:val="2D3243"/>
              </w:rPr>
              <w:t>Daniel Burkland</w:t>
            </w:r>
          </w:p>
        </w:tc>
        <w:tc>
          <w:tcPr>
            <w:tcW w:w="1460" w:type="dxa"/>
            <w:vAlign w:val="bottom"/>
          </w:tcPr>
          <w:p>
            <w:pPr>
              <w:jc w:val="right"/>
              <w:spacing w:after="0"/>
              <w:rPr>
                <w:sz w:val="20"/>
                <w:szCs w:val="20"/>
                <w:color w:val="auto"/>
              </w:rPr>
            </w:pPr>
            <w:r>
              <w:rPr>
                <w:rFonts w:ascii="Arial" w:cs="Arial" w:eastAsia="Arial" w:hAnsi="Arial"/>
                <w:sz w:val="14"/>
                <w:szCs w:val="14"/>
                <w:color w:val="2D3243"/>
              </w:rPr>
              <w:t>100</w:t>
            </w:r>
          </w:p>
        </w:tc>
        <w:tc>
          <w:tcPr>
            <w:tcW w:w="1720" w:type="dxa"/>
            <w:vAlign w:val="bottom"/>
          </w:tcPr>
          <w:p>
            <w:pPr>
              <w:jc w:val="right"/>
              <w:spacing w:after="0"/>
              <w:rPr>
                <w:sz w:val="20"/>
                <w:szCs w:val="20"/>
                <w:color w:val="auto"/>
              </w:rPr>
            </w:pPr>
            <w:r>
              <w:rPr>
                <w:rFonts w:ascii="Arial" w:cs="Arial" w:eastAsia="Arial" w:hAnsi="Arial"/>
                <w:sz w:val="14"/>
                <w:szCs w:val="14"/>
                <w:color w:val="2D3243"/>
              </w:rPr>
              <w:t>425,000</w:t>
            </w:r>
          </w:p>
        </w:tc>
      </w:tr>
      <w:tr>
        <w:trPr>
          <w:trHeight w:val="48"/>
        </w:trPr>
        <w:tc>
          <w:tcPr>
            <w:tcW w:w="80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84"/>
        </w:trPr>
        <w:tc>
          <w:tcPr>
            <w:tcW w:w="80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r>
              <w:rPr>
                <w:rFonts w:ascii="Arial" w:cs="Arial" w:eastAsia="Arial" w:hAnsi="Arial"/>
                <w:sz w:val="18"/>
                <w:szCs w:val="18"/>
                <w:b w:val="1"/>
                <w:bCs w:val="1"/>
                <w:color w:val="2D3243"/>
                <w:vertAlign w:val="superscript"/>
              </w:rPr>
              <w:t>(1)</w:t>
            </w:r>
          </w:p>
        </w:tc>
        <w:tc>
          <w:tcPr>
            <w:tcW w:w="146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75</w:t>
            </w:r>
          </w:p>
        </w:tc>
        <w:tc>
          <w:tcPr>
            <w:tcW w:w="17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334,500</w:t>
            </w:r>
          </w:p>
        </w:tc>
      </w:tr>
      <w:tr>
        <w:trPr>
          <w:trHeight w:val="235"/>
        </w:trPr>
        <w:tc>
          <w:tcPr>
            <w:tcW w:w="8060" w:type="dxa"/>
            <w:vAlign w:val="bottom"/>
          </w:tcPr>
          <w:p>
            <w:pPr>
              <w:ind w:left="100"/>
              <w:spacing w:after="0"/>
              <w:rPr>
                <w:sz w:val="20"/>
                <w:szCs w:val="20"/>
                <w:color w:val="auto"/>
              </w:rPr>
            </w:pPr>
            <w:r>
              <w:rPr>
                <w:rFonts w:ascii="Arial" w:cs="Arial" w:eastAsia="Arial" w:hAnsi="Arial"/>
                <w:sz w:val="14"/>
                <w:szCs w:val="14"/>
                <w:b w:val="1"/>
                <w:bCs w:val="1"/>
                <w:color w:val="2D3243"/>
              </w:rPr>
              <w:t>Panos Kozanian</w:t>
            </w:r>
          </w:p>
        </w:tc>
        <w:tc>
          <w:tcPr>
            <w:tcW w:w="1460" w:type="dxa"/>
            <w:vAlign w:val="bottom"/>
          </w:tcPr>
          <w:p>
            <w:pPr>
              <w:jc w:val="right"/>
              <w:spacing w:after="0"/>
              <w:rPr>
                <w:sz w:val="20"/>
                <w:szCs w:val="20"/>
                <w:color w:val="auto"/>
              </w:rPr>
            </w:pPr>
            <w:r>
              <w:rPr>
                <w:rFonts w:ascii="Arial" w:cs="Arial" w:eastAsia="Arial" w:hAnsi="Arial"/>
                <w:sz w:val="14"/>
                <w:szCs w:val="14"/>
                <w:color w:val="2D3243"/>
              </w:rPr>
              <w:t>65</w:t>
            </w:r>
          </w:p>
        </w:tc>
        <w:tc>
          <w:tcPr>
            <w:tcW w:w="1720" w:type="dxa"/>
            <w:vAlign w:val="bottom"/>
          </w:tcPr>
          <w:p>
            <w:pPr>
              <w:jc w:val="right"/>
              <w:spacing w:after="0"/>
              <w:rPr>
                <w:sz w:val="20"/>
                <w:szCs w:val="20"/>
                <w:color w:val="auto"/>
              </w:rPr>
            </w:pPr>
            <w:r>
              <w:rPr>
                <w:rFonts w:ascii="Arial" w:cs="Arial" w:eastAsia="Arial" w:hAnsi="Arial"/>
                <w:sz w:val="14"/>
                <w:szCs w:val="14"/>
                <w:color w:val="2D3243"/>
              </w:rPr>
              <w:t>292,500</w:t>
            </w:r>
          </w:p>
        </w:tc>
      </w:tr>
      <w:tr>
        <w:trPr>
          <w:trHeight w:val="49"/>
        </w:trPr>
        <w:tc>
          <w:tcPr>
            <w:tcW w:w="8060" w:type="dxa"/>
            <w:vAlign w:val="bottom"/>
            <w:tcBorders>
              <w:bottom w:val="single" w:sz="8" w:color="0336FF"/>
            </w:tcBorders>
          </w:tcPr>
          <w:p>
            <w:pPr>
              <w:spacing w:after="0"/>
              <w:rPr>
                <w:sz w:val="4"/>
                <w:szCs w:val="4"/>
                <w:color w:val="auto"/>
              </w:rPr>
            </w:pPr>
          </w:p>
        </w:tc>
        <w:tc>
          <w:tcPr>
            <w:tcW w:w="1460" w:type="dxa"/>
            <w:vAlign w:val="bottom"/>
            <w:tcBorders>
              <w:bottom w:val="single" w:sz="8" w:color="0336FF"/>
            </w:tcBorders>
          </w:tcPr>
          <w:p>
            <w:pPr>
              <w:spacing w:after="0"/>
              <w:rPr>
                <w:sz w:val="4"/>
                <w:szCs w:val="4"/>
                <w:color w:val="auto"/>
              </w:rPr>
            </w:pPr>
          </w:p>
        </w:tc>
        <w:tc>
          <w:tcPr>
            <w:tcW w:w="1720" w:type="dxa"/>
            <w:vAlign w:val="bottom"/>
            <w:tcBorders>
              <w:bottom w:val="single" w:sz="8" w:color="0336FF"/>
            </w:tcBorders>
          </w:tcPr>
          <w:p>
            <w:pPr>
              <w:spacing w:after="0"/>
              <w:rPr>
                <w:sz w:val="4"/>
                <w:szCs w:val="4"/>
                <w:color w:val="auto"/>
              </w:rPr>
            </w:pPr>
          </w:p>
        </w:tc>
      </w:tr>
    </w:tbl>
    <w:p>
      <w:pPr>
        <w:spacing w:after="0" w:line="166"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2D3243"/>
        </w:rPr>
      </w:pPr>
      <w:r>
        <w:rPr>
          <w:rFonts w:ascii="Arial" w:cs="Arial" w:eastAsia="Arial" w:hAnsi="Arial"/>
          <w:sz w:val="14"/>
          <w:szCs w:val="14"/>
          <w:color w:val="2D3243"/>
        </w:rPr>
        <w:t>Mr. Dignan's annual target bonus % and dollar amount was effective from his appointment as an executive officer on November 9, 2023.</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2023 Bonus Program: Company Financial Performance Component</w:t>
      </w:r>
    </w:p>
    <w:p>
      <w:pPr>
        <w:spacing w:after="0" w:line="235" w:lineRule="exact"/>
        <w:rPr>
          <w:sz w:val="20"/>
          <w:szCs w:val="20"/>
          <w:color w:val="auto"/>
        </w:rPr>
      </w:pPr>
    </w:p>
    <w:p>
      <w:pPr>
        <w:spacing w:after="0" w:line="345" w:lineRule="auto"/>
        <w:rPr>
          <w:sz w:val="20"/>
          <w:szCs w:val="20"/>
          <w:color w:val="auto"/>
        </w:rPr>
      </w:pPr>
      <w:r>
        <w:rPr>
          <w:rFonts w:ascii="Arial" w:cs="Arial" w:eastAsia="Arial" w:hAnsi="Arial"/>
          <w:sz w:val="16"/>
          <w:szCs w:val="16"/>
          <w:color w:val="2D3243"/>
        </w:rPr>
        <w:t>In February 2023, the Compensation Committee approved revenue and Adjusted EBITDA as the Company performance measures for 2023 and established target performance levels for each semi-annual period based on our annual operating plan approved by the Board of Directors. The Compensation Committee chose revenue and Adjusted EBITDA as the performance measures for the 2023 Bonus Program because they are key performance indicators used by us in managing our business, and are linked to our growth and profitability and the creation of long-term stockholder value. For purposes of the 2023 Bonus Program, “Adjusted EBITDA” was calculated as net loss before (1) depreciation and amortization, (2) stock-based compensation, (3) interest expense, (4) interest (income) and other, (5) exit costs related to the closure and relocation of our Russian operations, (6) acquisition and related transaction costs and one-time integration costs, (7) contingent consideration expense, (8) refund for prior year overpayment of USF fees, (9) lease amortization for finance leases, (10) provision for (benefit from) income taxes, and (11) other items that do not directly affect what we consider to be our core operating performance.</w:t>
      </w:r>
    </w:p>
    <w:p>
      <w:pPr>
        <w:spacing w:after="0" w:line="382" w:lineRule="exact"/>
        <w:rPr>
          <w:sz w:val="20"/>
          <w:szCs w:val="20"/>
          <w:color w:val="auto"/>
        </w:rPr>
      </w:pPr>
    </w:p>
    <w:p>
      <w:pPr>
        <w:ind w:right="40"/>
        <w:spacing w:after="0" w:line="346" w:lineRule="auto"/>
        <w:rPr>
          <w:sz w:val="20"/>
          <w:szCs w:val="20"/>
          <w:color w:val="auto"/>
        </w:rPr>
      </w:pPr>
      <w:r>
        <w:rPr>
          <w:rFonts w:ascii="Arial" w:cs="Arial" w:eastAsia="Arial" w:hAnsi="Arial"/>
          <w:sz w:val="16"/>
          <w:szCs w:val="16"/>
          <w:color w:val="2D3243"/>
        </w:rPr>
        <w:t>Achievement below 85% of the revenue target, or 80% below the Adjusted EBITDA target, would result in no cash payout with respect to such performance measure. Achievement up to 125% of the revenue target would result in increasing payouts up to a maximum payout of 150% of the portion of the financial performance component allocated to the revenue measure. Achievement up to 150% of the Adjusted EBITDA target would result in increasing payouts up to a maximum payout of 150% of the portion of the financial performance component allocated to the Adjusted EBITDA measure. In the event that our actual Adjusted EBITDA was below 80% of the Adjusted EBITDA target, the maximum cash payout for achieving the revenue target would have been 100% of the revenue target.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51</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9" w:name="page60"/>
    <w:bookmarkEnd w:id="59"/>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2D3243"/>
        </w:rPr>
        <w:t>The following table summarizes the target performance levels for revenue and Adjusted EBITDA for each semi-annual period of 2023 and our actual results with respect to each semi-annual target.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80" w:type="dxa"/>
            <w:vAlign w:val="bottom"/>
            <w:shd w:val="clear" w:color="auto" w:fill="0336FF"/>
          </w:tcPr>
          <w:p>
            <w:pPr>
              <w:spacing w:after="0"/>
              <w:rPr>
                <w:sz w:val="16"/>
                <w:szCs w:val="16"/>
                <w:color w:val="auto"/>
              </w:rPr>
            </w:pPr>
          </w:p>
        </w:tc>
        <w:tc>
          <w:tcPr>
            <w:tcW w:w="100" w:type="dxa"/>
            <w:vAlign w:val="bottom"/>
            <w:shd w:val="clear" w:color="auto" w:fill="0336FF"/>
          </w:tcPr>
          <w:p>
            <w:pPr>
              <w:spacing w:after="0"/>
              <w:rPr>
                <w:sz w:val="16"/>
                <w:szCs w:val="16"/>
                <w:color w:val="auto"/>
              </w:rPr>
            </w:pPr>
          </w:p>
        </w:tc>
        <w:tc>
          <w:tcPr>
            <w:tcW w:w="2480" w:type="dxa"/>
            <w:vAlign w:val="bottom"/>
            <w:gridSpan w:val="3"/>
            <w:shd w:val="clear" w:color="auto" w:fill="0336FF"/>
          </w:tcPr>
          <w:p>
            <w:pPr>
              <w:jc w:val="right"/>
              <w:ind w:right="128"/>
              <w:spacing w:after="0"/>
              <w:rPr>
                <w:sz w:val="20"/>
                <w:szCs w:val="20"/>
                <w:color w:val="auto"/>
              </w:rPr>
            </w:pPr>
            <w:r>
              <w:rPr>
                <w:rFonts w:ascii="Arial" w:cs="Arial" w:eastAsia="Arial" w:hAnsi="Arial"/>
                <w:sz w:val="14"/>
                <w:szCs w:val="14"/>
                <w:b w:val="1"/>
                <w:bCs w:val="1"/>
                <w:color w:val="FFFFFF"/>
              </w:rPr>
              <w:t>Semi-Annual Period Ending June</w:t>
            </w:r>
          </w:p>
        </w:tc>
        <w:tc>
          <w:tcPr>
            <w:tcW w:w="300" w:type="dxa"/>
            <w:vAlign w:val="bottom"/>
            <w:shd w:val="clear" w:color="auto" w:fill="0336FF"/>
          </w:tcPr>
          <w:p>
            <w:pPr>
              <w:spacing w:after="0"/>
              <w:rPr>
                <w:sz w:val="16"/>
                <w:szCs w:val="16"/>
                <w:color w:val="auto"/>
              </w:rPr>
            </w:pPr>
          </w:p>
        </w:tc>
        <w:tc>
          <w:tcPr>
            <w:tcW w:w="2380" w:type="dxa"/>
            <w:vAlign w:val="bottom"/>
            <w:gridSpan w:val="3"/>
            <w:shd w:val="clear" w:color="auto" w:fill="0336FF"/>
          </w:tcPr>
          <w:p>
            <w:pPr>
              <w:jc w:val="center"/>
              <w:ind w:right="208"/>
              <w:spacing w:after="0"/>
              <w:rPr>
                <w:sz w:val="20"/>
                <w:szCs w:val="20"/>
                <w:color w:val="auto"/>
              </w:rPr>
            </w:pPr>
            <w:r>
              <w:rPr>
                <w:rFonts w:ascii="Arial" w:cs="Arial" w:eastAsia="Arial" w:hAnsi="Arial"/>
                <w:sz w:val="14"/>
                <w:szCs w:val="14"/>
                <w:b w:val="1"/>
                <w:bCs w:val="1"/>
                <w:color w:val="FFFFFF"/>
              </w:rPr>
              <w:t>Semi-Annual Period Ending</w:t>
            </w:r>
          </w:p>
        </w:tc>
      </w:tr>
      <w:tr>
        <w:trPr>
          <w:trHeight w:val="196"/>
        </w:trPr>
        <w:tc>
          <w:tcPr>
            <w:tcW w:w="5980" w:type="dxa"/>
            <w:vAlign w:val="bottom"/>
            <w:shd w:val="clear" w:color="auto" w:fill="0336FF"/>
          </w:tcPr>
          <w:p>
            <w:pPr>
              <w:spacing w:after="0"/>
              <w:rPr>
                <w:sz w:val="17"/>
                <w:szCs w:val="17"/>
                <w:color w:val="auto"/>
              </w:rPr>
            </w:pPr>
          </w:p>
        </w:tc>
        <w:tc>
          <w:tcPr>
            <w:tcW w:w="100" w:type="dxa"/>
            <w:vAlign w:val="bottom"/>
            <w:shd w:val="clear" w:color="auto" w:fill="0336FF"/>
          </w:tcPr>
          <w:p>
            <w:pPr>
              <w:spacing w:after="0"/>
              <w:rPr>
                <w:sz w:val="17"/>
                <w:szCs w:val="17"/>
                <w:color w:val="auto"/>
              </w:rPr>
            </w:pPr>
          </w:p>
        </w:tc>
        <w:tc>
          <w:tcPr>
            <w:tcW w:w="1720" w:type="dxa"/>
            <w:vAlign w:val="bottom"/>
            <w:gridSpan w:val="2"/>
            <w:shd w:val="clear" w:color="auto" w:fill="0336FF"/>
          </w:tcPr>
          <w:p>
            <w:pPr>
              <w:jc w:val="right"/>
              <w:ind w:right="228"/>
              <w:spacing w:after="0"/>
              <w:rPr>
                <w:sz w:val="20"/>
                <w:szCs w:val="20"/>
                <w:color w:val="auto"/>
              </w:rPr>
            </w:pPr>
            <w:r>
              <w:rPr>
                <w:rFonts w:ascii="Arial" w:cs="Arial" w:eastAsia="Arial" w:hAnsi="Arial"/>
                <w:sz w:val="14"/>
                <w:szCs w:val="14"/>
                <w:b w:val="1"/>
                <w:bCs w:val="1"/>
                <w:color w:val="FFFFFF"/>
              </w:rPr>
              <w:t>30, 2023</w:t>
            </w:r>
          </w:p>
        </w:tc>
        <w:tc>
          <w:tcPr>
            <w:tcW w:w="760" w:type="dxa"/>
            <w:vAlign w:val="bottom"/>
            <w:shd w:val="clear" w:color="auto" w:fill="0336FF"/>
          </w:tcPr>
          <w:p>
            <w:pPr>
              <w:spacing w:after="0"/>
              <w:rPr>
                <w:sz w:val="17"/>
                <w:szCs w:val="17"/>
                <w:color w:val="auto"/>
              </w:rPr>
            </w:pPr>
          </w:p>
        </w:tc>
        <w:tc>
          <w:tcPr>
            <w:tcW w:w="300" w:type="dxa"/>
            <w:vAlign w:val="bottom"/>
            <w:shd w:val="clear" w:color="auto" w:fill="0336FF"/>
          </w:tcPr>
          <w:p>
            <w:pPr>
              <w:spacing w:after="0"/>
              <w:rPr>
                <w:sz w:val="17"/>
                <w:szCs w:val="17"/>
                <w:color w:val="auto"/>
              </w:rPr>
            </w:pPr>
          </w:p>
        </w:tc>
        <w:tc>
          <w:tcPr>
            <w:tcW w:w="1820" w:type="dxa"/>
            <w:vAlign w:val="bottom"/>
            <w:gridSpan w:val="2"/>
            <w:shd w:val="clear" w:color="auto" w:fill="0336FF"/>
          </w:tcPr>
          <w:p>
            <w:pPr>
              <w:jc w:val="center"/>
              <w:ind w:left="208"/>
              <w:spacing w:after="0"/>
              <w:rPr>
                <w:sz w:val="20"/>
                <w:szCs w:val="20"/>
                <w:color w:val="auto"/>
              </w:rPr>
            </w:pPr>
            <w:r>
              <w:rPr>
                <w:rFonts w:ascii="Arial" w:cs="Arial" w:eastAsia="Arial" w:hAnsi="Arial"/>
                <w:sz w:val="14"/>
                <w:szCs w:val="14"/>
                <w:b w:val="1"/>
                <w:bCs w:val="1"/>
                <w:color w:val="FFFFFF"/>
              </w:rPr>
              <w:t>December 31, 2023</w:t>
            </w:r>
          </w:p>
        </w:tc>
        <w:tc>
          <w:tcPr>
            <w:tcW w:w="560" w:type="dxa"/>
            <w:vAlign w:val="bottom"/>
            <w:shd w:val="clear" w:color="auto" w:fill="0336FF"/>
          </w:tcPr>
          <w:p>
            <w:pPr>
              <w:spacing w:after="0"/>
              <w:rPr>
                <w:sz w:val="17"/>
                <w:szCs w:val="17"/>
                <w:color w:val="auto"/>
              </w:rPr>
            </w:pPr>
          </w:p>
        </w:tc>
      </w:tr>
      <w:tr>
        <w:trPr>
          <w:trHeight w:val="243"/>
        </w:trPr>
        <w:tc>
          <w:tcPr>
            <w:tcW w:w="5980" w:type="dxa"/>
            <w:vAlign w:val="bottom"/>
            <w:shd w:val="clear" w:color="auto" w:fill="0336FF"/>
          </w:tcPr>
          <w:p>
            <w:pPr>
              <w:spacing w:after="0"/>
              <w:rPr>
                <w:sz w:val="21"/>
                <w:szCs w:val="21"/>
                <w:color w:val="auto"/>
              </w:rPr>
            </w:pPr>
          </w:p>
        </w:tc>
        <w:tc>
          <w:tcPr>
            <w:tcW w:w="100" w:type="dxa"/>
            <w:vAlign w:val="bottom"/>
            <w:shd w:val="clear" w:color="auto" w:fill="0336FF"/>
          </w:tcPr>
          <w:p>
            <w:pPr>
              <w:spacing w:after="0"/>
              <w:rPr>
                <w:sz w:val="21"/>
                <w:szCs w:val="21"/>
                <w:color w:val="auto"/>
              </w:rPr>
            </w:pPr>
          </w:p>
        </w:tc>
        <w:tc>
          <w:tcPr>
            <w:tcW w:w="11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Revenue</w:t>
            </w:r>
          </w:p>
        </w:tc>
        <w:tc>
          <w:tcPr>
            <w:tcW w:w="1340" w:type="dxa"/>
            <w:vAlign w:val="bottom"/>
            <w:gridSpan w:val="2"/>
            <w:shd w:val="clear" w:color="auto" w:fill="0336FF"/>
          </w:tcPr>
          <w:p>
            <w:pPr>
              <w:ind w:left="40"/>
              <w:spacing w:after="0"/>
              <w:rPr>
                <w:sz w:val="20"/>
                <w:szCs w:val="20"/>
                <w:color w:val="auto"/>
              </w:rPr>
            </w:pPr>
            <w:r>
              <w:rPr>
                <w:rFonts w:ascii="Arial" w:cs="Arial" w:eastAsia="Arial" w:hAnsi="Arial"/>
                <w:sz w:val="14"/>
                <w:szCs w:val="14"/>
                <w:b w:val="1"/>
                <w:bCs w:val="1"/>
                <w:color w:val="FFFFFF"/>
              </w:rPr>
              <w:t>Adjusted EBITDA</w:t>
            </w:r>
          </w:p>
        </w:tc>
        <w:tc>
          <w:tcPr>
            <w:tcW w:w="300" w:type="dxa"/>
            <w:vAlign w:val="bottom"/>
            <w:shd w:val="clear" w:color="auto" w:fill="0336FF"/>
          </w:tcPr>
          <w:p>
            <w:pPr>
              <w:spacing w:after="0"/>
              <w:rPr>
                <w:sz w:val="21"/>
                <w:szCs w:val="21"/>
                <w:color w:val="auto"/>
              </w:rPr>
            </w:pPr>
          </w:p>
        </w:tc>
        <w:tc>
          <w:tcPr>
            <w:tcW w:w="2380" w:type="dxa"/>
            <w:vAlign w:val="bottom"/>
            <w:gridSpan w:val="3"/>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Revenue Adjusted EBITDA</w:t>
            </w:r>
          </w:p>
        </w:tc>
      </w:tr>
      <w:tr>
        <w:trPr>
          <w:trHeight w:val="70"/>
        </w:trPr>
        <w:tc>
          <w:tcPr>
            <w:tcW w:w="5980" w:type="dxa"/>
            <w:vAlign w:val="bottom"/>
            <w:shd w:val="clear" w:color="auto" w:fill="0336FF"/>
          </w:tcPr>
          <w:p>
            <w:pPr>
              <w:spacing w:after="0"/>
              <w:rPr>
                <w:sz w:val="6"/>
                <w:szCs w:val="6"/>
                <w:color w:val="auto"/>
              </w:rPr>
            </w:pPr>
          </w:p>
        </w:tc>
        <w:tc>
          <w:tcPr>
            <w:tcW w:w="100" w:type="dxa"/>
            <w:vAlign w:val="bottom"/>
            <w:shd w:val="clear" w:color="auto" w:fill="0336FF"/>
          </w:tcPr>
          <w:p>
            <w:pPr>
              <w:spacing w:after="0"/>
              <w:rPr>
                <w:sz w:val="6"/>
                <w:szCs w:val="6"/>
                <w:color w:val="auto"/>
              </w:rPr>
            </w:pPr>
          </w:p>
        </w:tc>
        <w:tc>
          <w:tcPr>
            <w:tcW w:w="1140" w:type="dxa"/>
            <w:vAlign w:val="bottom"/>
            <w:shd w:val="clear" w:color="auto" w:fill="0336FF"/>
          </w:tcPr>
          <w:p>
            <w:pPr>
              <w:spacing w:after="0"/>
              <w:rPr>
                <w:sz w:val="6"/>
                <w:szCs w:val="6"/>
                <w:color w:val="auto"/>
              </w:rPr>
            </w:pPr>
          </w:p>
        </w:tc>
        <w:tc>
          <w:tcPr>
            <w:tcW w:w="580" w:type="dxa"/>
            <w:vAlign w:val="bottom"/>
            <w:shd w:val="clear" w:color="auto" w:fill="0336FF"/>
          </w:tcPr>
          <w:p>
            <w:pPr>
              <w:spacing w:after="0"/>
              <w:rPr>
                <w:sz w:val="6"/>
                <w:szCs w:val="6"/>
                <w:color w:val="auto"/>
              </w:rPr>
            </w:pPr>
          </w:p>
        </w:tc>
        <w:tc>
          <w:tcPr>
            <w:tcW w:w="760" w:type="dxa"/>
            <w:vAlign w:val="bottom"/>
            <w:shd w:val="clear" w:color="auto" w:fill="0336FF"/>
          </w:tcPr>
          <w:p>
            <w:pPr>
              <w:spacing w:after="0"/>
              <w:rPr>
                <w:sz w:val="6"/>
                <w:szCs w:val="6"/>
                <w:color w:val="auto"/>
              </w:rPr>
            </w:pPr>
          </w:p>
        </w:tc>
        <w:tc>
          <w:tcPr>
            <w:tcW w:w="300" w:type="dxa"/>
            <w:vAlign w:val="bottom"/>
            <w:shd w:val="clear" w:color="auto" w:fill="0336FF"/>
          </w:tcPr>
          <w:p>
            <w:pPr>
              <w:spacing w:after="0"/>
              <w:rPr>
                <w:sz w:val="6"/>
                <w:szCs w:val="6"/>
                <w:color w:val="auto"/>
              </w:rPr>
            </w:pPr>
          </w:p>
        </w:tc>
        <w:tc>
          <w:tcPr>
            <w:tcW w:w="1020" w:type="dxa"/>
            <w:vAlign w:val="bottom"/>
            <w:shd w:val="clear" w:color="auto" w:fill="0336FF"/>
          </w:tcPr>
          <w:p>
            <w:pPr>
              <w:spacing w:after="0"/>
              <w:rPr>
                <w:sz w:val="6"/>
                <w:szCs w:val="6"/>
                <w:color w:val="auto"/>
              </w:rPr>
            </w:pPr>
          </w:p>
        </w:tc>
        <w:tc>
          <w:tcPr>
            <w:tcW w:w="800" w:type="dxa"/>
            <w:vAlign w:val="bottom"/>
            <w:shd w:val="clear" w:color="auto" w:fill="0336FF"/>
          </w:tcPr>
          <w:p>
            <w:pPr>
              <w:spacing w:after="0"/>
              <w:rPr>
                <w:sz w:val="6"/>
                <w:szCs w:val="6"/>
                <w:color w:val="auto"/>
              </w:rPr>
            </w:pPr>
          </w:p>
        </w:tc>
        <w:tc>
          <w:tcPr>
            <w:tcW w:w="560" w:type="dxa"/>
            <w:vAlign w:val="bottom"/>
            <w:shd w:val="clear" w:color="auto" w:fill="0336FF"/>
          </w:tcPr>
          <w:p>
            <w:pPr>
              <w:spacing w:after="0"/>
              <w:rPr>
                <w:sz w:val="6"/>
                <w:szCs w:val="6"/>
                <w:color w:val="auto"/>
              </w:rPr>
            </w:pPr>
          </w:p>
        </w:tc>
      </w:tr>
      <w:tr>
        <w:trPr>
          <w:trHeight w:val="208"/>
        </w:trPr>
        <w:tc>
          <w:tcPr>
            <w:tcW w:w="5980" w:type="dxa"/>
            <w:vAlign w:val="bottom"/>
          </w:tcPr>
          <w:p>
            <w:pPr>
              <w:ind w:left="20"/>
              <w:spacing w:after="0"/>
              <w:rPr>
                <w:sz w:val="20"/>
                <w:szCs w:val="20"/>
                <w:color w:val="auto"/>
              </w:rPr>
            </w:pPr>
            <w:r>
              <w:rPr>
                <w:rFonts w:ascii="Arial" w:cs="Arial" w:eastAsia="Arial" w:hAnsi="Arial"/>
                <w:sz w:val="14"/>
                <w:szCs w:val="14"/>
                <w:color w:val="2D3243"/>
              </w:rPr>
              <w:t>Target (in millions)</w:t>
            </w:r>
          </w:p>
        </w:tc>
        <w:tc>
          <w:tcPr>
            <w:tcW w:w="100" w:type="dxa"/>
            <w:vAlign w:val="bottom"/>
          </w:tcPr>
          <w:p>
            <w:pPr>
              <w:jc w:val="right"/>
              <w:spacing w:after="0"/>
              <w:rPr>
                <w:sz w:val="20"/>
                <w:szCs w:val="20"/>
                <w:color w:val="auto"/>
              </w:rPr>
            </w:pPr>
            <w:r>
              <w:rPr>
                <w:rFonts w:ascii="Arial" w:cs="Arial" w:eastAsia="Arial" w:hAnsi="Arial"/>
                <w:sz w:val="14"/>
                <w:szCs w:val="14"/>
                <w:color w:val="2D3243"/>
              </w:rPr>
              <w:t>$</w:t>
            </w:r>
          </w:p>
        </w:tc>
        <w:tc>
          <w:tcPr>
            <w:tcW w:w="1140" w:type="dxa"/>
            <w:vAlign w:val="bottom"/>
          </w:tcPr>
          <w:p>
            <w:pPr>
              <w:jc w:val="right"/>
              <w:spacing w:after="0"/>
              <w:rPr>
                <w:sz w:val="20"/>
                <w:szCs w:val="20"/>
                <w:color w:val="auto"/>
              </w:rPr>
            </w:pPr>
            <w:r>
              <w:rPr>
                <w:rFonts w:ascii="Arial" w:cs="Arial" w:eastAsia="Arial" w:hAnsi="Arial"/>
                <w:sz w:val="14"/>
                <w:szCs w:val="14"/>
                <w:color w:val="2D3243"/>
              </w:rPr>
              <w:t>435.7</w:t>
            </w:r>
          </w:p>
        </w:tc>
        <w:tc>
          <w:tcPr>
            <w:tcW w:w="580" w:type="dxa"/>
            <w:vAlign w:val="bottom"/>
          </w:tcPr>
          <w:p>
            <w:pPr>
              <w:ind w:left="20"/>
              <w:spacing w:after="0"/>
              <w:rPr>
                <w:sz w:val="20"/>
                <w:szCs w:val="20"/>
                <w:color w:val="auto"/>
              </w:rPr>
            </w:pPr>
            <w:r>
              <w:rPr>
                <w:rFonts w:ascii="Arial" w:cs="Arial" w:eastAsia="Arial" w:hAnsi="Arial"/>
                <w:sz w:val="14"/>
                <w:szCs w:val="14"/>
                <w:color w:val="2D3243"/>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2D3243"/>
              </w:rPr>
              <w:t>56.4</w:t>
            </w:r>
          </w:p>
        </w:tc>
        <w:tc>
          <w:tcPr>
            <w:tcW w:w="300" w:type="dxa"/>
            <w:vAlign w:val="bottom"/>
          </w:tcPr>
          <w:p>
            <w:pPr>
              <w:jc w:val="right"/>
              <w:ind w:right="28"/>
              <w:spacing w:after="0"/>
              <w:rPr>
                <w:sz w:val="20"/>
                <w:szCs w:val="20"/>
                <w:color w:val="auto"/>
              </w:rPr>
            </w:pPr>
            <w:r>
              <w:rPr>
                <w:rFonts w:ascii="Arial" w:cs="Arial" w:eastAsia="Arial" w:hAnsi="Arial"/>
                <w:sz w:val="14"/>
                <w:szCs w:val="14"/>
                <w:color w:val="2D3243"/>
              </w:rPr>
              <w:t>$</w:t>
            </w:r>
          </w:p>
        </w:tc>
        <w:tc>
          <w:tcPr>
            <w:tcW w:w="1020" w:type="dxa"/>
            <w:vAlign w:val="bottom"/>
          </w:tcPr>
          <w:p>
            <w:pPr>
              <w:jc w:val="right"/>
              <w:spacing w:after="0"/>
              <w:rPr>
                <w:sz w:val="20"/>
                <w:szCs w:val="20"/>
                <w:color w:val="auto"/>
              </w:rPr>
            </w:pPr>
            <w:r>
              <w:rPr>
                <w:rFonts w:ascii="Arial" w:cs="Arial" w:eastAsia="Arial" w:hAnsi="Arial"/>
                <w:sz w:val="14"/>
                <w:szCs w:val="14"/>
                <w:color w:val="2D3243"/>
              </w:rPr>
              <w:t>478.3</w:t>
            </w:r>
          </w:p>
        </w:tc>
        <w:tc>
          <w:tcPr>
            <w:tcW w:w="800" w:type="dxa"/>
            <w:vAlign w:val="bottom"/>
          </w:tcPr>
          <w:p>
            <w:pPr>
              <w:jc w:val="right"/>
              <w:ind w:right="608"/>
              <w:spacing w:after="0"/>
              <w:rPr>
                <w:sz w:val="20"/>
                <w:szCs w:val="20"/>
                <w:color w:val="auto"/>
              </w:rPr>
            </w:pPr>
            <w:r>
              <w:rPr>
                <w:rFonts w:ascii="Arial" w:cs="Arial" w:eastAsia="Arial" w:hAnsi="Arial"/>
                <w:sz w:val="14"/>
                <w:szCs w:val="14"/>
                <w:color w:val="2D3243"/>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2D3243"/>
              </w:rPr>
              <w:t>85.2</w:t>
            </w:r>
          </w:p>
        </w:tc>
      </w:tr>
      <w:tr>
        <w:trPr>
          <w:trHeight w:val="22"/>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98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color w:val="2D3243"/>
              </w:rPr>
              <w:t>Actual (in millions)</w:t>
            </w:r>
          </w:p>
        </w:tc>
        <w:tc>
          <w:tcPr>
            <w:tcW w:w="10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114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441.3</w:t>
            </w:r>
          </w:p>
        </w:tc>
        <w:tc>
          <w:tcPr>
            <w:tcW w:w="58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color w:val="2D3243"/>
              </w:rPr>
              <w:t>$</w:t>
            </w:r>
          </w:p>
        </w:tc>
        <w:tc>
          <w:tcPr>
            <w:tcW w:w="76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76.7</w:t>
            </w:r>
          </w:p>
        </w:tc>
        <w:tc>
          <w:tcPr>
            <w:tcW w:w="300" w:type="dxa"/>
            <w:vAlign w:val="bottom"/>
            <w:tcBorders>
              <w:bottom w:val="single" w:sz="8" w:color="F0F1F2"/>
            </w:tcBorders>
            <w:shd w:val="clear" w:color="auto" w:fill="F0F1F2"/>
          </w:tcPr>
          <w:p>
            <w:pPr>
              <w:jc w:val="right"/>
              <w:ind w:right="28"/>
              <w:spacing w:after="0"/>
              <w:rPr>
                <w:sz w:val="20"/>
                <w:szCs w:val="20"/>
                <w:color w:val="auto"/>
              </w:rPr>
            </w:pPr>
            <w:r>
              <w:rPr>
                <w:rFonts w:ascii="Arial" w:cs="Arial" w:eastAsia="Arial" w:hAnsi="Arial"/>
                <w:sz w:val="14"/>
                <w:szCs w:val="14"/>
                <w:color w:val="2D3243"/>
              </w:rPr>
              <w:t>$</w:t>
            </w:r>
          </w:p>
        </w:tc>
        <w:tc>
          <w:tcPr>
            <w:tcW w:w="102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469.2</w:t>
            </w:r>
          </w:p>
        </w:tc>
        <w:tc>
          <w:tcPr>
            <w:tcW w:w="800" w:type="dxa"/>
            <w:vAlign w:val="bottom"/>
            <w:tcBorders>
              <w:bottom w:val="single" w:sz="8" w:color="F0F1F2"/>
            </w:tcBorders>
            <w:shd w:val="clear" w:color="auto" w:fill="F0F1F2"/>
          </w:tcPr>
          <w:p>
            <w:pPr>
              <w:jc w:val="right"/>
              <w:ind w:right="608"/>
              <w:spacing w:after="0"/>
              <w:rPr>
                <w:sz w:val="20"/>
                <w:szCs w:val="20"/>
                <w:color w:val="auto"/>
              </w:rPr>
            </w:pPr>
            <w:r>
              <w:rPr>
                <w:rFonts w:ascii="Arial" w:cs="Arial" w:eastAsia="Arial" w:hAnsi="Arial"/>
                <w:sz w:val="14"/>
                <w:szCs w:val="14"/>
                <w:color w:val="2D3243"/>
              </w:rPr>
              <w:t>$</w:t>
            </w:r>
          </w:p>
        </w:tc>
        <w:tc>
          <w:tcPr>
            <w:tcW w:w="56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89.6</w:t>
            </w:r>
          </w:p>
        </w:tc>
      </w:tr>
      <w:tr>
        <w:trPr>
          <w:trHeight w:val="208"/>
        </w:trPr>
        <w:tc>
          <w:tcPr>
            <w:tcW w:w="5980" w:type="dxa"/>
            <w:vAlign w:val="bottom"/>
          </w:tcPr>
          <w:p>
            <w:pPr>
              <w:ind w:left="20"/>
              <w:spacing w:after="0"/>
              <w:rPr>
                <w:sz w:val="20"/>
                <w:szCs w:val="20"/>
                <w:color w:val="auto"/>
              </w:rPr>
            </w:pPr>
            <w:r>
              <w:rPr>
                <w:rFonts w:ascii="Arial" w:cs="Arial" w:eastAsia="Arial" w:hAnsi="Arial"/>
                <w:sz w:val="14"/>
                <w:szCs w:val="14"/>
                <w:color w:val="2D3243"/>
              </w:rPr>
              <w:t>Payout (% of Target)</w:t>
            </w:r>
            <w:r>
              <w:rPr>
                <w:rFonts w:ascii="Arial" w:cs="Arial" w:eastAsia="Arial" w:hAnsi="Arial"/>
                <w:sz w:val="9"/>
                <w:szCs w:val="9"/>
                <w:color w:val="2D3243"/>
              </w:rPr>
              <w:t>(1)</w:t>
            </w:r>
          </w:p>
        </w:tc>
        <w:tc>
          <w:tcPr>
            <w:tcW w:w="100" w:type="dxa"/>
            <w:vAlign w:val="bottom"/>
          </w:tcPr>
          <w:p>
            <w:pPr>
              <w:spacing w:after="0"/>
              <w:rPr>
                <w:sz w:val="18"/>
                <w:szCs w:val="18"/>
                <w:color w:val="auto"/>
              </w:rPr>
            </w:pPr>
          </w:p>
        </w:tc>
        <w:tc>
          <w:tcPr>
            <w:tcW w:w="1720" w:type="dxa"/>
            <w:vAlign w:val="bottom"/>
            <w:gridSpan w:val="2"/>
          </w:tcPr>
          <w:p>
            <w:pPr>
              <w:jc w:val="right"/>
              <w:ind w:right="268"/>
              <w:spacing w:after="0"/>
              <w:rPr>
                <w:sz w:val="20"/>
                <w:szCs w:val="20"/>
                <w:color w:val="auto"/>
              </w:rPr>
            </w:pPr>
            <w:r>
              <w:rPr>
                <w:rFonts w:ascii="Arial" w:cs="Arial" w:eastAsia="Arial" w:hAnsi="Arial"/>
                <w:sz w:val="14"/>
                <w:szCs w:val="14"/>
                <w:color w:val="2D3243"/>
              </w:rPr>
              <w:t>110.9%</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center"/>
              <w:ind w:left="188"/>
              <w:spacing w:after="0"/>
              <w:rPr>
                <w:sz w:val="20"/>
                <w:szCs w:val="20"/>
                <w:color w:val="auto"/>
              </w:rPr>
            </w:pPr>
            <w:r>
              <w:rPr>
                <w:rFonts w:ascii="Arial" w:cs="Arial" w:eastAsia="Arial" w:hAnsi="Arial"/>
                <w:sz w:val="14"/>
                <w:szCs w:val="14"/>
                <w:color w:val="2D3243"/>
              </w:rPr>
              <w:t>97.7%</w:t>
            </w:r>
          </w:p>
        </w:tc>
        <w:tc>
          <w:tcPr>
            <w:tcW w:w="560" w:type="dxa"/>
            <w:vAlign w:val="bottom"/>
          </w:tcPr>
          <w:p>
            <w:pPr>
              <w:spacing w:after="0"/>
              <w:rPr>
                <w:sz w:val="18"/>
                <w:szCs w:val="18"/>
                <w:color w:val="auto"/>
              </w:rPr>
            </w:pPr>
          </w:p>
        </w:tc>
      </w:tr>
      <w:tr>
        <w:trPr>
          <w:trHeight w:val="22"/>
        </w:trPr>
        <w:tc>
          <w:tcPr>
            <w:tcW w:w="5980" w:type="dxa"/>
            <w:vAlign w:val="bottom"/>
            <w:tcBorders>
              <w:bottom w:val="single" w:sz="8" w:color="0336FF"/>
            </w:tcBorders>
          </w:tcPr>
          <w:p>
            <w:pPr>
              <w:spacing w:after="0" w:line="20" w:lineRule="exact"/>
              <w:rPr>
                <w:sz w:val="1"/>
                <w:szCs w:val="1"/>
                <w:color w:val="auto"/>
              </w:rPr>
            </w:pPr>
          </w:p>
        </w:tc>
        <w:tc>
          <w:tcPr>
            <w:tcW w:w="100" w:type="dxa"/>
            <w:vAlign w:val="bottom"/>
            <w:tcBorders>
              <w:bottom w:val="single" w:sz="8" w:color="0336FF"/>
            </w:tcBorders>
          </w:tcPr>
          <w:p>
            <w:pPr>
              <w:spacing w:after="0" w:line="20" w:lineRule="exact"/>
              <w:rPr>
                <w:sz w:val="1"/>
                <w:szCs w:val="1"/>
                <w:color w:val="auto"/>
              </w:rPr>
            </w:pPr>
          </w:p>
        </w:tc>
        <w:tc>
          <w:tcPr>
            <w:tcW w:w="1140" w:type="dxa"/>
            <w:vAlign w:val="bottom"/>
            <w:tcBorders>
              <w:bottom w:val="single" w:sz="8" w:color="0336FF"/>
            </w:tcBorders>
          </w:tcPr>
          <w:p>
            <w:pPr>
              <w:spacing w:after="0" w:line="20" w:lineRule="exact"/>
              <w:rPr>
                <w:sz w:val="1"/>
                <w:szCs w:val="1"/>
                <w:color w:val="auto"/>
              </w:rPr>
            </w:pPr>
          </w:p>
        </w:tc>
        <w:tc>
          <w:tcPr>
            <w:tcW w:w="580" w:type="dxa"/>
            <w:vAlign w:val="bottom"/>
            <w:tcBorders>
              <w:bottom w:val="single" w:sz="8" w:color="0336FF"/>
            </w:tcBorders>
          </w:tcPr>
          <w:p>
            <w:pPr>
              <w:spacing w:after="0" w:line="20" w:lineRule="exact"/>
              <w:rPr>
                <w:sz w:val="1"/>
                <w:szCs w:val="1"/>
                <w:color w:val="auto"/>
              </w:rPr>
            </w:pPr>
          </w:p>
        </w:tc>
        <w:tc>
          <w:tcPr>
            <w:tcW w:w="760" w:type="dxa"/>
            <w:vAlign w:val="bottom"/>
            <w:tcBorders>
              <w:bottom w:val="single" w:sz="8" w:color="0336FF"/>
            </w:tcBorders>
          </w:tcPr>
          <w:p>
            <w:pPr>
              <w:spacing w:after="0" w:line="20" w:lineRule="exact"/>
              <w:rPr>
                <w:sz w:val="1"/>
                <w:szCs w:val="1"/>
                <w:color w:val="auto"/>
              </w:rPr>
            </w:pPr>
          </w:p>
        </w:tc>
        <w:tc>
          <w:tcPr>
            <w:tcW w:w="300" w:type="dxa"/>
            <w:vAlign w:val="bottom"/>
            <w:tcBorders>
              <w:bottom w:val="single" w:sz="8" w:color="0336FF"/>
            </w:tcBorders>
          </w:tcPr>
          <w:p>
            <w:pPr>
              <w:spacing w:after="0" w:line="20" w:lineRule="exact"/>
              <w:rPr>
                <w:sz w:val="1"/>
                <w:szCs w:val="1"/>
                <w:color w:val="auto"/>
              </w:rPr>
            </w:pPr>
          </w:p>
        </w:tc>
        <w:tc>
          <w:tcPr>
            <w:tcW w:w="1020" w:type="dxa"/>
            <w:vAlign w:val="bottom"/>
            <w:tcBorders>
              <w:bottom w:val="single" w:sz="8" w:color="0336FF"/>
            </w:tcBorders>
          </w:tcPr>
          <w:p>
            <w:pPr>
              <w:spacing w:after="0" w:line="20" w:lineRule="exact"/>
              <w:rPr>
                <w:sz w:val="1"/>
                <w:szCs w:val="1"/>
                <w:color w:val="auto"/>
              </w:rPr>
            </w:pPr>
          </w:p>
        </w:tc>
        <w:tc>
          <w:tcPr>
            <w:tcW w:w="800" w:type="dxa"/>
            <w:vAlign w:val="bottom"/>
            <w:tcBorders>
              <w:bottom w:val="single" w:sz="8" w:color="0336FF"/>
            </w:tcBorders>
          </w:tcPr>
          <w:p>
            <w:pPr>
              <w:spacing w:after="0" w:line="20" w:lineRule="exact"/>
              <w:rPr>
                <w:sz w:val="1"/>
                <w:szCs w:val="1"/>
                <w:color w:val="auto"/>
              </w:rPr>
            </w:pPr>
          </w:p>
        </w:tc>
        <w:tc>
          <w:tcPr>
            <w:tcW w:w="560" w:type="dxa"/>
            <w:vAlign w:val="bottom"/>
            <w:tcBorders>
              <w:bottom w:val="single" w:sz="8" w:color="0336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-633730</wp:posOffset>
            </wp:positionV>
            <wp:extent cx="32829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2D3243"/>
        </w:rPr>
      </w:pPr>
      <w:r>
        <w:rPr>
          <w:rFonts w:ascii="Arial" w:cs="Arial" w:eastAsia="Arial" w:hAnsi="Arial"/>
          <w:sz w:val="14"/>
          <w:szCs w:val="14"/>
          <w:color w:val="2D3243"/>
        </w:rPr>
        <w:t>Prior to determination of the final payout percentage, the results of any unbudgeted acquisitions during the period were excluded from the calculation.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2023 Bonus Program: Individual Performance Component</w:t>
      </w:r>
    </w:p>
    <w:p>
      <w:pPr>
        <w:spacing w:after="0" w:line="235" w:lineRule="exact"/>
        <w:rPr>
          <w:sz w:val="20"/>
          <w:szCs w:val="20"/>
          <w:color w:val="auto"/>
        </w:rPr>
      </w:pPr>
    </w:p>
    <w:p>
      <w:pPr>
        <w:ind w:right="120"/>
        <w:spacing w:after="0" w:line="363" w:lineRule="auto"/>
        <w:rPr>
          <w:sz w:val="20"/>
          <w:szCs w:val="20"/>
          <w:color w:val="auto"/>
        </w:rPr>
      </w:pPr>
      <w:r>
        <w:rPr>
          <w:rFonts w:ascii="Arial" w:cs="Arial" w:eastAsia="Arial" w:hAnsi="Arial"/>
          <w:sz w:val="16"/>
          <w:szCs w:val="16"/>
          <w:color w:val="2D3243"/>
        </w:rPr>
        <w:t>Payout of the individual performance component of the 2023 Bonus Program was based on achievement of challenging, but achievable, individual strategic objectives for each NEO (other than our CEO, whose target annual cash bonus opportunity was based solely on our company financial performance) that aligned with our key strategic goals established by the Board of Directors.</w:t>
      </w:r>
    </w:p>
    <w:p>
      <w:pPr>
        <w:spacing w:after="0" w:line="110"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2D3243"/>
        </w:rPr>
        <w:t>Each applicable NEO’s individual strategic objectives generally included results to be achieved in the NEO’s functional area or business unit, such as achievement of corporate development initiatives and technological milestones, successful releases of new products or updates, hiring and retention of key employees, and increased efficiency and gross margins. In each half of 2023, the Compensation Committee determined that our NEOs with individual performance objectives achieved between 72% and 100% of their individual strategic objectives. The Compensation Committee's determination with respect to our other NEOs (other than Mr. Daniel Burkland) was based on recommendations from our CEO.</w:t>
      </w:r>
    </w:p>
    <w:p>
      <w:pPr>
        <w:spacing w:after="0" w:line="124" w:lineRule="exact"/>
        <w:rPr>
          <w:sz w:val="20"/>
          <w:szCs w:val="20"/>
          <w:color w:val="auto"/>
        </w:rPr>
      </w:pPr>
    </w:p>
    <w:p>
      <w:pPr>
        <w:ind w:right="20"/>
        <w:spacing w:after="0" w:line="344" w:lineRule="auto"/>
        <w:rPr>
          <w:sz w:val="20"/>
          <w:szCs w:val="20"/>
          <w:color w:val="auto"/>
        </w:rPr>
      </w:pPr>
      <w:r>
        <w:rPr>
          <w:rFonts w:ascii="Arial" w:cs="Arial" w:eastAsia="Arial" w:hAnsi="Arial"/>
          <w:sz w:val="16"/>
          <w:szCs w:val="16"/>
          <w:color w:val="2D3243"/>
        </w:rPr>
        <w:t>75% of Daniel Burkland’s bonus under the 2023 Bonus Program was based on achievement against the quarterly bookings and bookings-related quotas for our larger and smaller clients and 6.25% was based on the achievement of key individual strategic goals. In the two semi-annual payment periods of 2023, the Compensation Committee determined that Daniel Burkland achieved bookings commissions of $158,628 and $150,715, respectively. As Daniel Burkland did not exceed his quarterly cumulative bookings commissions goals in any quarter of 2023 in the aggregate across all of the bookings components by more than 20%, he did not earn an additional $50,000 cash bonus in any quarter of 2023.</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2023 Bonus Program: 2023 Payment Summary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summarizes the total payments made to each of our NEOs for 2023 as a result of the achievement of the Company financial and, where</w:t>
      </w:r>
    </w:p>
    <w:p>
      <w:pPr>
        <w:sectPr>
          <w:pgSz w:w="11900" w:h="16838" w:orient="portrait"/>
          <w:cols w:equalWidth="0" w:num="1">
            <w:col w:w="11240"/>
          </w:cols>
          <w:pgMar w:left="320" w:top="184" w:right="33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2D3243"/>
        </w:rPr>
        <w:t>applicable, individual performance objectives as described above.</w:t>
      </w: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NEO</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Michael Burkland</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Barry Zwarenstein</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Daniel Burkland</w:t>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Andy Dignan</w:t>
      </w:r>
      <w:r>
        <w:rPr>
          <w:rFonts w:ascii="Arial" w:cs="Arial" w:eastAsia="Arial" w:hAnsi="Arial"/>
          <w:sz w:val="18"/>
          <w:szCs w:val="18"/>
          <w:b w:val="1"/>
          <w:bCs w:val="1"/>
          <w:color w:val="2D3243"/>
          <w:vertAlign w:val="superscript"/>
        </w:rPr>
        <w:t>(1)</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Panos Kozanian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jc w:val="right"/>
              <w:ind w:right="68"/>
              <w:spacing w:after="0"/>
              <w:rPr>
                <w:sz w:val="20"/>
                <w:szCs w:val="20"/>
                <w:color w:val="auto"/>
              </w:rPr>
            </w:pPr>
            <w:r>
              <w:rPr>
                <w:rFonts w:ascii="Arial" w:cs="Arial" w:eastAsia="Arial" w:hAnsi="Arial"/>
                <w:sz w:val="14"/>
                <w:szCs w:val="14"/>
                <w:b w:val="1"/>
                <w:bCs w:val="1"/>
                <w:color w:val="FFFFFF"/>
              </w:rPr>
              <w:t>First Half</w:t>
            </w: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FFFFFF"/>
              </w:rPr>
              <w:t>2023</w:t>
            </w:r>
          </w:p>
        </w:tc>
        <w:tc>
          <w:tcPr>
            <w:tcW w:w="1640" w:type="dxa"/>
            <w:vAlign w:val="bottom"/>
          </w:tcPr>
          <w:p>
            <w:pPr>
              <w:spacing w:after="0"/>
              <w:rPr>
                <w:sz w:val="14"/>
                <w:szCs w:val="14"/>
                <w:color w:val="auto"/>
              </w:rPr>
            </w:pPr>
          </w:p>
        </w:tc>
        <w:tc>
          <w:tcPr>
            <w:tcW w:w="1560" w:type="dxa"/>
            <w:vAlign w:val="bottom"/>
          </w:tcPr>
          <w:p>
            <w:pPr>
              <w:jc w:val="right"/>
              <w:ind w:right="468"/>
              <w:spacing w:after="0"/>
              <w:rPr>
                <w:sz w:val="20"/>
                <w:szCs w:val="20"/>
                <w:color w:val="auto"/>
              </w:rPr>
            </w:pPr>
            <w:r>
              <w:rPr>
                <w:rFonts w:ascii="Arial" w:cs="Arial" w:eastAsia="Arial" w:hAnsi="Arial"/>
                <w:sz w:val="14"/>
                <w:szCs w:val="14"/>
                <w:b w:val="1"/>
                <w:bCs w:val="1"/>
                <w:color w:val="FFFFFF"/>
              </w:rPr>
              <w:t>Total 2023</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FFFFFF"/>
              </w:rPr>
              <w:t>% of</w:t>
            </w:r>
          </w:p>
        </w:tc>
      </w:tr>
      <w:tr>
        <w:trPr>
          <w:trHeight w:val="217"/>
        </w:trPr>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FFFFFF"/>
              </w:rPr>
              <w:t>($)</w:t>
            </w:r>
          </w:p>
        </w:tc>
        <w:tc>
          <w:tcPr>
            <w:tcW w:w="1640" w:type="dxa"/>
            <w:vAlign w:val="bottom"/>
          </w:tcPr>
          <w:p>
            <w:pPr>
              <w:jc w:val="right"/>
              <w:ind w:right="268"/>
              <w:spacing w:after="0"/>
              <w:rPr>
                <w:sz w:val="20"/>
                <w:szCs w:val="20"/>
                <w:color w:val="auto"/>
              </w:rPr>
            </w:pPr>
            <w:r>
              <w:rPr>
                <w:rFonts w:ascii="Arial" w:cs="Arial" w:eastAsia="Arial" w:hAnsi="Arial"/>
                <w:sz w:val="14"/>
                <w:szCs w:val="14"/>
                <w:b w:val="1"/>
                <w:bCs w:val="1"/>
                <w:color w:val="FFFFFF"/>
              </w:rPr>
              <w:t>Second Half 2023</w:t>
            </w:r>
          </w:p>
        </w:tc>
        <w:tc>
          <w:tcPr>
            <w:tcW w:w="1560" w:type="dxa"/>
            <w:vAlign w:val="bottom"/>
          </w:tcPr>
          <w:p>
            <w:pPr>
              <w:jc w:val="right"/>
              <w:ind w:right="428"/>
              <w:spacing w:after="0"/>
              <w:rPr>
                <w:sz w:val="20"/>
                <w:szCs w:val="20"/>
                <w:color w:val="auto"/>
              </w:rPr>
            </w:pPr>
            <w:r>
              <w:rPr>
                <w:rFonts w:ascii="Arial" w:cs="Arial" w:eastAsia="Arial" w:hAnsi="Arial"/>
                <w:sz w:val="14"/>
                <w:szCs w:val="14"/>
                <w:b w:val="1"/>
                <w:bCs w:val="1"/>
                <w:color w:val="FFFFFF"/>
              </w:rPr>
              <w:t>Payout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FFFFFF"/>
              </w:rPr>
              <w:t>Target</w:t>
            </w:r>
          </w:p>
        </w:tc>
      </w:tr>
      <w:tr>
        <w:trPr>
          <w:trHeight w:val="62"/>
        </w:trPr>
        <w:tc>
          <w:tcPr>
            <w:tcW w:w="1500" w:type="dxa"/>
            <w:vAlign w:val="bottom"/>
            <w:shd w:val="clear" w:color="auto" w:fill="0336FF"/>
          </w:tcPr>
          <w:p>
            <w:pPr>
              <w:spacing w:after="0"/>
              <w:rPr>
                <w:sz w:val="5"/>
                <w:szCs w:val="5"/>
                <w:color w:val="auto"/>
              </w:rPr>
            </w:pPr>
          </w:p>
        </w:tc>
        <w:tc>
          <w:tcPr>
            <w:tcW w:w="1640" w:type="dxa"/>
            <w:vAlign w:val="bottom"/>
            <w:shd w:val="clear" w:color="auto" w:fill="0336FF"/>
          </w:tcPr>
          <w:p>
            <w:pPr>
              <w:spacing w:after="0"/>
              <w:rPr>
                <w:sz w:val="5"/>
                <w:szCs w:val="5"/>
                <w:color w:val="auto"/>
              </w:rPr>
            </w:pPr>
          </w:p>
        </w:tc>
        <w:tc>
          <w:tcPr>
            <w:tcW w:w="1560" w:type="dxa"/>
            <w:vAlign w:val="bottom"/>
            <w:shd w:val="clear" w:color="auto" w:fill="0336FF"/>
          </w:tcPr>
          <w:p>
            <w:pPr>
              <w:spacing w:after="0"/>
              <w:rPr>
                <w:sz w:val="5"/>
                <w:szCs w:val="5"/>
                <w:color w:val="auto"/>
              </w:rPr>
            </w:pPr>
          </w:p>
        </w:tc>
        <w:tc>
          <w:tcPr>
            <w:tcW w:w="1020" w:type="dxa"/>
            <w:vAlign w:val="bottom"/>
            <w:shd w:val="clear" w:color="auto" w:fill="0336FF"/>
          </w:tcPr>
          <w:p>
            <w:pPr>
              <w:spacing w:after="0"/>
              <w:rPr>
                <w:sz w:val="5"/>
                <w:szCs w:val="5"/>
                <w:color w:val="auto"/>
              </w:rPr>
            </w:pPr>
          </w:p>
        </w:tc>
      </w:tr>
      <w:tr>
        <w:trPr>
          <w:trHeight w:val="208"/>
        </w:trPr>
        <w:tc>
          <w:tcPr>
            <w:tcW w:w="1500" w:type="dxa"/>
            <w:vAlign w:val="bottom"/>
          </w:tcPr>
          <w:p>
            <w:pPr>
              <w:jc w:val="right"/>
              <w:ind w:right="88"/>
              <w:spacing w:after="0"/>
              <w:rPr>
                <w:sz w:val="20"/>
                <w:szCs w:val="20"/>
                <w:color w:val="auto"/>
              </w:rPr>
            </w:pPr>
            <w:r>
              <w:rPr>
                <w:rFonts w:ascii="Arial" w:cs="Arial" w:eastAsia="Arial" w:hAnsi="Arial"/>
                <w:sz w:val="14"/>
                <w:szCs w:val="14"/>
                <w:color w:val="2D3243"/>
              </w:rPr>
              <w:t>324,438</w:t>
            </w:r>
          </w:p>
        </w:tc>
        <w:tc>
          <w:tcPr>
            <w:tcW w:w="1640" w:type="dxa"/>
            <w:vAlign w:val="bottom"/>
          </w:tcPr>
          <w:p>
            <w:pPr>
              <w:jc w:val="right"/>
              <w:ind w:right="308"/>
              <w:spacing w:after="0"/>
              <w:rPr>
                <w:sz w:val="20"/>
                <w:szCs w:val="20"/>
                <w:color w:val="auto"/>
              </w:rPr>
            </w:pPr>
            <w:r>
              <w:rPr>
                <w:rFonts w:ascii="Arial" w:cs="Arial" w:eastAsia="Arial" w:hAnsi="Arial"/>
                <w:sz w:val="14"/>
                <w:szCs w:val="14"/>
                <w:color w:val="2D3243"/>
              </w:rPr>
              <w:t>285,773</w:t>
            </w:r>
          </w:p>
        </w:tc>
        <w:tc>
          <w:tcPr>
            <w:tcW w:w="1560" w:type="dxa"/>
            <w:vAlign w:val="bottom"/>
          </w:tcPr>
          <w:p>
            <w:pPr>
              <w:jc w:val="right"/>
              <w:ind w:right="468"/>
              <w:spacing w:after="0"/>
              <w:rPr>
                <w:sz w:val="20"/>
                <w:szCs w:val="20"/>
                <w:color w:val="auto"/>
              </w:rPr>
            </w:pPr>
            <w:r>
              <w:rPr>
                <w:rFonts w:ascii="Arial" w:cs="Arial" w:eastAsia="Arial" w:hAnsi="Arial"/>
                <w:sz w:val="14"/>
                <w:szCs w:val="14"/>
                <w:color w:val="2D3243"/>
              </w:rPr>
              <w:t>610,211</w:t>
            </w:r>
          </w:p>
        </w:tc>
        <w:tc>
          <w:tcPr>
            <w:tcW w:w="1020" w:type="dxa"/>
            <w:vAlign w:val="bottom"/>
          </w:tcPr>
          <w:p>
            <w:pPr>
              <w:jc w:val="right"/>
              <w:ind w:right="88"/>
              <w:spacing w:after="0"/>
              <w:rPr>
                <w:sz w:val="20"/>
                <w:szCs w:val="20"/>
                <w:color w:val="auto"/>
              </w:rPr>
            </w:pPr>
            <w:r>
              <w:rPr>
                <w:rFonts w:ascii="Arial" w:cs="Arial" w:eastAsia="Arial" w:hAnsi="Arial"/>
                <w:sz w:val="14"/>
                <w:szCs w:val="14"/>
                <w:color w:val="2D3243"/>
              </w:rPr>
              <w:t>104</w:t>
            </w:r>
          </w:p>
        </w:tc>
      </w:tr>
      <w:tr>
        <w:trPr>
          <w:trHeight w:val="229"/>
        </w:trPr>
        <w:tc>
          <w:tcPr>
            <w:tcW w:w="1500" w:type="dxa"/>
            <w:vAlign w:val="bottom"/>
          </w:tcPr>
          <w:p>
            <w:pPr>
              <w:jc w:val="right"/>
              <w:ind w:right="88"/>
              <w:spacing w:after="0"/>
              <w:rPr>
                <w:sz w:val="20"/>
                <w:szCs w:val="20"/>
                <w:color w:val="auto"/>
              </w:rPr>
            </w:pPr>
            <w:r>
              <w:rPr>
                <w:rFonts w:ascii="Arial" w:cs="Arial" w:eastAsia="Arial" w:hAnsi="Arial"/>
                <w:sz w:val="14"/>
                <w:szCs w:val="14"/>
                <w:color w:val="2D3243"/>
              </w:rPr>
              <w:t>175,013</w:t>
            </w:r>
          </w:p>
        </w:tc>
        <w:tc>
          <w:tcPr>
            <w:tcW w:w="1640" w:type="dxa"/>
            <w:vAlign w:val="bottom"/>
          </w:tcPr>
          <w:p>
            <w:pPr>
              <w:jc w:val="right"/>
              <w:ind w:right="308"/>
              <w:spacing w:after="0"/>
              <w:rPr>
                <w:sz w:val="20"/>
                <w:szCs w:val="20"/>
                <w:color w:val="auto"/>
              </w:rPr>
            </w:pPr>
            <w:r>
              <w:rPr>
                <w:rFonts w:ascii="Arial" w:cs="Arial" w:eastAsia="Arial" w:hAnsi="Arial"/>
                <w:sz w:val="14"/>
                <w:szCs w:val="14"/>
                <w:color w:val="2D3243"/>
              </w:rPr>
              <w:t>157,316</w:t>
            </w:r>
          </w:p>
        </w:tc>
        <w:tc>
          <w:tcPr>
            <w:tcW w:w="1560" w:type="dxa"/>
            <w:vAlign w:val="bottom"/>
          </w:tcPr>
          <w:p>
            <w:pPr>
              <w:jc w:val="right"/>
              <w:ind w:right="468"/>
              <w:spacing w:after="0"/>
              <w:rPr>
                <w:sz w:val="20"/>
                <w:szCs w:val="20"/>
                <w:color w:val="auto"/>
              </w:rPr>
            </w:pPr>
            <w:r>
              <w:rPr>
                <w:rFonts w:ascii="Arial" w:cs="Arial" w:eastAsia="Arial" w:hAnsi="Arial"/>
                <w:sz w:val="14"/>
                <w:szCs w:val="14"/>
                <w:color w:val="2D3243"/>
              </w:rPr>
              <w:t>332,329</w:t>
            </w:r>
          </w:p>
        </w:tc>
        <w:tc>
          <w:tcPr>
            <w:tcW w:w="1020" w:type="dxa"/>
            <w:vAlign w:val="bottom"/>
          </w:tcPr>
          <w:p>
            <w:pPr>
              <w:jc w:val="right"/>
              <w:ind w:right="88"/>
              <w:spacing w:after="0"/>
              <w:rPr>
                <w:sz w:val="20"/>
                <w:szCs w:val="20"/>
                <w:color w:val="auto"/>
              </w:rPr>
            </w:pPr>
            <w:r>
              <w:rPr>
                <w:rFonts w:ascii="Arial" w:cs="Arial" w:eastAsia="Arial" w:hAnsi="Arial"/>
                <w:sz w:val="14"/>
                <w:szCs w:val="14"/>
                <w:color w:val="2D3243"/>
              </w:rPr>
              <w:t>103</w:t>
            </w:r>
          </w:p>
        </w:tc>
      </w:tr>
      <w:tr>
        <w:trPr>
          <w:trHeight w:val="257"/>
        </w:trPr>
        <w:tc>
          <w:tcPr>
            <w:tcW w:w="1500" w:type="dxa"/>
            <w:vAlign w:val="bottom"/>
          </w:tcPr>
          <w:p>
            <w:pPr>
              <w:jc w:val="right"/>
              <w:ind w:right="88"/>
              <w:spacing w:after="0"/>
              <w:rPr>
                <w:sz w:val="20"/>
                <w:szCs w:val="20"/>
                <w:color w:val="auto"/>
              </w:rPr>
            </w:pPr>
            <w:r>
              <w:rPr>
                <w:rFonts w:ascii="Arial" w:cs="Arial" w:eastAsia="Arial" w:hAnsi="Arial"/>
                <w:sz w:val="14"/>
                <w:szCs w:val="14"/>
                <w:color w:val="2D3243"/>
              </w:rPr>
              <w:t>213,839</w:t>
            </w:r>
          </w:p>
        </w:tc>
        <w:tc>
          <w:tcPr>
            <w:tcW w:w="1640" w:type="dxa"/>
            <w:vAlign w:val="bottom"/>
          </w:tcPr>
          <w:p>
            <w:pPr>
              <w:jc w:val="right"/>
              <w:ind w:right="308"/>
              <w:spacing w:after="0"/>
              <w:rPr>
                <w:sz w:val="20"/>
                <w:szCs w:val="20"/>
                <w:color w:val="auto"/>
              </w:rPr>
            </w:pPr>
            <w:r>
              <w:rPr>
                <w:rFonts w:ascii="Arial" w:cs="Arial" w:eastAsia="Arial" w:hAnsi="Arial"/>
                <w:sz w:val="14"/>
                <w:szCs w:val="14"/>
                <w:color w:val="2D3243"/>
              </w:rPr>
              <w:t>200,380</w:t>
            </w:r>
          </w:p>
        </w:tc>
        <w:tc>
          <w:tcPr>
            <w:tcW w:w="1560" w:type="dxa"/>
            <w:vAlign w:val="bottom"/>
          </w:tcPr>
          <w:p>
            <w:pPr>
              <w:jc w:val="right"/>
              <w:ind w:right="468"/>
              <w:spacing w:after="0"/>
              <w:rPr>
                <w:sz w:val="20"/>
                <w:szCs w:val="20"/>
                <w:color w:val="auto"/>
              </w:rPr>
            </w:pPr>
            <w:r>
              <w:rPr>
                <w:rFonts w:ascii="Arial" w:cs="Arial" w:eastAsia="Arial" w:hAnsi="Arial"/>
                <w:sz w:val="14"/>
                <w:szCs w:val="14"/>
                <w:color w:val="2D3243"/>
              </w:rPr>
              <w:t>414,219</w:t>
            </w:r>
          </w:p>
        </w:tc>
        <w:tc>
          <w:tcPr>
            <w:tcW w:w="1020" w:type="dxa"/>
            <w:vAlign w:val="bottom"/>
          </w:tcPr>
          <w:p>
            <w:pPr>
              <w:jc w:val="right"/>
              <w:ind w:right="88"/>
              <w:spacing w:after="0"/>
              <w:rPr>
                <w:sz w:val="20"/>
                <w:szCs w:val="20"/>
                <w:color w:val="auto"/>
              </w:rPr>
            </w:pPr>
            <w:r>
              <w:rPr>
                <w:rFonts w:ascii="Arial" w:cs="Arial" w:eastAsia="Arial" w:hAnsi="Arial"/>
                <w:sz w:val="14"/>
                <w:szCs w:val="14"/>
                <w:color w:val="2D3243"/>
              </w:rPr>
              <w:t>97</w:t>
            </w:r>
          </w:p>
        </w:tc>
      </w:tr>
      <w:tr>
        <w:trPr>
          <w:trHeight w:val="283"/>
        </w:trPr>
        <w:tc>
          <w:tcPr>
            <w:tcW w:w="1500" w:type="dxa"/>
            <w:vAlign w:val="bottom"/>
          </w:tcPr>
          <w:p>
            <w:pPr>
              <w:jc w:val="right"/>
              <w:ind w:right="88"/>
              <w:spacing w:after="0"/>
              <w:rPr>
                <w:sz w:val="20"/>
                <w:szCs w:val="20"/>
                <w:color w:val="auto"/>
              </w:rPr>
            </w:pPr>
            <w:r>
              <w:rPr>
                <w:rFonts w:ascii="Arial" w:cs="Arial" w:eastAsia="Arial" w:hAnsi="Arial"/>
                <w:sz w:val="14"/>
                <w:szCs w:val="14"/>
                <w:color w:val="2D3243"/>
              </w:rPr>
              <w:t>160,563</w:t>
            </w:r>
          </w:p>
        </w:tc>
        <w:tc>
          <w:tcPr>
            <w:tcW w:w="1640" w:type="dxa"/>
            <w:vAlign w:val="bottom"/>
          </w:tcPr>
          <w:p>
            <w:pPr>
              <w:jc w:val="right"/>
              <w:ind w:right="308"/>
              <w:spacing w:after="0"/>
              <w:rPr>
                <w:sz w:val="20"/>
                <w:szCs w:val="20"/>
                <w:color w:val="auto"/>
              </w:rPr>
            </w:pPr>
            <w:r>
              <w:rPr>
                <w:rFonts w:ascii="Arial" w:cs="Arial" w:eastAsia="Arial" w:hAnsi="Arial"/>
                <w:sz w:val="14"/>
                <w:szCs w:val="14"/>
                <w:color w:val="2D3243"/>
              </w:rPr>
              <w:t>147,575</w:t>
            </w:r>
          </w:p>
        </w:tc>
        <w:tc>
          <w:tcPr>
            <w:tcW w:w="1560" w:type="dxa"/>
            <w:vAlign w:val="bottom"/>
          </w:tcPr>
          <w:p>
            <w:pPr>
              <w:jc w:val="right"/>
              <w:ind w:right="468"/>
              <w:spacing w:after="0"/>
              <w:rPr>
                <w:sz w:val="20"/>
                <w:szCs w:val="20"/>
                <w:color w:val="auto"/>
              </w:rPr>
            </w:pPr>
            <w:r>
              <w:rPr>
                <w:rFonts w:ascii="Arial" w:cs="Arial" w:eastAsia="Arial" w:hAnsi="Arial"/>
                <w:sz w:val="14"/>
                <w:szCs w:val="14"/>
                <w:color w:val="2D3243"/>
              </w:rPr>
              <w:t>308,138</w:t>
            </w:r>
          </w:p>
        </w:tc>
        <w:tc>
          <w:tcPr>
            <w:tcW w:w="1020" w:type="dxa"/>
            <w:vAlign w:val="bottom"/>
          </w:tcPr>
          <w:p>
            <w:pPr>
              <w:jc w:val="right"/>
              <w:ind w:right="88"/>
              <w:spacing w:after="0"/>
              <w:rPr>
                <w:sz w:val="20"/>
                <w:szCs w:val="20"/>
                <w:color w:val="auto"/>
              </w:rPr>
            </w:pPr>
            <w:r>
              <w:rPr>
                <w:rFonts w:ascii="Arial" w:cs="Arial" w:eastAsia="Arial" w:hAnsi="Arial"/>
                <w:sz w:val="14"/>
                <w:szCs w:val="14"/>
                <w:color w:val="2D3243"/>
              </w:rPr>
              <w:t>94</w:t>
            </w:r>
          </w:p>
        </w:tc>
      </w:tr>
      <w:tr>
        <w:trPr>
          <w:trHeight w:val="284"/>
        </w:trPr>
        <w:tc>
          <w:tcPr>
            <w:tcW w:w="1500" w:type="dxa"/>
            <w:vAlign w:val="bottom"/>
          </w:tcPr>
          <w:p>
            <w:pPr>
              <w:jc w:val="right"/>
              <w:ind w:right="88"/>
              <w:spacing w:after="0"/>
              <w:rPr>
                <w:sz w:val="20"/>
                <w:szCs w:val="20"/>
                <w:color w:val="auto"/>
              </w:rPr>
            </w:pPr>
            <w:r>
              <w:rPr>
                <w:rFonts w:ascii="Arial" w:cs="Arial" w:eastAsia="Arial" w:hAnsi="Arial"/>
                <w:sz w:val="14"/>
                <w:szCs w:val="14"/>
                <w:color w:val="2D3243"/>
              </w:rPr>
              <w:t>155,004</w:t>
            </w:r>
          </w:p>
        </w:tc>
        <w:tc>
          <w:tcPr>
            <w:tcW w:w="1640" w:type="dxa"/>
            <w:vAlign w:val="bottom"/>
          </w:tcPr>
          <w:p>
            <w:pPr>
              <w:jc w:val="right"/>
              <w:ind w:right="308"/>
              <w:spacing w:after="0"/>
              <w:rPr>
                <w:sz w:val="20"/>
                <w:szCs w:val="20"/>
                <w:color w:val="auto"/>
              </w:rPr>
            </w:pPr>
            <w:r>
              <w:rPr>
                <w:rFonts w:ascii="Arial" w:cs="Arial" w:eastAsia="Arial" w:hAnsi="Arial"/>
                <w:sz w:val="14"/>
                <w:szCs w:val="14"/>
                <w:color w:val="2D3243"/>
              </w:rPr>
              <w:t>133,380</w:t>
            </w:r>
          </w:p>
        </w:tc>
        <w:tc>
          <w:tcPr>
            <w:tcW w:w="1560" w:type="dxa"/>
            <w:vAlign w:val="bottom"/>
          </w:tcPr>
          <w:p>
            <w:pPr>
              <w:jc w:val="right"/>
              <w:ind w:right="468"/>
              <w:spacing w:after="0"/>
              <w:rPr>
                <w:sz w:val="20"/>
                <w:szCs w:val="20"/>
                <w:color w:val="auto"/>
              </w:rPr>
            </w:pPr>
            <w:r>
              <w:rPr>
                <w:rFonts w:ascii="Arial" w:cs="Arial" w:eastAsia="Arial" w:hAnsi="Arial"/>
                <w:sz w:val="14"/>
                <w:szCs w:val="14"/>
                <w:color w:val="2D3243"/>
              </w:rPr>
              <w:t>288,384</w:t>
            </w:r>
          </w:p>
        </w:tc>
        <w:tc>
          <w:tcPr>
            <w:tcW w:w="1020" w:type="dxa"/>
            <w:vAlign w:val="bottom"/>
          </w:tcPr>
          <w:p>
            <w:pPr>
              <w:jc w:val="right"/>
              <w:ind w:right="88"/>
              <w:spacing w:after="0"/>
              <w:rPr>
                <w:sz w:val="20"/>
                <w:szCs w:val="20"/>
                <w:color w:val="auto"/>
              </w:rPr>
            </w:pPr>
            <w:r>
              <w:rPr>
                <w:rFonts w:ascii="Arial" w:cs="Arial" w:eastAsia="Arial" w:hAnsi="Arial"/>
                <w:sz w:val="14"/>
                <w:szCs w:val="14"/>
                <w:color w:val="2D3243"/>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-1194435</wp:posOffset>
            </wp:positionV>
            <wp:extent cx="7132320" cy="394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-654050</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-328295</wp:posOffset>
            </wp:positionV>
            <wp:extent cx="713232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30480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184" w:right="339" w:bottom="1440" w:gutter="0" w:footer="0" w:header="0"/>
          <w:type w:val="continuous"/>
        </w:sectPr>
      </w:pPr>
    </w:p>
    <w:p>
      <w:pPr>
        <w:spacing w:after="0" w:line="15" w:lineRule="exact"/>
        <w:rPr>
          <w:sz w:val="20"/>
          <w:szCs w:val="20"/>
          <w:color w:val="auto"/>
        </w:rPr>
      </w:pPr>
    </w:p>
    <w:p>
      <w:pPr>
        <w:ind w:left="340" w:right="120" w:hanging="332"/>
        <w:spacing w:after="0" w:line="365" w:lineRule="auto"/>
        <w:tabs>
          <w:tab w:leader="none" w:pos="338" w:val="left"/>
        </w:tabs>
        <w:numPr>
          <w:ilvl w:val="0"/>
          <w:numId w:val="50"/>
        </w:numPr>
        <w:rPr>
          <w:rFonts w:ascii="Arial" w:cs="Arial" w:eastAsia="Arial" w:hAnsi="Arial"/>
          <w:sz w:val="14"/>
          <w:szCs w:val="14"/>
          <w:color w:val="2D3243"/>
        </w:rPr>
      </w:pPr>
      <w:r>
        <w:rPr>
          <w:rFonts w:ascii="Arial" w:cs="Arial" w:eastAsia="Arial" w:hAnsi="Arial"/>
          <w:sz w:val="14"/>
          <w:szCs w:val="14"/>
          <w:color w:val="2D3243"/>
        </w:rPr>
        <w:t>Mr. Dignan's % of Target amount was based upon his actual target amounts during 2023, which was comprised of his target amounts prior to and after his appointment as an executive officer on November 9, 2023.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52</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60" w:name="page61"/>
    <w:bookmarkEnd w:id="60"/>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Long-Term Incentive Compensation</w:t>
      </w:r>
    </w:p>
    <w:p>
      <w:pPr>
        <w:spacing w:after="0" w:line="93" w:lineRule="exact"/>
        <w:rPr>
          <w:sz w:val="20"/>
          <w:szCs w:val="20"/>
          <w:color w:val="auto"/>
        </w:rPr>
      </w:pPr>
    </w:p>
    <w:p>
      <w:pPr>
        <w:ind w:right="200"/>
        <w:spacing w:after="0" w:line="374" w:lineRule="auto"/>
        <w:rPr>
          <w:sz w:val="20"/>
          <w:szCs w:val="20"/>
          <w:color w:val="auto"/>
        </w:rPr>
      </w:pPr>
      <w:r>
        <w:rPr>
          <w:rFonts w:ascii="Arial" w:cs="Arial" w:eastAsia="Arial" w:hAnsi="Arial"/>
          <w:sz w:val="16"/>
          <w:szCs w:val="16"/>
          <w:color w:val="2D3243"/>
        </w:rPr>
        <w:t>We provide equity compensation opportunities to our executive officers, including our NEOs, to align their financial interests with those of our stockholders and to provide compensation that is consistent with the practices of our compensation peer group so that we can attract and retain qualified talent.</w:t>
      </w:r>
    </w:p>
    <w:p>
      <w:pPr>
        <w:spacing w:after="0" w:line="102"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2D3243"/>
        </w:rPr>
        <w:t>In 2022, we revised our approach by granting service-based RSUs combined with market-based and revenue-based PRSUs as we believed these awards provided a better incentive for our NEOs to enhance stockholder value. Our RSU awards, except for certain retention-based awards, generally vest over four-year vesting schedules, contingent upon the recipient’s continued service through each vesting date. Our PRSU awards generally vest over two to three year vesting schedules, depending on the type of award and contingent upon the recipient's continued service through each vesting date.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2023 Equity Awards</w:t>
      </w:r>
    </w:p>
    <w:p>
      <w:pPr>
        <w:spacing w:after="0" w:line="235" w:lineRule="exact"/>
        <w:rPr>
          <w:sz w:val="20"/>
          <w:szCs w:val="20"/>
          <w:color w:val="auto"/>
        </w:rPr>
      </w:pPr>
    </w:p>
    <w:p>
      <w:pPr>
        <w:spacing w:after="0" w:line="348" w:lineRule="auto"/>
        <w:rPr>
          <w:sz w:val="20"/>
          <w:szCs w:val="20"/>
          <w:color w:val="auto"/>
        </w:rPr>
      </w:pPr>
      <w:r>
        <w:rPr>
          <w:rFonts w:ascii="Arial" w:cs="Arial" w:eastAsia="Arial" w:hAnsi="Arial"/>
          <w:sz w:val="16"/>
          <w:szCs w:val="16"/>
          <w:color w:val="2D3243"/>
        </w:rPr>
        <w:t>In the first quarter of 2023, the Compensation Committee made ordinary-course annual "refresh" equity awards to our NEOs at that time, except for our CEO who received equity awards upon his appointment as our CEO in December 2022 and, therefore, was not eligible for an annual "refresh" grant in 2023, pursuant to the terms of his employment offer letter. The amounts and terms of such equity awards were determined after taking into account internal pay equity with our other executive officers, pay practices and equity award types used within our compensation peer group, and an analysis of the competitive market data provided by Compensia.</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2D3243"/>
        </w:rPr>
        <w:t>The terms and conditions of the PRSU awards granted in 2023 are described below.</w:t>
      </w:r>
    </w:p>
    <w:p>
      <w:pPr>
        <w:spacing w:after="0" w:line="235"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b w:val="1"/>
          <w:bCs w:val="1"/>
          <w:color w:val="2D3243"/>
        </w:rPr>
        <w:t xml:space="preserve">PRSUs with Market and Service Conditions. </w:t>
      </w:r>
      <w:r>
        <w:rPr>
          <w:rFonts w:ascii="Arial" w:cs="Arial" w:eastAsia="Arial" w:hAnsi="Arial"/>
          <w:sz w:val="16"/>
          <w:szCs w:val="16"/>
          <w:color w:val="2D3243"/>
        </w:rPr>
        <w:t>As described above, in 2023, the Company granted PRSUs subject to market-based performance and</w:t>
      </w:r>
      <w:r>
        <w:rPr>
          <w:rFonts w:ascii="Arial" w:cs="Arial" w:eastAsia="Arial" w:hAnsi="Arial"/>
          <w:sz w:val="16"/>
          <w:szCs w:val="16"/>
          <w:b w:val="1"/>
          <w:bCs w:val="1"/>
          <w:color w:val="2D3243"/>
        </w:rPr>
        <w:t xml:space="preserve"> </w:t>
      </w:r>
      <w:r>
        <w:rPr>
          <w:rFonts w:ascii="Arial" w:cs="Arial" w:eastAsia="Arial" w:hAnsi="Arial"/>
          <w:sz w:val="16"/>
          <w:szCs w:val="16"/>
          <w:color w:val="2D3243"/>
        </w:rPr>
        <w:t>service conditions (“market-based PRSUs”) as part of its annual grant of equity incentive awards to our NEOs, other than our CEO who received PRSUs upon his appointment as our CEO in December 2022 and, therefore, was not eligible to (and did not) receive any further equity awards during the Company's annual "refresh" grant cycle for other executive officers in the first quarter of 2023 and Mr. Dignan, who was not an executive officer when such PRSUs were granted. The amount that may be earned pursuant to the market-based PRSUs ranges from 0% to 200% of the target number of units based on the Company's relative total shareholder return ("RTSR") performance as compared to the companies in the S&amp;P Software and Services Select Index for three one-year measurement periods. Each earned unit will be settled through the issuance of one share of our common stock. One-third of the total PRSUs may be earned and settled in shares following the end of each one-year measurement period based on RTSR performance and subject to continued employment through the payment date, but the amount initially paid for the first two one-year measurement periods is limited to 100% of the target amount for such years, and any PRSUs resulting from above-target performance in those first two years will be paid following the end of the final one-year measurement period, subject to the NEO's continued employment through the payment date. If the Company’s absolute total shareholder return for any performance period is negative, then no more than 100% of the target amount of PRSUs for such period may be earned. If an NEO's employment with the Company terminates before the end of the final one-year performance period due to death or disability, 100% (if due to death) or 50% (if due to disability) of the unvested PRSUs may be earned subject to ultimate RTSR performance in each remaining measurement period. Upon a qualifying termination of employment in connection with a change in control of the Company, the unvested PRSUs will vest on a double-trigger basis (i) at the target level for the uncompleted portions of the performance periods and (ii) at the actual level of performance measured through the date of the change in control of the Company, based on the share price per share paid in such change in control. The fair value of the PRSUs are determined on their grant date using a Monte Carlo Simulation model based upon assumptions presented below. The Company recognizes the fair value of the PRSUs ratably over their requisite service period.</w:t>
      </w:r>
    </w:p>
    <w:p>
      <w:pPr>
        <w:spacing w:after="0" w:line="384" w:lineRule="exact"/>
        <w:rPr>
          <w:sz w:val="20"/>
          <w:szCs w:val="20"/>
          <w:color w:val="auto"/>
        </w:rPr>
      </w:pPr>
    </w:p>
    <w:p>
      <w:pPr>
        <w:ind w:right="540"/>
        <w:spacing w:after="0" w:line="374" w:lineRule="auto"/>
        <w:rPr>
          <w:sz w:val="20"/>
          <w:szCs w:val="20"/>
          <w:color w:val="auto"/>
        </w:rPr>
      </w:pPr>
      <w:r>
        <w:rPr>
          <w:rFonts w:ascii="Arial" w:cs="Arial" w:eastAsia="Arial" w:hAnsi="Arial"/>
          <w:sz w:val="16"/>
          <w:szCs w:val="16"/>
          <w:b w:val="1"/>
          <w:bCs w:val="1"/>
          <w:color w:val="2D3243"/>
        </w:rPr>
        <w:t xml:space="preserve">PRSUs with Revenue and Service Conditions. </w:t>
      </w:r>
      <w:r>
        <w:rPr>
          <w:rFonts w:ascii="Arial" w:cs="Arial" w:eastAsia="Arial" w:hAnsi="Arial"/>
          <w:sz w:val="16"/>
          <w:szCs w:val="16"/>
          <w:color w:val="2D3243"/>
        </w:rPr>
        <w:t>In 2023, the Company did not grant any PRSUs subject to revenue-based performance and service</w:t>
      </w:r>
      <w:r>
        <w:rPr>
          <w:rFonts w:ascii="Arial" w:cs="Arial" w:eastAsia="Arial" w:hAnsi="Arial"/>
          <w:sz w:val="16"/>
          <w:szCs w:val="16"/>
          <w:b w:val="1"/>
          <w:bCs w:val="1"/>
          <w:color w:val="2D3243"/>
        </w:rPr>
        <w:t xml:space="preserve"> </w:t>
      </w:r>
      <w:r>
        <w:rPr>
          <w:rFonts w:ascii="Arial" w:cs="Arial" w:eastAsia="Arial" w:hAnsi="Arial"/>
          <w:sz w:val="16"/>
          <w:szCs w:val="16"/>
          <w:color w:val="2D3243"/>
        </w:rPr>
        <w:t>conditions (“revenue-based PRSUs”).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53</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61" w:name="page62"/>
    <w:bookmarkEnd w:id="61"/>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shows the target award values and the number of RSU awards and/or PRSU awards to each of our NEOs during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20" w:type="dxa"/>
            <w:vAlign w:val="bottom"/>
            <w:shd w:val="clear" w:color="auto" w:fill="0336FF"/>
          </w:tcPr>
          <w:p>
            <w:pPr>
              <w:spacing w:after="0"/>
              <w:rPr>
                <w:sz w:val="16"/>
                <w:szCs w:val="16"/>
                <w:color w:val="auto"/>
              </w:rPr>
            </w:pPr>
          </w:p>
        </w:tc>
        <w:tc>
          <w:tcPr>
            <w:tcW w:w="4040" w:type="dxa"/>
            <w:vAlign w:val="bottom"/>
            <w:shd w:val="clear" w:color="auto" w:fill="0336FF"/>
          </w:tcPr>
          <w:p>
            <w:pPr>
              <w:jc w:val="right"/>
              <w:ind w:right="188"/>
              <w:spacing w:after="0"/>
              <w:rPr>
                <w:sz w:val="20"/>
                <w:szCs w:val="20"/>
                <w:color w:val="auto"/>
              </w:rPr>
            </w:pPr>
            <w:r>
              <w:rPr>
                <w:rFonts w:ascii="Arial" w:cs="Arial" w:eastAsia="Arial" w:hAnsi="Arial"/>
                <w:sz w:val="14"/>
                <w:szCs w:val="14"/>
                <w:b w:val="1"/>
                <w:bCs w:val="1"/>
                <w:color w:val="FFFFFF"/>
              </w:rPr>
              <w:t>Aggregate Target</w:t>
            </w:r>
          </w:p>
        </w:tc>
        <w:tc>
          <w:tcPr>
            <w:tcW w:w="1960" w:type="dxa"/>
            <w:vAlign w:val="bottom"/>
            <w:shd w:val="clear" w:color="auto" w:fill="0336FF"/>
          </w:tcPr>
          <w:p>
            <w:pPr>
              <w:jc w:val="right"/>
              <w:ind w:right="488"/>
              <w:spacing w:after="0"/>
              <w:rPr>
                <w:sz w:val="20"/>
                <w:szCs w:val="20"/>
                <w:color w:val="auto"/>
              </w:rPr>
            </w:pPr>
            <w:r>
              <w:rPr>
                <w:rFonts w:ascii="Arial" w:cs="Arial" w:eastAsia="Arial" w:hAnsi="Arial"/>
                <w:sz w:val="14"/>
                <w:szCs w:val="14"/>
                <w:b w:val="1"/>
                <w:bCs w:val="1"/>
                <w:color w:val="FFFFFF"/>
              </w:rPr>
              <w:t>RSUs (excluding</w:t>
            </w:r>
          </w:p>
        </w:tc>
        <w:tc>
          <w:tcPr>
            <w:tcW w:w="1220" w:type="dxa"/>
            <w:vAlign w:val="bottom"/>
            <w:shd w:val="clear" w:color="auto" w:fill="0336FF"/>
          </w:tcPr>
          <w:p>
            <w:pPr>
              <w:jc w:val="right"/>
              <w:ind w:right="88"/>
              <w:spacing w:after="0"/>
              <w:rPr>
                <w:sz w:val="20"/>
                <w:szCs w:val="20"/>
                <w:color w:val="auto"/>
              </w:rPr>
            </w:pPr>
            <w:r>
              <w:rPr>
                <w:rFonts w:ascii="Arial" w:cs="Arial" w:eastAsia="Arial" w:hAnsi="Arial"/>
                <w:sz w:val="14"/>
                <w:szCs w:val="14"/>
                <w:b w:val="1"/>
                <w:bCs w:val="1"/>
                <w:color w:val="FFFFFF"/>
              </w:rPr>
              <w:t>PRSUs</w:t>
            </w:r>
          </w:p>
        </w:tc>
        <w:tc>
          <w:tcPr>
            <w:tcW w:w="0" w:type="dxa"/>
            <w:vAlign w:val="bottom"/>
          </w:tcPr>
          <w:p>
            <w:pPr>
              <w:spacing w:after="0"/>
              <w:rPr>
                <w:sz w:val="1"/>
                <w:szCs w:val="1"/>
                <w:color w:val="auto"/>
              </w:rPr>
            </w:pPr>
          </w:p>
        </w:tc>
      </w:tr>
      <w:tr>
        <w:trPr>
          <w:trHeight w:val="178"/>
        </w:trPr>
        <w:tc>
          <w:tcPr>
            <w:tcW w:w="4020" w:type="dxa"/>
            <w:vAlign w:val="bottom"/>
            <w:vMerge w:val="restart"/>
            <w:shd w:val="clear" w:color="auto" w:fill="0336FF"/>
          </w:tcPr>
          <w:p>
            <w:pPr>
              <w:ind w:left="100"/>
              <w:spacing w:after="0"/>
              <w:rPr>
                <w:sz w:val="20"/>
                <w:szCs w:val="20"/>
                <w:color w:val="auto"/>
              </w:rPr>
            </w:pPr>
            <w:r>
              <w:rPr>
                <w:rFonts w:ascii="Arial" w:cs="Arial" w:eastAsia="Arial" w:hAnsi="Arial"/>
                <w:sz w:val="14"/>
                <w:szCs w:val="14"/>
                <w:b w:val="1"/>
                <w:bCs w:val="1"/>
                <w:color w:val="FFFFFF"/>
              </w:rPr>
              <w:t>NEO</w:t>
            </w:r>
          </w:p>
        </w:tc>
        <w:tc>
          <w:tcPr>
            <w:tcW w:w="4040" w:type="dxa"/>
            <w:vAlign w:val="bottom"/>
            <w:shd w:val="clear" w:color="auto" w:fill="0336FF"/>
          </w:tcPr>
          <w:p>
            <w:pPr>
              <w:jc w:val="right"/>
              <w:ind w:right="188"/>
              <w:spacing w:after="0" w:line="178" w:lineRule="exact"/>
              <w:rPr>
                <w:sz w:val="20"/>
                <w:szCs w:val="20"/>
                <w:color w:val="auto"/>
              </w:rPr>
            </w:pPr>
            <w:r>
              <w:rPr>
                <w:rFonts w:ascii="Arial" w:cs="Arial" w:eastAsia="Arial" w:hAnsi="Arial"/>
                <w:sz w:val="14"/>
                <w:szCs w:val="14"/>
                <w:b w:val="1"/>
                <w:bCs w:val="1"/>
                <w:color w:val="FFFFFF"/>
              </w:rPr>
              <w:t>Award Values</w:t>
            </w:r>
            <w:r>
              <w:rPr>
                <w:rFonts w:ascii="Arial" w:cs="Arial" w:eastAsia="Arial" w:hAnsi="Arial"/>
                <w:sz w:val="18"/>
                <w:szCs w:val="18"/>
                <w:b w:val="1"/>
                <w:bCs w:val="1"/>
                <w:color w:val="FFFFFF"/>
                <w:vertAlign w:val="superscript"/>
              </w:rPr>
              <w:t>(1)</w:t>
            </w:r>
          </w:p>
        </w:tc>
        <w:tc>
          <w:tcPr>
            <w:tcW w:w="1960" w:type="dxa"/>
            <w:vAlign w:val="bottom"/>
            <w:shd w:val="clear" w:color="auto" w:fill="0336FF"/>
          </w:tcPr>
          <w:p>
            <w:pPr>
              <w:jc w:val="right"/>
              <w:ind w:right="488"/>
              <w:spacing w:after="0"/>
              <w:rPr>
                <w:sz w:val="20"/>
                <w:szCs w:val="20"/>
                <w:color w:val="auto"/>
              </w:rPr>
            </w:pPr>
            <w:r>
              <w:rPr>
                <w:rFonts w:ascii="Arial" w:cs="Arial" w:eastAsia="Arial" w:hAnsi="Arial"/>
                <w:sz w:val="14"/>
                <w:szCs w:val="14"/>
                <w:b w:val="1"/>
                <w:bCs w:val="1"/>
                <w:color w:val="FFFFFF"/>
              </w:rPr>
              <w:t>PRSUs) Granted</w:t>
            </w:r>
          </w:p>
        </w:tc>
        <w:tc>
          <w:tcPr>
            <w:tcW w:w="122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Granted</w:t>
            </w:r>
          </w:p>
        </w:tc>
        <w:tc>
          <w:tcPr>
            <w:tcW w:w="0" w:type="dxa"/>
            <w:vAlign w:val="bottom"/>
          </w:tcPr>
          <w:p>
            <w:pPr>
              <w:spacing w:after="0"/>
              <w:rPr>
                <w:sz w:val="1"/>
                <w:szCs w:val="1"/>
                <w:color w:val="auto"/>
              </w:rPr>
            </w:pPr>
          </w:p>
        </w:tc>
      </w:tr>
      <w:tr>
        <w:trPr>
          <w:trHeight w:val="198"/>
        </w:trPr>
        <w:tc>
          <w:tcPr>
            <w:tcW w:w="4020" w:type="dxa"/>
            <w:vAlign w:val="bottom"/>
            <w:vMerge w:val="continue"/>
            <w:shd w:val="clear" w:color="auto" w:fill="0336FF"/>
          </w:tcPr>
          <w:p>
            <w:pPr>
              <w:spacing w:after="0"/>
              <w:rPr>
                <w:sz w:val="17"/>
                <w:szCs w:val="17"/>
                <w:color w:val="auto"/>
              </w:rPr>
            </w:pPr>
          </w:p>
        </w:tc>
        <w:tc>
          <w:tcPr>
            <w:tcW w:w="4040" w:type="dxa"/>
            <w:vAlign w:val="bottom"/>
            <w:shd w:val="clear" w:color="auto" w:fill="0336FF"/>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960" w:type="dxa"/>
            <w:vAlign w:val="bottom"/>
            <w:shd w:val="clear" w:color="auto" w:fill="0336FF"/>
          </w:tcPr>
          <w:p>
            <w:pPr>
              <w:jc w:val="right"/>
              <w:ind w:right="488"/>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30"/>
        </w:trPr>
        <w:tc>
          <w:tcPr>
            <w:tcW w:w="402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r>
              <w:rPr>
                <w:rFonts w:ascii="Arial" w:cs="Arial" w:eastAsia="Arial" w:hAnsi="Arial"/>
                <w:sz w:val="18"/>
                <w:szCs w:val="18"/>
                <w:b w:val="1"/>
                <w:bCs w:val="1"/>
                <w:color w:val="2D3243"/>
                <w:vertAlign w:val="superscript"/>
              </w:rPr>
              <w:t>(2)</w:t>
            </w:r>
          </w:p>
        </w:tc>
        <w:tc>
          <w:tcPr>
            <w:tcW w:w="4040" w:type="dxa"/>
            <w:vAlign w:val="bottom"/>
          </w:tcPr>
          <w:p>
            <w:pPr>
              <w:jc w:val="right"/>
              <w:ind w:right="228"/>
              <w:spacing w:after="0"/>
              <w:rPr>
                <w:sz w:val="20"/>
                <w:szCs w:val="20"/>
                <w:color w:val="auto"/>
              </w:rPr>
            </w:pPr>
            <w:r>
              <w:rPr>
                <w:rFonts w:ascii="Arial" w:cs="Arial" w:eastAsia="Arial" w:hAnsi="Arial"/>
                <w:sz w:val="14"/>
                <w:szCs w:val="14"/>
                <w:color w:val="2D3243"/>
              </w:rPr>
              <w:t>—</w:t>
            </w:r>
          </w:p>
        </w:tc>
        <w:tc>
          <w:tcPr>
            <w:tcW w:w="1960" w:type="dxa"/>
            <w:vAlign w:val="bottom"/>
          </w:tcPr>
          <w:p>
            <w:pPr>
              <w:jc w:val="right"/>
              <w:ind w:right="528"/>
              <w:spacing w:after="0"/>
              <w:rPr>
                <w:sz w:val="20"/>
                <w:szCs w:val="20"/>
                <w:color w:val="auto"/>
              </w:rPr>
            </w:pPr>
            <w:r>
              <w:rPr>
                <w:rFonts w:ascii="Arial" w:cs="Arial" w:eastAsia="Arial" w:hAnsi="Arial"/>
                <w:sz w:val="14"/>
                <w:szCs w:val="14"/>
                <w:color w:val="2D3243"/>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37"/>
        </w:trPr>
        <w:tc>
          <w:tcPr>
            <w:tcW w:w="40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4040" w:type="dxa"/>
            <w:vAlign w:val="bottom"/>
            <w:shd w:val="clear" w:color="auto" w:fill="F0F1F2"/>
          </w:tcPr>
          <w:p>
            <w:pPr>
              <w:jc w:val="right"/>
              <w:ind w:right="228"/>
              <w:spacing w:after="0"/>
              <w:rPr>
                <w:sz w:val="20"/>
                <w:szCs w:val="20"/>
                <w:color w:val="auto"/>
              </w:rPr>
            </w:pPr>
            <w:r>
              <w:rPr>
                <w:rFonts w:ascii="Arial" w:cs="Arial" w:eastAsia="Arial" w:hAnsi="Arial"/>
                <w:sz w:val="14"/>
                <w:szCs w:val="14"/>
                <w:color w:val="2D3243"/>
              </w:rPr>
              <w:t>3,674,000</w:t>
            </w:r>
          </w:p>
        </w:tc>
        <w:tc>
          <w:tcPr>
            <w:tcW w:w="1960" w:type="dxa"/>
            <w:vAlign w:val="bottom"/>
            <w:shd w:val="clear" w:color="auto" w:fill="F0F1F2"/>
          </w:tcPr>
          <w:p>
            <w:pPr>
              <w:jc w:val="right"/>
              <w:ind w:right="528"/>
              <w:spacing w:after="0"/>
              <w:rPr>
                <w:sz w:val="20"/>
                <w:szCs w:val="20"/>
                <w:color w:val="auto"/>
              </w:rPr>
            </w:pPr>
            <w:r>
              <w:rPr>
                <w:rFonts w:ascii="Arial" w:cs="Arial" w:eastAsia="Arial" w:hAnsi="Arial"/>
                <w:sz w:val="14"/>
                <w:szCs w:val="14"/>
                <w:color w:val="2D3243"/>
              </w:rPr>
              <w:t>34,259</w:t>
            </w:r>
          </w:p>
        </w:tc>
        <w:tc>
          <w:tcPr>
            <w:tcW w:w="122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11,419</w:t>
            </w:r>
          </w:p>
        </w:tc>
        <w:tc>
          <w:tcPr>
            <w:tcW w:w="0" w:type="dxa"/>
            <w:vAlign w:val="bottom"/>
          </w:tcPr>
          <w:p>
            <w:pPr>
              <w:spacing w:after="0"/>
              <w:rPr>
                <w:sz w:val="1"/>
                <w:szCs w:val="1"/>
                <w:color w:val="auto"/>
              </w:rPr>
            </w:pPr>
          </w:p>
        </w:tc>
      </w:tr>
      <w:tr>
        <w:trPr>
          <w:trHeight w:val="222"/>
        </w:trPr>
        <w:tc>
          <w:tcPr>
            <w:tcW w:w="4020" w:type="dxa"/>
            <w:vAlign w:val="bottom"/>
          </w:tcPr>
          <w:p>
            <w:pPr>
              <w:ind w:left="100"/>
              <w:spacing w:after="0"/>
              <w:rPr>
                <w:sz w:val="20"/>
                <w:szCs w:val="20"/>
                <w:color w:val="auto"/>
              </w:rPr>
            </w:pPr>
            <w:r>
              <w:rPr>
                <w:rFonts w:ascii="Arial" w:cs="Arial" w:eastAsia="Arial" w:hAnsi="Arial"/>
                <w:sz w:val="14"/>
                <w:szCs w:val="14"/>
                <w:b w:val="1"/>
                <w:bCs w:val="1"/>
                <w:color w:val="2D3243"/>
              </w:rPr>
              <w:t>Daniel Burkland</w:t>
            </w:r>
          </w:p>
        </w:tc>
        <w:tc>
          <w:tcPr>
            <w:tcW w:w="4040" w:type="dxa"/>
            <w:vAlign w:val="bottom"/>
          </w:tcPr>
          <w:p>
            <w:pPr>
              <w:jc w:val="right"/>
              <w:ind w:right="228"/>
              <w:spacing w:after="0"/>
              <w:rPr>
                <w:sz w:val="20"/>
                <w:szCs w:val="20"/>
                <w:color w:val="auto"/>
              </w:rPr>
            </w:pPr>
            <w:r>
              <w:rPr>
                <w:rFonts w:ascii="Arial" w:cs="Arial" w:eastAsia="Arial" w:hAnsi="Arial"/>
                <w:sz w:val="14"/>
                <w:szCs w:val="14"/>
                <w:color w:val="2D3243"/>
              </w:rPr>
              <w:t>4,023,000</w:t>
            </w:r>
          </w:p>
        </w:tc>
        <w:tc>
          <w:tcPr>
            <w:tcW w:w="1960" w:type="dxa"/>
            <w:vAlign w:val="bottom"/>
          </w:tcPr>
          <w:p>
            <w:pPr>
              <w:jc w:val="right"/>
              <w:ind w:right="528"/>
              <w:spacing w:after="0"/>
              <w:rPr>
                <w:sz w:val="20"/>
                <w:szCs w:val="20"/>
                <w:color w:val="auto"/>
              </w:rPr>
            </w:pPr>
            <w:r>
              <w:rPr>
                <w:rFonts w:ascii="Arial" w:cs="Arial" w:eastAsia="Arial" w:hAnsi="Arial"/>
                <w:sz w:val="14"/>
                <w:szCs w:val="14"/>
                <w:color w:val="2D3243"/>
              </w:rPr>
              <w:t>37,513</w:t>
            </w:r>
          </w:p>
        </w:tc>
        <w:tc>
          <w:tcPr>
            <w:tcW w:w="1220" w:type="dxa"/>
            <w:vAlign w:val="bottom"/>
          </w:tcPr>
          <w:p>
            <w:pPr>
              <w:jc w:val="right"/>
              <w:ind w:right="88"/>
              <w:spacing w:after="0"/>
              <w:rPr>
                <w:sz w:val="20"/>
                <w:szCs w:val="20"/>
                <w:color w:val="auto"/>
              </w:rPr>
            </w:pPr>
            <w:r>
              <w:rPr>
                <w:rFonts w:ascii="Arial" w:cs="Arial" w:eastAsia="Arial" w:hAnsi="Arial"/>
                <w:sz w:val="14"/>
                <w:szCs w:val="14"/>
                <w:color w:val="2D3243"/>
              </w:rPr>
              <w:t>12,504</w:t>
            </w:r>
          </w:p>
        </w:tc>
        <w:tc>
          <w:tcPr>
            <w:tcW w:w="0" w:type="dxa"/>
            <w:vAlign w:val="bottom"/>
          </w:tcPr>
          <w:p>
            <w:pPr>
              <w:spacing w:after="0"/>
              <w:rPr>
                <w:sz w:val="1"/>
                <w:szCs w:val="1"/>
                <w:color w:val="auto"/>
              </w:rPr>
            </w:pPr>
          </w:p>
        </w:tc>
      </w:tr>
      <w:tr>
        <w:trPr>
          <w:trHeight w:val="291"/>
        </w:trPr>
        <w:tc>
          <w:tcPr>
            <w:tcW w:w="40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r>
              <w:rPr>
                <w:rFonts w:ascii="Arial" w:cs="Arial" w:eastAsia="Arial" w:hAnsi="Arial"/>
                <w:sz w:val="18"/>
                <w:szCs w:val="18"/>
                <w:b w:val="1"/>
                <w:bCs w:val="1"/>
                <w:color w:val="2D3243"/>
                <w:vertAlign w:val="superscript"/>
              </w:rPr>
              <w:t>(3)</w:t>
            </w:r>
          </w:p>
        </w:tc>
        <w:tc>
          <w:tcPr>
            <w:tcW w:w="4040" w:type="dxa"/>
            <w:vAlign w:val="bottom"/>
            <w:shd w:val="clear" w:color="auto" w:fill="F0F1F2"/>
          </w:tcPr>
          <w:p>
            <w:pPr>
              <w:jc w:val="right"/>
              <w:ind w:right="228"/>
              <w:spacing w:after="0"/>
              <w:rPr>
                <w:sz w:val="20"/>
                <w:szCs w:val="20"/>
                <w:color w:val="auto"/>
              </w:rPr>
            </w:pPr>
            <w:r>
              <w:rPr>
                <w:rFonts w:ascii="Arial" w:cs="Arial" w:eastAsia="Arial" w:hAnsi="Arial"/>
                <w:sz w:val="14"/>
                <w:szCs w:val="14"/>
                <w:color w:val="2D3243"/>
              </w:rPr>
              <w:t>4,750,000</w:t>
            </w:r>
          </w:p>
        </w:tc>
        <w:tc>
          <w:tcPr>
            <w:tcW w:w="1960" w:type="dxa"/>
            <w:vAlign w:val="bottom"/>
            <w:shd w:val="clear" w:color="auto" w:fill="F0F1F2"/>
          </w:tcPr>
          <w:p>
            <w:pPr>
              <w:jc w:val="right"/>
              <w:ind w:right="528"/>
              <w:spacing w:after="0"/>
              <w:rPr>
                <w:sz w:val="20"/>
                <w:szCs w:val="20"/>
                <w:color w:val="auto"/>
              </w:rPr>
            </w:pPr>
            <w:r>
              <w:rPr>
                <w:rFonts w:ascii="Arial" w:cs="Arial" w:eastAsia="Arial" w:hAnsi="Arial"/>
                <w:sz w:val="14"/>
                <w:szCs w:val="14"/>
                <w:color w:val="2D3243"/>
              </w:rPr>
              <w:t>64,767</w:t>
            </w:r>
          </w:p>
        </w:tc>
        <w:tc>
          <w:tcPr>
            <w:tcW w:w="122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0336FF"/>
            </w:tcBorders>
          </w:tcPr>
          <w:p>
            <w:pPr>
              <w:ind w:left="100"/>
              <w:spacing w:after="0"/>
              <w:rPr>
                <w:sz w:val="20"/>
                <w:szCs w:val="20"/>
                <w:color w:val="auto"/>
              </w:rPr>
            </w:pPr>
            <w:r>
              <w:rPr>
                <w:rFonts w:ascii="Arial" w:cs="Arial" w:eastAsia="Arial" w:hAnsi="Arial"/>
                <w:sz w:val="14"/>
                <w:szCs w:val="14"/>
                <w:b w:val="1"/>
                <w:bCs w:val="1"/>
                <w:color w:val="2D3243"/>
              </w:rPr>
              <w:t>Panos Kozanian</w:t>
            </w:r>
          </w:p>
        </w:tc>
        <w:tc>
          <w:tcPr>
            <w:tcW w:w="4040" w:type="dxa"/>
            <w:vAlign w:val="bottom"/>
            <w:tcBorders>
              <w:bottom w:val="single" w:sz="8" w:color="0336FF"/>
            </w:tcBorders>
          </w:tcPr>
          <w:p>
            <w:pPr>
              <w:jc w:val="right"/>
              <w:ind w:right="228"/>
              <w:spacing w:after="0"/>
              <w:rPr>
                <w:sz w:val="20"/>
                <w:szCs w:val="20"/>
                <w:color w:val="auto"/>
              </w:rPr>
            </w:pPr>
            <w:r>
              <w:rPr>
                <w:rFonts w:ascii="Arial" w:cs="Arial" w:eastAsia="Arial" w:hAnsi="Arial"/>
                <w:sz w:val="14"/>
                <w:szCs w:val="14"/>
                <w:color w:val="2D3243"/>
              </w:rPr>
              <w:t>3,860,000</w:t>
            </w:r>
          </w:p>
        </w:tc>
        <w:tc>
          <w:tcPr>
            <w:tcW w:w="1960" w:type="dxa"/>
            <w:vAlign w:val="bottom"/>
            <w:tcBorders>
              <w:bottom w:val="single" w:sz="8" w:color="0336FF"/>
            </w:tcBorders>
          </w:tcPr>
          <w:p>
            <w:pPr>
              <w:jc w:val="right"/>
              <w:ind w:right="528"/>
              <w:spacing w:after="0"/>
              <w:rPr>
                <w:sz w:val="20"/>
                <w:szCs w:val="20"/>
                <w:color w:val="auto"/>
              </w:rPr>
            </w:pPr>
            <w:r>
              <w:rPr>
                <w:rFonts w:ascii="Arial" w:cs="Arial" w:eastAsia="Arial" w:hAnsi="Arial"/>
                <w:sz w:val="14"/>
                <w:szCs w:val="14"/>
                <w:color w:val="2D3243"/>
              </w:rPr>
              <w:t>35,994</w:t>
            </w:r>
          </w:p>
        </w:tc>
        <w:tc>
          <w:tcPr>
            <w:tcW w:w="1220" w:type="dxa"/>
            <w:vAlign w:val="bottom"/>
            <w:tcBorders>
              <w:bottom w:val="single" w:sz="8" w:color="0336FF"/>
            </w:tcBorders>
          </w:tcPr>
          <w:p>
            <w:pPr>
              <w:jc w:val="right"/>
              <w:ind w:right="88"/>
              <w:spacing w:after="0"/>
              <w:rPr>
                <w:sz w:val="20"/>
                <w:szCs w:val="20"/>
                <w:color w:val="auto"/>
              </w:rPr>
            </w:pPr>
            <w:r>
              <w:rPr>
                <w:rFonts w:ascii="Arial" w:cs="Arial" w:eastAsia="Arial" w:hAnsi="Arial"/>
                <w:sz w:val="14"/>
                <w:szCs w:val="14"/>
                <w:color w:val="2D3243"/>
              </w:rPr>
              <w:t>11,998</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40" w:hanging="332"/>
        <w:spacing w:after="0" w:line="332" w:lineRule="auto"/>
        <w:tabs>
          <w:tab w:leader="none" w:pos="338" w:val="left"/>
        </w:tabs>
        <w:numPr>
          <w:ilvl w:val="0"/>
          <w:numId w:val="51"/>
        </w:numPr>
        <w:rPr>
          <w:rFonts w:ascii="Arial" w:cs="Arial" w:eastAsia="Arial" w:hAnsi="Arial"/>
          <w:sz w:val="14"/>
          <w:szCs w:val="14"/>
          <w:color w:val="2D3243"/>
        </w:rPr>
      </w:pPr>
      <w:r>
        <w:rPr>
          <w:rFonts w:ascii="Arial" w:cs="Arial" w:eastAsia="Arial" w:hAnsi="Arial"/>
          <w:sz w:val="14"/>
          <w:szCs w:val="14"/>
          <w:color w:val="2D3243"/>
        </w:rPr>
        <w:t>Target award values differ from grant date fair values under the applicable accounting standards (FASB ASC Topic 718) which are reported in the Summary Compensation Table due to (i) the multi-day stock price average that is used to convert target award values into units under our standard Equity Award Grant Policy and (ii) the higher accounting grant date fair value assigned to PRSUs with a relative TSR performance condition under the Monte Carlo Simulation model - for example, the target number of PRSUs granted to Messrs. Zwarenstein, Daniel Burkland and Kozanian had grant date fair values that were more than 1.3 times the grant date fair value for their RSUs granted on the same date.</w:t>
      </w:r>
    </w:p>
    <w:p>
      <w:pPr>
        <w:spacing w:after="0" w:line="20" w:lineRule="exact"/>
        <w:rPr>
          <w:rFonts w:ascii="Arial" w:cs="Arial" w:eastAsia="Arial" w:hAnsi="Arial"/>
          <w:sz w:val="14"/>
          <w:szCs w:val="14"/>
          <w:color w:val="2D3243"/>
        </w:rPr>
      </w:pPr>
    </w:p>
    <w:p>
      <w:pPr>
        <w:ind w:left="340" w:right="160" w:hanging="332"/>
        <w:spacing w:after="0" w:line="362" w:lineRule="auto"/>
        <w:tabs>
          <w:tab w:leader="none" w:pos="338" w:val="left"/>
        </w:tabs>
        <w:numPr>
          <w:ilvl w:val="0"/>
          <w:numId w:val="51"/>
        </w:numPr>
        <w:rPr>
          <w:rFonts w:ascii="Arial" w:cs="Arial" w:eastAsia="Arial" w:hAnsi="Arial"/>
          <w:sz w:val="14"/>
          <w:szCs w:val="14"/>
          <w:color w:val="2D3243"/>
        </w:rPr>
      </w:pPr>
      <w:r>
        <w:rPr>
          <w:rFonts w:ascii="Arial" w:cs="Arial" w:eastAsia="Arial" w:hAnsi="Arial"/>
          <w:sz w:val="14"/>
          <w:szCs w:val="14"/>
          <w:color w:val="2D3243"/>
        </w:rPr>
        <w:t>Mr. Michael Burkland received equity awards upon his commencement as our CEO in December 2022. In accordance with terms of his Employment Offer Letter, Michael Burkland was not eligible for (and did not receive) the 2023 annual refresh grant of RSUs and PRSUs to NEOs during the first quarter of 2023.</w:t>
      </w:r>
    </w:p>
    <w:p>
      <w:pPr>
        <w:ind w:left="340" w:hanging="332"/>
        <w:spacing w:after="0"/>
        <w:tabs>
          <w:tab w:leader="none" w:pos="340" w:val="left"/>
        </w:tabs>
        <w:numPr>
          <w:ilvl w:val="0"/>
          <w:numId w:val="51"/>
        </w:numPr>
        <w:rPr>
          <w:rFonts w:ascii="Arial" w:cs="Arial" w:eastAsia="Arial" w:hAnsi="Arial"/>
          <w:sz w:val="14"/>
          <w:szCs w:val="14"/>
          <w:color w:val="2D3243"/>
        </w:rPr>
      </w:pPr>
      <w:r>
        <w:rPr>
          <w:rFonts w:ascii="Arial" w:cs="Arial" w:eastAsia="Arial" w:hAnsi="Arial"/>
          <w:sz w:val="14"/>
          <w:szCs w:val="14"/>
          <w:color w:val="2D3243"/>
        </w:rPr>
        <w:t>Because Mr. Dignan was not an executive officer at the time PRSU awards were granted in February 2023, Mr. Dignan did not receive a PRSU award in 2023.</w:t>
      </w:r>
    </w:p>
    <w:p>
      <w:pPr>
        <w:spacing w:after="0" w:line="158" w:lineRule="exact"/>
        <w:rPr>
          <w:sz w:val="20"/>
          <w:szCs w:val="20"/>
          <w:color w:val="auto"/>
        </w:rPr>
      </w:pPr>
    </w:p>
    <w:p>
      <w:pPr>
        <w:ind w:right="100"/>
        <w:spacing w:after="0" w:line="344" w:lineRule="auto"/>
        <w:rPr>
          <w:sz w:val="20"/>
          <w:szCs w:val="20"/>
          <w:color w:val="auto"/>
        </w:rPr>
      </w:pPr>
      <w:r>
        <w:rPr>
          <w:rFonts w:ascii="Arial" w:cs="Arial" w:eastAsia="Arial" w:hAnsi="Arial"/>
          <w:sz w:val="16"/>
          <w:szCs w:val="16"/>
          <w:color w:val="2D3243"/>
        </w:rPr>
        <w:t xml:space="preserve">On February 13, 2023, the Compensation Committee certified the performance results for the </w:t>
      </w:r>
      <w:r>
        <w:rPr>
          <w:rFonts w:ascii="Arial" w:cs="Arial" w:eastAsia="Arial" w:hAnsi="Arial"/>
          <w:sz w:val="16"/>
          <w:szCs w:val="16"/>
          <w:b w:val="1"/>
          <w:bCs w:val="1"/>
          <w:color w:val="2D3243"/>
        </w:rPr>
        <w:t>2022 measurement period</w:t>
      </w:r>
      <w:r>
        <w:rPr>
          <w:rFonts w:ascii="Arial" w:cs="Arial" w:eastAsia="Arial" w:hAnsi="Arial"/>
          <w:sz w:val="16"/>
          <w:szCs w:val="16"/>
          <w:color w:val="2D3243"/>
        </w:rPr>
        <w:t xml:space="preserve"> for the PRSUs subject to the </w:t>
      </w:r>
      <w:r>
        <w:rPr>
          <w:rFonts w:ascii="Arial" w:cs="Arial" w:eastAsia="Arial" w:hAnsi="Arial"/>
          <w:sz w:val="16"/>
          <w:szCs w:val="16"/>
          <w:b w:val="1"/>
          <w:bCs w:val="1"/>
          <w:color w:val="2D3243"/>
        </w:rPr>
        <w:t xml:space="preserve">2022-2024 </w:t>
      </w:r>
      <w:r>
        <w:rPr>
          <w:rFonts w:ascii="Arial" w:cs="Arial" w:eastAsia="Arial" w:hAnsi="Arial"/>
          <w:sz w:val="16"/>
          <w:szCs w:val="16"/>
          <w:color w:val="2D3243"/>
        </w:rPr>
        <w:t>performance period. Under the PRSU agreement, the TSR payout percentage ranges from 0% to 200%, with a 50% payout at the 25th TSR</w:t>
      </w:r>
      <w:r>
        <w:rPr>
          <w:rFonts w:ascii="Arial" w:cs="Arial" w:eastAsia="Arial" w:hAnsi="Arial"/>
          <w:sz w:val="16"/>
          <w:szCs w:val="16"/>
          <w:b w:val="1"/>
          <w:bCs w:val="1"/>
          <w:color w:val="2D3243"/>
        </w:rPr>
        <w:t xml:space="preserve"> </w:t>
      </w:r>
      <w:r>
        <w:rPr>
          <w:rFonts w:ascii="Arial" w:cs="Arial" w:eastAsia="Arial" w:hAnsi="Arial"/>
          <w:sz w:val="16"/>
          <w:szCs w:val="16"/>
          <w:color w:val="2D3243"/>
        </w:rPr>
        <w:t>percentile (threshold), 100% payout at the 55th TSR percentile (target), 200% payout at the 90th percentile or greater (maximum) and no payout below the threshold performance level. The Compensation Committee determined that its actual total shareholder return was -52.64% for 2022, and that its relative total shareholder return ranking was in the 30.2 percentile relative to companies in the S&amp;P Software &amp; Services Select Index, which resulted in a payout percentage of 58.7% of target. The following table shows the number of PRSUs earned by each of our NEOs (other than Messrs. Michael Burkland, Dignan and Kozanian) based on such performance for the 2022 measurement period: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40" w:type="dxa"/>
            <w:vAlign w:val="bottom"/>
            <w:shd w:val="clear" w:color="auto" w:fill="0336FF"/>
          </w:tcPr>
          <w:p>
            <w:pPr>
              <w:spacing w:after="0"/>
              <w:rPr>
                <w:sz w:val="22"/>
                <w:szCs w:val="22"/>
                <w:color w:val="auto"/>
              </w:rPr>
            </w:pPr>
          </w:p>
        </w:tc>
        <w:tc>
          <w:tcPr>
            <w:tcW w:w="2680" w:type="dxa"/>
            <w:vAlign w:val="bottom"/>
            <w:shd w:val="clear" w:color="auto" w:fill="0336FF"/>
          </w:tcPr>
          <w:p>
            <w:pPr>
              <w:jc w:val="right"/>
              <w:ind w:right="588"/>
              <w:spacing w:after="0"/>
              <w:rPr>
                <w:sz w:val="20"/>
                <w:szCs w:val="20"/>
                <w:color w:val="auto"/>
              </w:rPr>
            </w:pPr>
            <w:r>
              <w:rPr>
                <w:rFonts w:ascii="Arial" w:cs="Arial" w:eastAsia="Arial" w:hAnsi="Arial"/>
                <w:sz w:val="14"/>
                <w:szCs w:val="14"/>
                <w:b w:val="1"/>
                <w:bCs w:val="1"/>
                <w:color w:val="FFFFFF"/>
              </w:rPr>
              <w:t>Target Number</w:t>
            </w:r>
          </w:p>
        </w:tc>
        <w:tc>
          <w:tcPr>
            <w:tcW w:w="1920" w:type="dxa"/>
            <w:vAlign w:val="bottom"/>
            <w:shd w:val="clear" w:color="auto" w:fill="0336FF"/>
          </w:tcPr>
          <w:p>
            <w:pPr>
              <w:spacing w:after="0"/>
              <w:rPr>
                <w:sz w:val="22"/>
                <w:szCs w:val="22"/>
                <w:color w:val="auto"/>
              </w:rPr>
            </w:pPr>
          </w:p>
        </w:tc>
        <w:tc>
          <w:tcPr>
            <w:tcW w:w="1700" w:type="dxa"/>
            <w:vAlign w:val="bottom"/>
            <w:shd w:val="clear" w:color="auto" w:fill="0336FF"/>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4940" w:type="dxa"/>
            <w:vAlign w:val="bottom"/>
            <w:shd w:val="clear" w:color="auto" w:fill="0336FF"/>
          </w:tcPr>
          <w:p>
            <w:pPr>
              <w:spacing w:after="0"/>
              <w:rPr>
                <w:sz w:val="15"/>
                <w:szCs w:val="15"/>
                <w:color w:val="auto"/>
              </w:rPr>
            </w:pPr>
          </w:p>
        </w:tc>
        <w:tc>
          <w:tcPr>
            <w:tcW w:w="2680" w:type="dxa"/>
            <w:vAlign w:val="bottom"/>
            <w:shd w:val="clear" w:color="auto" w:fill="0336FF"/>
          </w:tcPr>
          <w:p>
            <w:pPr>
              <w:jc w:val="right"/>
              <w:ind w:right="548"/>
              <w:spacing w:after="0"/>
              <w:rPr>
                <w:sz w:val="20"/>
                <w:szCs w:val="20"/>
                <w:color w:val="auto"/>
              </w:rPr>
            </w:pPr>
            <w:r>
              <w:rPr>
                <w:rFonts w:ascii="Arial" w:cs="Arial" w:eastAsia="Arial" w:hAnsi="Arial"/>
                <w:sz w:val="14"/>
                <w:szCs w:val="14"/>
                <w:b w:val="1"/>
                <w:bCs w:val="1"/>
                <w:color w:val="FFFFFF"/>
              </w:rPr>
              <w:t>of PRSUs for the 2022</w:t>
            </w:r>
          </w:p>
        </w:tc>
        <w:tc>
          <w:tcPr>
            <w:tcW w:w="1920" w:type="dxa"/>
            <w:vAlign w:val="bottom"/>
            <w:shd w:val="clear" w:color="auto" w:fill="0336FF"/>
          </w:tcPr>
          <w:p>
            <w:pPr>
              <w:jc w:val="right"/>
              <w:ind w:right="448"/>
              <w:spacing w:after="0"/>
              <w:rPr>
                <w:sz w:val="20"/>
                <w:szCs w:val="20"/>
                <w:color w:val="auto"/>
              </w:rPr>
            </w:pPr>
            <w:r>
              <w:rPr>
                <w:rFonts w:ascii="Arial" w:cs="Arial" w:eastAsia="Arial" w:hAnsi="Arial"/>
                <w:sz w:val="14"/>
                <w:szCs w:val="14"/>
                <w:b w:val="1"/>
                <w:bCs w:val="1"/>
                <w:color w:val="FFFFFF"/>
              </w:rPr>
              <w:t>Percentage</w:t>
            </w:r>
          </w:p>
        </w:tc>
        <w:tc>
          <w:tcPr>
            <w:tcW w:w="17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Number of</w:t>
            </w:r>
          </w:p>
        </w:tc>
        <w:tc>
          <w:tcPr>
            <w:tcW w:w="0" w:type="dxa"/>
            <w:vAlign w:val="bottom"/>
          </w:tcPr>
          <w:p>
            <w:pPr>
              <w:spacing w:after="0"/>
              <w:rPr>
                <w:sz w:val="1"/>
                <w:szCs w:val="1"/>
                <w:color w:val="auto"/>
              </w:rPr>
            </w:pPr>
          </w:p>
        </w:tc>
      </w:tr>
      <w:tr>
        <w:trPr>
          <w:trHeight w:val="178"/>
        </w:trPr>
        <w:tc>
          <w:tcPr>
            <w:tcW w:w="4940" w:type="dxa"/>
            <w:vAlign w:val="bottom"/>
            <w:vMerge w:val="restart"/>
            <w:shd w:val="clear" w:color="auto" w:fill="0336FF"/>
          </w:tcPr>
          <w:p>
            <w:pPr>
              <w:ind w:left="100"/>
              <w:spacing w:after="0"/>
              <w:rPr>
                <w:sz w:val="20"/>
                <w:szCs w:val="20"/>
                <w:color w:val="auto"/>
              </w:rPr>
            </w:pPr>
            <w:r>
              <w:rPr>
                <w:rFonts w:ascii="Arial" w:cs="Arial" w:eastAsia="Arial" w:hAnsi="Arial"/>
                <w:sz w:val="14"/>
                <w:szCs w:val="14"/>
                <w:b w:val="1"/>
                <w:bCs w:val="1"/>
                <w:color w:val="FFFFFF"/>
              </w:rPr>
              <w:t>NEO</w:t>
            </w:r>
            <w:r>
              <w:rPr>
                <w:rFonts w:ascii="Arial" w:cs="Arial" w:eastAsia="Arial" w:hAnsi="Arial"/>
                <w:sz w:val="18"/>
                <w:szCs w:val="18"/>
                <w:b w:val="1"/>
                <w:bCs w:val="1"/>
                <w:color w:val="FFFFFF"/>
                <w:vertAlign w:val="superscript"/>
              </w:rPr>
              <w:t>(1)</w:t>
            </w:r>
          </w:p>
        </w:tc>
        <w:tc>
          <w:tcPr>
            <w:tcW w:w="2680" w:type="dxa"/>
            <w:vAlign w:val="bottom"/>
            <w:shd w:val="clear" w:color="auto" w:fill="0336FF"/>
          </w:tcPr>
          <w:p>
            <w:pPr>
              <w:jc w:val="right"/>
              <w:ind w:right="548"/>
              <w:spacing w:after="0"/>
              <w:rPr>
                <w:sz w:val="20"/>
                <w:szCs w:val="20"/>
                <w:color w:val="auto"/>
              </w:rPr>
            </w:pPr>
            <w:r>
              <w:rPr>
                <w:rFonts w:ascii="Arial" w:cs="Arial" w:eastAsia="Arial" w:hAnsi="Arial"/>
                <w:sz w:val="14"/>
                <w:szCs w:val="14"/>
                <w:b w:val="1"/>
                <w:bCs w:val="1"/>
                <w:color w:val="FFFFFF"/>
              </w:rPr>
              <w:t>Measurement Period</w:t>
            </w:r>
          </w:p>
        </w:tc>
        <w:tc>
          <w:tcPr>
            <w:tcW w:w="1920" w:type="dxa"/>
            <w:vAlign w:val="bottom"/>
            <w:shd w:val="clear" w:color="auto" w:fill="0336FF"/>
          </w:tcPr>
          <w:p>
            <w:pPr>
              <w:jc w:val="right"/>
              <w:ind w:right="408"/>
              <w:spacing w:after="0"/>
              <w:rPr>
                <w:sz w:val="20"/>
                <w:szCs w:val="20"/>
                <w:color w:val="auto"/>
              </w:rPr>
            </w:pPr>
            <w:r>
              <w:rPr>
                <w:rFonts w:ascii="Arial" w:cs="Arial" w:eastAsia="Arial" w:hAnsi="Arial"/>
                <w:sz w:val="14"/>
                <w:szCs w:val="14"/>
                <w:b w:val="1"/>
                <w:bCs w:val="1"/>
                <w:color w:val="FFFFFF"/>
              </w:rPr>
              <w:t>Earned</w:t>
            </w:r>
          </w:p>
        </w:tc>
        <w:tc>
          <w:tcPr>
            <w:tcW w:w="1700" w:type="dxa"/>
            <w:vAlign w:val="bottom"/>
            <w:shd w:val="clear" w:color="auto" w:fill="0336FF"/>
          </w:tcPr>
          <w:p>
            <w:pPr>
              <w:jc w:val="right"/>
              <w:ind w:right="48"/>
              <w:spacing w:after="0" w:line="178" w:lineRule="exact"/>
              <w:rPr>
                <w:sz w:val="20"/>
                <w:szCs w:val="20"/>
                <w:color w:val="auto"/>
              </w:rPr>
            </w:pPr>
            <w:r>
              <w:rPr>
                <w:rFonts w:ascii="Arial" w:cs="Arial" w:eastAsia="Arial" w:hAnsi="Arial"/>
                <w:sz w:val="14"/>
                <w:szCs w:val="14"/>
                <w:b w:val="1"/>
                <w:bCs w:val="1"/>
                <w:color w:val="FFFFFF"/>
              </w:rPr>
              <w:t>PRSUs Earned</w:t>
            </w:r>
            <w:r>
              <w:rPr>
                <w:rFonts w:ascii="Arial" w:cs="Arial" w:eastAsia="Arial" w:hAnsi="Arial"/>
                <w:sz w:val="18"/>
                <w:szCs w:val="18"/>
                <w:b w:val="1"/>
                <w:bCs w:val="1"/>
                <w:color w:val="FFFFFF"/>
                <w:vertAlign w:val="superscript"/>
              </w:rPr>
              <w:t>(2)</w:t>
            </w:r>
          </w:p>
        </w:tc>
        <w:tc>
          <w:tcPr>
            <w:tcW w:w="0" w:type="dxa"/>
            <w:vAlign w:val="bottom"/>
          </w:tcPr>
          <w:p>
            <w:pPr>
              <w:spacing w:after="0"/>
              <w:rPr>
                <w:sz w:val="1"/>
                <w:szCs w:val="1"/>
                <w:color w:val="auto"/>
              </w:rPr>
            </w:pPr>
          </w:p>
        </w:tc>
      </w:tr>
      <w:tr>
        <w:trPr>
          <w:trHeight w:val="232"/>
        </w:trPr>
        <w:tc>
          <w:tcPr>
            <w:tcW w:w="4940" w:type="dxa"/>
            <w:vAlign w:val="bottom"/>
            <w:tcBorders>
              <w:bottom w:val="single" w:sz="8" w:color="0336FF"/>
            </w:tcBorders>
            <w:vMerge w:val="continue"/>
            <w:shd w:val="clear" w:color="auto" w:fill="0336FF"/>
          </w:tcPr>
          <w:p>
            <w:pPr>
              <w:spacing w:after="0"/>
              <w:rPr>
                <w:sz w:val="20"/>
                <w:szCs w:val="20"/>
                <w:color w:val="auto"/>
              </w:rPr>
            </w:pPr>
          </w:p>
        </w:tc>
        <w:tc>
          <w:tcPr>
            <w:tcW w:w="2680" w:type="dxa"/>
            <w:vAlign w:val="bottom"/>
            <w:tcBorders>
              <w:bottom w:val="single" w:sz="8" w:color="0336FF"/>
            </w:tcBorders>
            <w:shd w:val="clear" w:color="auto" w:fill="0336FF"/>
          </w:tcPr>
          <w:p>
            <w:pPr>
              <w:jc w:val="right"/>
              <w:ind w:right="548"/>
              <w:spacing w:after="0"/>
              <w:rPr>
                <w:sz w:val="20"/>
                <w:szCs w:val="20"/>
                <w:color w:val="auto"/>
              </w:rPr>
            </w:pPr>
            <w:r>
              <w:rPr>
                <w:rFonts w:ascii="Arial" w:cs="Arial" w:eastAsia="Arial" w:hAnsi="Arial"/>
                <w:sz w:val="14"/>
                <w:szCs w:val="14"/>
                <w:b w:val="1"/>
                <w:bCs w:val="1"/>
                <w:color w:val="FFFFFF"/>
              </w:rPr>
              <w:t>(#)</w:t>
            </w:r>
          </w:p>
        </w:tc>
        <w:tc>
          <w:tcPr>
            <w:tcW w:w="1920" w:type="dxa"/>
            <w:vAlign w:val="bottom"/>
            <w:tcBorders>
              <w:bottom w:val="single" w:sz="8" w:color="0336FF"/>
            </w:tcBorders>
            <w:shd w:val="clear" w:color="auto" w:fill="0336FF"/>
          </w:tcPr>
          <w:p>
            <w:pPr>
              <w:jc w:val="right"/>
              <w:ind w:right="408"/>
              <w:spacing w:after="0"/>
              <w:rPr>
                <w:sz w:val="20"/>
                <w:szCs w:val="20"/>
                <w:color w:val="auto"/>
              </w:rPr>
            </w:pPr>
            <w:r>
              <w:rPr>
                <w:rFonts w:ascii="Arial" w:cs="Arial" w:eastAsia="Arial" w:hAnsi="Arial"/>
                <w:sz w:val="14"/>
                <w:szCs w:val="14"/>
                <w:b w:val="1"/>
                <w:bCs w:val="1"/>
                <w:color w:val="FFFFFF"/>
              </w:rPr>
              <w:t>(%)</w:t>
            </w:r>
          </w:p>
        </w:tc>
        <w:tc>
          <w:tcPr>
            <w:tcW w:w="1700" w:type="dxa"/>
            <w:vAlign w:val="bottom"/>
            <w:tcBorders>
              <w:bottom w:val="single" w:sz="8" w:color="0336FF"/>
            </w:tcBorders>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2"/>
        </w:trPr>
        <w:tc>
          <w:tcPr>
            <w:tcW w:w="4940" w:type="dxa"/>
            <w:vAlign w:val="bottom"/>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2680" w:type="dxa"/>
            <w:vAlign w:val="bottom"/>
          </w:tcPr>
          <w:p>
            <w:pPr>
              <w:jc w:val="right"/>
              <w:ind w:right="608"/>
              <w:spacing w:after="0"/>
              <w:rPr>
                <w:sz w:val="20"/>
                <w:szCs w:val="20"/>
                <w:color w:val="auto"/>
              </w:rPr>
            </w:pPr>
            <w:r>
              <w:rPr>
                <w:rFonts w:ascii="Arial" w:cs="Arial" w:eastAsia="Arial" w:hAnsi="Arial"/>
                <w:sz w:val="14"/>
                <w:szCs w:val="14"/>
                <w:color w:val="2D3243"/>
              </w:rPr>
              <w:t>2,348</w:t>
            </w:r>
          </w:p>
        </w:tc>
        <w:tc>
          <w:tcPr>
            <w:tcW w:w="1920" w:type="dxa"/>
            <w:vAlign w:val="bottom"/>
          </w:tcPr>
          <w:p>
            <w:pPr>
              <w:jc w:val="right"/>
              <w:ind w:right="448"/>
              <w:spacing w:after="0"/>
              <w:rPr>
                <w:sz w:val="20"/>
                <w:szCs w:val="20"/>
                <w:color w:val="auto"/>
              </w:rPr>
            </w:pPr>
            <w:r>
              <w:rPr>
                <w:rFonts w:ascii="Arial" w:cs="Arial" w:eastAsia="Arial" w:hAnsi="Arial"/>
                <w:sz w:val="14"/>
                <w:szCs w:val="14"/>
                <w:color w:val="2D3243"/>
              </w:rPr>
              <w:t>58.7</w:t>
            </w:r>
          </w:p>
        </w:tc>
        <w:tc>
          <w:tcPr>
            <w:tcW w:w="1700" w:type="dxa"/>
            <w:vAlign w:val="bottom"/>
          </w:tcPr>
          <w:p>
            <w:pPr>
              <w:jc w:val="right"/>
              <w:ind w:right="88"/>
              <w:spacing w:after="0"/>
              <w:rPr>
                <w:sz w:val="20"/>
                <w:szCs w:val="20"/>
                <w:color w:val="auto"/>
              </w:rPr>
            </w:pPr>
            <w:r>
              <w:rPr>
                <w:rFonts w:ascii="Arial" w:cs="Arial" w:eastAsia="Arial" w:hAnsi="Arial"/>
                <w:sz w:val="14"/>
                <w:szCs w:val="14"/>
                <w:color w:val="2D3243"/>
              </w:rPr>
              <w:t>1,378</w:t>
            </w:r>
          </w:p>
        </w:tc>
        <w:tc>
          <w:tcPr>
            <w:tcW w:w="0" w:type="dxa"/>
            <w:vAlign w:val="bottom"/>
          </w:tcPr>
          <w:p>
            <w:pPr>
              <w:spacing w:after="0"/>
              <w:rPr>
                <w:sz w:val="1"/>
                <w:szCs w:val="1"/>
                <w:color w:val="auto"/>
              </w:rPr>
            </w:pPr>
          </w:p>
        </w:tc>
      </w:tr>
      <w:tr>
        <w:trPr>
          <w:trHeight w:val="231"/>
        </w:trPr>
        <w:tc>
          <w:tcPr>
            <w:tcW w:w="4940" w:type="dxa"/>
            <w:vAlign w:val="bottom"/>
            <w:tcBorders>
              <w:bottom w:val="single" w:sz="8" w:color="0336FF"/>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Daniel Burkland</w:t>
            </w:r>
          </w:p>
        </w:tc>
        <w:tc>
          <w:tcPr>
            <w:tcW w:w="2680" w:type="dxa"/>
            <w:vAlign w:val="bottom"/>
            <w:tcBorders>
              <w:bottom w:val="single" w:sz="8" w:color="0336FF"/>
            </w:tcBorders>
            <w:shd w:val="clear" w:color="auto" w:fill="F0F1F2"/>
          </w:tcPr>
          <w:p>
            <w:pPr>
              <w:jc w:val="right"/>
              <w:ind w:right="608"/>
              <w:spacing w:after="0"/>
              <w:rPr>
                <w:sz w:val="20"/>
                <w:szCs w:val="20"/>
                <w:color w:val="auto"/>
              </w:rPr>
            </w:pPr>
            <w:r>
              <w:rPr>
                <w:rFonts w:ascii="Arial" w:cs="Arial" w:eastAsia="Arial" w:hAnsi="Arial"/>
                <w:sz w:val="14"/>
                <w:szCs w:val="14"/>
                <w:color w:val="2D3243"/>
              </w:rPr>
              <w:t>2,684</w:t>
            </w:r>
          </w:p>
        </w:tc>
        <w:tc>
          <w:tcPr>
            <w:tcW w:w="1920" w:type="dxa"/>
            <w:vAlign w:val="bottom"/>
            <w:tcBorders>
              <w:bottom w:val="single" w:sz="8" w:color="0336FF"/>
            </w:tcBorders>
            <w:shd w:val="clear" w:color="auto" w:fill="F0F1F2"/>
          </w:tcPr>
          <w:p>
            <w:pPr>
              <w:jc w:val="right"/>
              <w:ind w:right="448"/>
              <w:spacing w:after="0"/>
              <w:rPr>
                <w:sz w:val="20"/>
                <w:szCs w:val="20"/>
                <w:color w:val="auto"/>
              </w:rPr>
            </w:pPr>
            <w:r>
              <w:rPr>
                <w:rFonts w:ascii="Arial" w:cs="Arial" w:eastAsia="Arial" w:hAnsi="Arial"/>
                <w:sz w:val="14"/>
                <w:szCs w:val="14"/>
                <w:color w:val="2D3243"/>
              </w:rPr>
              <w:t>58.7</w:t>
            </w:r>
          </w:p>
        </w:tc>
        <w:tc>
          <w:tcPr>
            <w:tcW w:w="1700" w:type="dxa"/>
            <w:vAlign w:val="bottom"/>
            <w:tcBorders>
              <w:bottom w:val="single" w:sz="8" w:color="0336FF"/>
            </w:tcBorders>
            <w:shd w:val="clear" w:color="auto" w:fill="F0F1F2"/>
          </w:tcPr>
          <w:p>
            <w:pPr>
              <w:jc w:val="right"/>
              <w:ind w:right="88"/>
              <w:spacing w:after="0"/>
              <w:rPr>
                <w:sz w:val="20"/>
                <w:szCs w:val="20"/>
                <w:color w:val="auto"/>
              </w:rPr>
            </w:pPr>
            <w:r>
              <w:rPr>
                <w:rFonts w:ascii="Arial" w:cs="Arial" w:eastAsia="Arial" w:hAnsi="Arial"/>
                <w:sz w:val="14"/>
                <w:szCs w:val="14"/>
                <w:color w:val="2D3243"/>
              </w:rPr>
              <w:t>1,575</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360" w:hanging="332"/>
        <w:spacing w:after="0" w:line="362" w:lineRule="auto"/>
        <w:tabs>
          <w:tab w:leader="none" w:pos="338" w:val="left"/>
        </w:tabs>
        <w:numPr>
          <w:ilvl w:val="0"/>
          <w:numId w:val="52"/>
        </w:numPr>
        <w:rPr>
          <w:rFonts w:ascii="Arial" w:cs="Arial" w:eastAsia="Arial" w:hAnsi="Arial"/>
          <w:sz w:val="14"/>
          <w:szCs w:val="14"/>
          <w:color w:val="2D3243"/>
        </w:rPr>
      </w:pPr>
      <w:r>
        <w:rPr>
          <w:rFonts w:ascii="Arial" w:cs="Arial" w:eastAsia="Arial" w:hAnsi="Arial"/>
          <w:sz w:val="14"/>
          <w:szCs w:val="14"/>
          <w:color w:val="2D3243"/>
        </w:rPr>
        <w:t>Because Messrs. Michael Burkland, Dignan and Kozanian were not executive officers at the time PRSU awards were granted in February 2022, they did not receive a PRSU award for the 2022-2024 performance period.</w:t>
      </w:r>
    </w:p>
    <w:p>
      <w:pPr>
        <w:ind w:left="340" w:hanging="332"/>
        <w:spacing w:after="0"/>
        <w:tabs>
          <w:tab w:leader="none" w:pos="340" w:val="left"/>
        </w:tabs>
        <w:numPr>
          <w:ilvl w:val="0"/>
          <w:numId w:val="52"/>
        </w:numPr>
        <w:rPr>
          <w:rFonts w:ascii="Arial" w:cs="Arial" w:eastAsia="Arial" w:hAnsi="Arial"/>
          <w:sz w:val="14"/>
          <w:szCs w:val="14"/>
          <w:color w:val="2D3243"/>
        </w:rPr>
      </w:pPr>
      <w:r>
        <w:rPr>
          <w:rFonts w:ascii="Arial" w:cs="Arial" w:eastAsia="Arial" w:hAnsi="Arial"/>
          <w:sz w:val="14"/>
          <w:szCs w:val="14"/>
          <w:color w:val="2D3243"/>
        </w:rPr>
        <w:t>The PRSUs described in this column vested and were earned upon the Compensation Committee’s certification of the performance on February 13, 2023.</w:t>
      </w:r>
    </w:p>
    <w:p>
      <w:pPr>
        <w:spacing w:after="0" w:line="104"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color w:val="2D3243"/>
        </w:rPr>
        <w:t>On October 31, 2023, the Compensation Committee certified that the first revenue target of Daniel Burkland's PRSUs subject to revenue-based performance and service conditions granted in June 2023 was achieved. However, the Compensation Committee certified on February 14, 2024 that, as of December 31, 2023, the second revenue target of this grant was not achieved, and cancelled the PRSUs associated with the second revenue target. The following table shows the number of PRSUs deemed conditionally earned based on such performance. The PRSUs that were conditionally earned as of October 31, 2023 will vest in four quarterly installments, with the first installment occurring on October 31, 2023, subject to Mr. Daniel Burkland’s continuous service through the applicable vesting dates.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54</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2" w:name="page63"/>
    <w:bookmarkEnd w:id="62"/>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shd w:val="clear" w:color="auto" w:fill="0336FF"/>
          </w:tcPr>
          <w:p>
            <w:pPr>
              <w:spacing w:after="0"/>
              <w:rPr>
                <w:sz w:val="18"/>
                <w:szCs w:val="18"/>
                <w:color w:val="auto"/>
              </w:rPr>
            </w:pPr>
          </w:p>
        </w:tc>
        <w:tc>
          <w:tcPr>
            <w:tcW w:w="2320" w:type="dxa"/>
            <w:vAlign w:val="bottom"/>
            <w:shd w:val="clear" w:color="auto" w:fill="0336FF"/>
          </w:tcPr>
          <w:p>
            <w:pPr>
              <w:spacing w:after="0"/>
              <w:rPr>
                <w:sz w:val="18"/>
                <w:szCs w:val="18"/>
                <w:color w:val="auto"/>
              </w:rPr>
            </w:pPr>
          </w:p>
        </w:tc>
        <w:tc>
          <w:tcPr>
            <w:tcW w:w="2060" w:type="dxa"/>
            <w:vAlign w:val="bottom"/>
            <w:shd w:val="clear" w:color="auto" w:fill="0336FF"/>
          </w:tcPr>
          <w:p>
            <w:pPr>
              <w:spacing w:after="0"/>
              <w:rPr>
                <w:sz w:val="18"/>
                <w:szCs w:val="18"/>
                <w:color w:val="auto"/>
              </w:rPr>
            </w:pPr>
          </w:p>
        </w:tc>
        <w:tc>
          <w:tcPr>
            <w:tcW w:w="3020" w:type="dxa"/>
            <w:vAlign w:val="bottom"/>
            <w:shd w:val="clear" w:color="auto" w:fill="0336FF"/>
          </w:tcPr>
          <w:p>
            <w:pPr>
              <w:jc w:val="right"/>
              <w:ind w:right="548"/>
              <w:spacing w:after="0"/>
              <w:rPr>
                <w:sz w:val="20"/>
                <w:szCs w:val="20"/>
                <w:color w:val="auto"/>
              </w:rPr>
            </w:pPr>
            <w:r>
              <w:rPr>
                <w:rFonts w:ascii="Arial" w:cs="Arial" w:eastAsia="Arial" w:hAnsi="Arial"/>
                <w:sz w:val="14"/>
                <w:szCs w:val="14"/>
                <w:b w:val="1"/>
                <w:bCs w:val="1"/>
                <w:color w:val="FFFFFF"/>
              </w:rPr>
              <w:t>Certified Achieved</w:t>
            </w:r>
          </w:p>
        </w:tc>
        <w:tc>
          <w:tcPr>
            <w:tcW w:w="900" w:type="dxa"/>
            <w:vAlign w:val="bottom"/>
            <w:shd w:val="clear" w:color="auto" w:fill="0336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shd w:val="clear" w:color="auto" w:fill="0336FF"/>
          </w:tcPr>
          <w:p>
            <w:pPr>
              <w:spacing w:after="0"/>
              <w:rPr>
                <w:sz w:val="17"/>
                <w:szCs w:val="17"/>
                <w:color w:val="auto"/>
              </w:rPr>
            </w:pPr>
          </w:p>
        </w:tc>
        <w:tc>
          <w:tcPr>
            <w:tcW w:w="2320" w:type="dxa"/>
            <w:vAlign w:val="bottom"/>
            <w:shd w:val="clear" w:color="auto" w:fill="0336FF"/>
          </w:tcPr>
          <w:p>
            <w:pPr>
              <w:spacing w:after="0"/>
              <w:rPr>
                <w:sz w:val="17"/>
                <w:szCs w:val="17"/>
                <w:color w:val="auto"/>
              </w:rPr>
            </w:pPr>
          </w:p>
        </w:tc>
        <w:tc>
          <w:tcPr>
            <w:tcW w:w="2060" w:type="dxa"/>
            <w:vAlign w:val="bottom"/>
            <w:shd w:val="clear" w:color="auto" w:fill="0336FF"/>
          </w:tcPr>
          <w:p>
            <w:pPr>
              <w:jc w:val="right"/>
              <w:ind w:right="228"/>
              <w:spacing w:after="0"/>
              <w:rPr>
                <w:sz w:val="20"/>
                <w:szCs w:val="20"/>
                <w:color w:val="auto"/>
              </w:rPr>
            </w:pPr>
            <w:r>
              <w:rPr>
                <w:rFonts w:ascii="Arial" w:cs="Arial" w:eastAsia="Arial" w:hAnsi="Arial"/>
                <w:sz w:val="14"/>
                <w:szCs w:val="14"/>
                <w:b w:val="1"/>
                <w:bCs w:val="1"/>
                <w:color w:val="FFFFFF"/>
              </w:rPr>
              <w:t>PRSUs Granted</w:t>
            </w:r>
          </w:p>
        </w:tc>
        <w:tc>
          <w:tcPr>
            <w:tcW w:w="3020" w:type="dxa"/>
            <w:vAlign w:val="bottom"/>
            <w:vMerge w:val="restart"/>
            <w:shd w:val="clear" w:color="auto" w:fill="0336FF"/>
          </w:tcPr>
          <w:p>
            <w:pPr>
              <w:jc w:val="right"/>
              <w:ind w:right="1228"/>
              <w:spacing w:after="0"/>
              <w:rPr>
                <w:sz w:val="20"/>
                <w:szCs w:val="20"/>
                <w:color w:val="auto"/>
              </w:rPr>
            </w:pPr>
            <w:r>
              <w:rPr>
                <w:rFonts w:ascii="Arial" w:cs="Arial" w:eastAsia="Arial" w:hAnsi="Arial"/>
                <w:sz w:val="14"/>
                <w:szCs w:val="14"/>
                <w:b w:val="1"/>
                <w:bCs w:val="1"/>
                <w:color w:val="FFFFFF"/>
              </w:rPr>
              <w:t>First Revenue Target</w:t>
            </w:r>
          </w:p>
        </w:tc>
        <w:tc>
          <w:tcPr>
            <w:tcW w:w="900" w:type="dxa"/>
            <w:vAlign w:val="bottom"/>
            <w:shd w:val="clear" w:color="auto" w:fill="0336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0336FF"/>
          </w:tcPr>
          <w:p>
            <w:pPr>
              <w:spacing w:after="0"/>
              <w:rPr>
                <w:sz w:val="14"/>
                <w:szCs w:val="14"/>
                <w:color w:val="auto"/>
              </w:rPr>
            </w:pPr>
          </w:p>
        </w:tc>
        <w:tc>
          <w:tcPr>
            <w:tcW w:w="2320" w:type="dxa"/>
            <w:vAlign w:val="bottom"/>
            <w:shd w:val="clear" w:color="auto" w:fill="0336FF"/>
          </w:tcPr>
          <w:p>
            <w:pPr>
              <w:spacing w:after="0"/>
              <w:rPr>
                <w:sz w:val="14"/>
                <w:szCs w:val="14"/>
                <w:color w:val="auto"/>
              </w:rPr>
            </w:pPr>
          </w:p>
        </w:tc>
        <w:tc>
          <w:tcPr>
            <w:tcW w:w="2060" w:type="dxa"/>
            <w:vAlign w:val="bottom"/>
            <w:shd w:val="clear" w:color="auto" w:fill="0336FF"/>
          </w:tcPr>
          <w:p>
            <w:pPr>
              <w:jc w:val="right"/>
              <w:ind w:right="268"/>
              <w:spacing w:after="0"/>
              <w:rPr>
                <w:sz w:val="20"/>
                <w:szCs w:val="20"/>
                <w:color w:val="auto"/>
              </w:rPr>
            </w:pPr>
            <w:r>
              <w:rPr>
                <w:rFonts w:ascii="Arial" w:cs="Arial" w:eastAsia="Arial" w:hAnsi="Arial"/>
                <w:sz w:val="14"/>
                <w:szCs w:val="14"/>
                <w:b w:val="1"/>
                <w:bCs w:val="1"/>
                <w:color w:val="FFFFFF"/>
              </w:rPr>
              <w:t>(Performance-Based)</w:t>
            </w:r>
          </w:p>
        </w:tc>
        <w:tc>
          <w:tcPr>
            <w:tcW w:w="3020" w:type="dxa"/>
            <w:vAlign w:val="bottom"/>
            <w:vMerge w:val="continue"/>
            <w:shd w:val="clear" w:color="auto" w:fill="0336FF"/>
          </w:tcPr>
          <w:p>
            <w:pPr>
              <w:spacing w:after="0"/>
              <w:rPr>
                <w:sz w:val="14"/>
                <w:szCs w:val="14"/>
                <w:color w:val="auto"/>
              </w:rPr>
            </w:pPr>
          </w:p>
        </w:tc>
        <w:tc>
          <w:tcPr>
            <w:tcW w:w="900" w:type="dxa"/>
            <w:vAlign w:val="bottom"/>
            <w:shd w:val="clear" w:color="auto" w:fill="0336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940" w:type="dxa"/>
            <w:vAlign w:val="bottom"/>
            <w:tcBorders>
              <w:bottom w:val="single" w:sz="8" w:color="0056D2"/>
            </w:tcBorders>
            <w:shd w:val="clear" w:color="auto" w:fill="0336FF"/>
          </w:tcPr>
          <w:p>
            <w:pPr>
              <w:ind w:left="100"/>
              <w:spacing w:after="0"/>
              <w:rPr>
                <w:sz w:val="20"/>
                <w:szCs w:val="20"/>
                <w:color w:val="auto"/>
              </w:rPr>
            </w:pPr>
            <w:r>
              <w:rPr>
                <w:rFonts w:ascii="Arial" w:cs="Arial" w:eastAsia="Arial" w:hAnsi="Arial"/>
                <w:sz w:val="14"/>
                <w:szCs w:val="14"/>
                <w:b w:val="1"/>
                <w:bCs w:val="1"/>
                <w:color w:val="FFFFFF"/>
              </w:rPr>
              <w:t>NEO</w:t>
            </w:r>
          </w:p>
        </w:tc>
        <w:tc>
          <w:tcPr>
            <w:tcW w:w="2320" w:type="dxa"/>
            <w:vAlign w:val="bottom"/>
            <w:tcBorders>
              <w:bottom w:val="single" w:sz="8" w:color="0056D2"/>
            </w:tcBorders>
            <w:shd w:val="clear" w:color="auto" w:fill="0336FF"/>
          </w:tcPr>
          <w:p>
            <w:pPr>
              <w:jc w:val="right"/>
              <w:ind w:right="208"/>
              <w:spacing w:after="0"/>
              <w:rPr>
                <w:sz w:val="20"/>
                <w:szCs w:val="20"/>
                <w:color w:val="auto"/>
              </w:rPr>
            </w:pPr>
            <w:r>
              <w:rPr>
                <w:rFonts w:ascii="Arial" w:cs="Arial" w:eastAsia="Arial" w:hAnsi="Arial"/>
                <w:sz w:val="14"/>
                <w:szCs w:val="14"/>
                <w:b w:val="1"/>
                <w:bCs w:val="1"/>
                <w:color w:val="FFFFFF"/>
              </w:rPr>
              <w:t>Grant Date</w:t>
            </w:r>
          </w:p>
        </w:tc>
        <w:tc>
          <w:tcPr>
            <w:tcW w:w="2060" w:type="dxa"/>
            <w:vAlign w:val="bottom"/>
            <w:tcBorders>
              <w:bottom w:val="single" w:sz="8" w:color="0056D2"/>
            </w:tcBorders>
            <w:shd w:val="clear" w:color="auto" w:fill="0336FF"/>
          </w:tcPr>
          <w:p>
            <w:pPr>
              <w:jc w:val="right"/>
              <w:ind w:right="228"/>
              <w:spacing w:after="0"/>
              <w:rPr>
                <w:sz w:val="20"/>
                <w:szCs w:val="20"/>
                <w:color w:val="auto"/>
              </w:rPr>
            </w:pPr>
            <w:r>
              <w:rPr>
                <w:rFonts w:ascii="Arial" w:cs="Arial" w:eastAsia="Arial" w:hAnsi="Arial"/>
                <w:sz w:val="14"/>
                <w:szCs w:val="14"/>
                <w:b w:val="1"/>
                <w:bCs w:val="1"/>
                <w:color w:val="FFFFFF"/>
              </w:rPr>
              <w:t>(#)</w:t>
            </w:r>
          </w:p>
        </w:tc>
        <w:tc>
          <w:tcPr>
            <w:tcW w:w="3920" w:type="dxa"/>
            <w:vAlign w:val="bottom"/>
            <w:tcBorders>
              <w:bottom w:val="single" w:sz="8" w:color="0056D2"/>
            </w:tcBorders>
            <w:gridSpan w:val="2"/>
            <w:shd w:val="clear" w:color="auto" w:fill="0336FF"/>
          </w:tcPr>
          <w:p>
            <w:pPr>
              <w:ind w:left="1580"/>
              <w:spacing w:after="0"/>
              <w:rPr>
                <w:sz w:val="20"/>
                <w:szCs w:val="20"/>
                <w:color w:val="auto"/>
              </w:rPr>
            </w:pPr>
            <w:r>
              <w:rPr>
                <w:rFonts w:ascii="Arial" w:cs="Arial" w:eastAsia="Arial" w:hAnsi="Arial"/>
                <w:sz w:val="14"/>
                <w:szCs w:val="14"/>
                <w:b w:val="1"/>
                <w:bCs w:val="1"/>
                <w:color w:val="FFFFFF"/>
              </w:rPr>
              <w:t>(#)   Second Revenue Target (#)</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0336FF"/>
            </w:tcBorders>
          </w:tcPr>
          <w:p>
            <w:pPr>
              <w:ind w:left="100"/>
              <w:spacing w:after="0"/>
              <w:rPr>
                <w:sz w:val="20"/>
                <w:szCs w:val="20"/>
                <w:color w:val="auto"/>
              </w:rPr>
            </w:pPr>
            <w:r>
              <w:rPr>
                <w:rFonts w:ascii="Arial" w:cs="Arial" w:eastAsia="Arial" w:hAnsi="Arial"/>
                <w:sz w:val="14"/>
                <w:szCs w:val="14"/>
                <w:b w:val="1"/>
                <w:bCs w:val="1"/>
                <w:color w:val="2D3243"/>
              </w:rPr>
              <w:t>Daniel Burkland</w:t>
            </w:r>
          </w:p>
        </w:tc>
        <w:tc>
          <w:tcPr>
            <w:tcW w:w="2320" w:type="dxa"/>
            <w:vAlign w:val="bottom"/>
            <w:tcBorders>
              <w:bottom w:val="single" w:sz="8" w:color="0336FF"/>
            </w:tcBorders>
          </w:tcPr>
          <w:p>
            <w:pPr>
              <w:jc w:val="right"/>
              <w:ind w:right="208"/>
              <w:spacing w:after="0"/>
              <w:rPr>
                <w:sz w:val="20"/>
                <w:szCs w:val="20"/>
                <w:color w:val="auto"/>
              </w:rPr>
            </w:pPr>
            <w:r>
              <w:rPr>
                <w:rFonts w:ascii="Arial" w:cs="Arial" w:eastAsia="Arial" w:hAnsi="Arial"/>
                <w:sz w:val="14"/>
                <w:szCs w:val="14"/>
                <w:color w:val="2D3243"/>
              </w:rPr>
              <w:t>6/2/2022</w:t>
            </w:r>
          </w:p>
        </w:tc>
        <w:tc>
          <w:tcPr>
            <w:tcW w:w="2060" w:type="dxa"/>
            <w:vAlign w:val="bottom"/>
            <w:tcBorders>
              <w:bottom w:val="single" w:sz="8" w:color="0336FF"/>
            </w:tcBorders>
          </w:tcPr>
          <w:p>
            <w:pPr>
              <w:jc w:val="right"/>
              <w:ind w:right="268"/>
              <w:spacing w:after="0"/>
              <w:rPr>
                <w:sz w:val="20"/>
                <w:szCs w:val="20"/>
                <w:color w:val="auto"/>
              </w:rPr>
            </w:pPr>
            <w:r>
              <w:rPr>
                <w:rFonts w:ascii="Arial" w:cs="Arial" w:eastAsia="Arial" w:hAnsi="Arial"/>
                <w:sz w:val="14"/>
                <w:szCs w:val="14"/>
                <w:color w:val="2D3243"/>
              </w:rPr>
              <w:t>60,963</w:t>
            </w:r>
          </w:p>
        </w:tc>
        <w:tc>
          <w:tcPr>
            <w:tcW w:w="3020" w:type="dxa"/>
            <w:vAlign w:val="bottom"/>
            <w:tcBorders>
              <w:bottom w:val="single" w:sz="8" w:color="0336FF"/>
            </w:tcBorders>
          </w:tcPr>
          <w:p>
            <w:pPr>
              <w:jc w:val="right"/>
              <w:ind w:right="1248"/>
              <w:spacing w:after="0"/>
              <w:rPr>
                <w:sz w:val="20"/>
                <w:szCs w:val="20"/>
                <w:color w:val="auto"/>
              </w:rPr>
            </w:pPr>
            <w:r>
              <w:rPr>
                <w:rFonts w:ascii="Arial" w:cs="Arial" w:eastAsia="Arial" w:hAnsi="Arial"/>
                <w:sz w:val="14"/>
                <w:szCs w:val="14"/>
                <w:color w:val="2D3243"/>
              </w:rPr>
              <w:t>20,321</w:t>
            </w:r>
          </w:p>
        </w:tc>
        <w:tc>
          <w:tcPr>
            <w:tcW w:w="900" w:type="dxa"/>
            <w:vAlign w:val="bottom"/>
            <w:tcBorders>
              <w:bottom w:val="single" w:sz="8" w:color="0336FF"/>
            </w:tcBorders>
          </w:tcPr>
          <w:p>
            <w:pPr>
              <w:ind w:left="600"/>
              <w:spacing w:after="0"/>
              <w:rPr>
                <w:sz w:val="20"/>
                <w:szCs w:val="20"/>
                <w:color w:val="auto"/>
              </w:rPr>
            </w:pPr>
            <w:r>
              <w:rPr>
                <w:rFonts w:ascii="Arial" w:cs="Arial" w:eastAsia="Arial" w:hAnsi="Arial"/>
                <w:sz w:val="14"/>
                <w:szCs w:val="14"/>
                <w:color w:val="2D324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-548005</wp:posOffset>
            </wp:positionV>
            <wp:extent cx="26657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87" w:lineRule="exact"/>
        <w:rPr>
          <w:sz w:val="20"/>
          <w:szCs w:val="20"/>
          <w:color w:val="auto"/>
        </w:rPr>
      </w:pPr>
    </w:p>
    <w:p>
      <w:pPr>
        <w:ind w:right="60"/>
        <w:spacing w:after="0" w:line="344" w:lineRule="auto"/>
        <w:rPr>
          <w:sz w:val="20"/>
          <w:szCs w:val="20"/>
          <w:color w:val="auto"/>
        </w:rPr>
      </w:pPr>
      <w:r>
        <w:rPr>
          <w:rFonts w:ascii="Arial" w:cs="Arial" w:eastAsia="Arial" w:hAnsi="Arial"/>
          <w:sz w:val="16"/>
          <w:szCs w:val="16"/>
          <w:color w:val="2D3243"/>
        </w:rPr>
        <w:t xml:space="preserve">On February 14, 2024, the Compensation Committee certified the performance results for the </w:t>
      </w:r>
      <w:r>
        <w:rPr>
          <w:rFonts w:ascii="Arial" w:cs="Arial" w:eastAsia="Arial" w:hAnsi="Arial"/>
          <w:sz w:val="16"/>
          <w:szCs w:val="16"/>
          <w:b w:val="1"/>
          <w:bCs w:val="1"/>
          <w:color w:val="2D3243"/>
        </w:rPr>
        <w:t>2023 measurement period</w:t>
      </w:r>
      <w:r>
        <w:rPr>
          <w:rFonts w:ascii="Arial" w:cs="Arial" w:eastAsia="Arial" w:hAnsi="Arial"/>
          <w:sz w:val="16"/>
          <w:szCs w:val="16"/>
          <w:color w:val="2D3243"/>
        </w:rPr>
        <w:t xml:space="preserve"> for the market-based PRSUs subject to the </w:t>
      </w:r>
      <w:r>
        <w:rPr>
          <w:rFonts w:ascii="Arial" w:cs="Arial" w:eastAsia="Arial" w:hAnsi="Arial"/>
          <w:sz w:val="16"/>
          <w:szCs w:val="16"/>
          <w:b w:val="1"/>
          <w:bCs w:val="1"/>
          <w:color w:val="2D3243"/>
        </w:rPr>
        <w:t>2022-2024</w:t>
      </w:r>
      <w:r>
        <w:rPr>
          <w:rFonts w:ascii="Arial" w:cs="Arial" w:eastAsia="Arial" w:hAnsi="Arial"/>
          <w:sz w:val="16"/>
          <w:szCs w:val="16"/>
          <w:color w:val="2D3243"/>
        </w:rPr>
        <w:t xml:space="preserve"> performance period. The Compensation Committee determined that its actual total shareholder return was 19.95% for 2023, and that its relative total shareholder return ranking was in the 53.8 percentile relative to companies in the S&amp;P Software &amp; Services Select Index, which resulted in a payout percentage of 98.0% of target. The following table shows the number of PRSUs earned by each of our NEOs (other than Messrs. Michael Burkland, Dignan and Kozanian) based on such performance for the 2023 measurement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940" w:type="dxa"/>
            <w:vAlign w:val="bottom"/>
            <w:shd w:val="clear" w:color="auto" w:fill="0336FF"/>
          </w:tcPr>
          <w:p>
            <w:pPr>
              <w:spacing w:after="0"/>
              <w:rPr>
                <w:sz w:val="21"/>
                <w:szCs w:val="21"/>
                <w:color w:val="auto"/>
              </w:rPr>
            </w:pPr>
          </w:p>
        </w:tc>
        <w:tc>
          <w:tcPr>
            <w:tcW w:w="2680" w:type="dxa"/>
            <w:vAlign w:val="bottom"/>
            <w:shd w:val="clear" w:color="auto" w:fill="0336FF"/>
          </w:tcPr>
          <w:p>
            <w:pPr>
              <w:jc w:val="right"/>
              <w:ind w:right="588"/>
              <w:spacing w:after="0"/>
              <w:rPr>
                <w:sz w:val="20"/>
                <w:szCs w:val="20"/>
                <w:color w:val="auto"/>
              </w:rPr>
            </w:pPr>
            <w:r>
              <w:rPr>
                <w:rFonts w:ascii="Arial" w:cs="Arial" w:eastAsia="Arial" w:hAnsi="Arial"/>
                <w:sz w:val="14"/>
                <w:szCs w:val="14"/>
                <w:b w:val="1"/>
                <w:bCs w:val="1"/>
                <w:color w:val="FFFFFF"/>
              </w:rPr>
              <w:t>Target Number</w:t>
            </w:r>
          </w:p>
        </w:tc>
        <w:tc>
          <w:tcPr>
            <w:tcW w:w="1920" w:type="dxa"/>
            <w:vAlign w:val="bottom"/>
            <w:shd w:val="clear" w:color="auto" w:fill="0336FF"/>
          </w:tcPr>
          <w:p>
            <w:pPr>
              <w:spacing w:after="0"/>
              <w:rPr>
                <w:sz w:val="21"/>
                <w:szCs w:val="21"/>
                <w:color w:val="auto"/>
              </w:rPr>
            </w:pPr>
          </w:p>
        </w:tc>
        <w:tc>
          <w:tcPr>
            <w:tcW w:w="1700" w:type="dxa"/>
            <w:vAlign w:val="bottom"/>
            <w:shd w:val="clear" w:color="auto" w:fill="0336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940" w:type="dxa"/>
            <w:vAlign w:val="bottom"/>
            <w:shd w:val="clear" w:color="auto" w:fill="0336FF"/>
          </w:tcPr>
          <w:p>
            <w:pPr>
              <w:spacing w:after="0"/>
              <w:rPr>
                <w:sz w:val="15"/>
                <w:szCs w:val="15"/>
                <w:color w:val="auto"/>
              </w:rPr>
            </w:pPr>
          </w:p>
        </w:tc>
        <w:tc>
          <w:tcPr>
            <w:tcW w:w="2680" w:type="dxa"/>
            <w:vAlign w:val="bottom"/>
            <w:shd w:val="clear" w:color="auto" w:fill="0336FF"/>
          </w:tcPr>
          <w:p>
            <w:pPr>
              <w:jc w:val="right"/>
              <w:ind w:right="548"/>
              <w:spacing w:after="0"/>
              <w:rPr>
                <w:sz w:val="20"/>
                <w:szCs w:val="20"/>
                <w:color w:val="auto"/>
              </w:rPr>
            </w:pPr>
            <w:r>
              <w:rPr>
                <w:rFonts w:ascii="Arial" w:cs="Arial" w:eastAsia="Arial" w:hAnsi="Arial"/>
                <w:sz w:val="14"/>
                <w:szCs w:val="14"/>
                <w:b w:val="1"/>
                <w:bCs w:val="1"/>
                <w:color w:val="FFFFFF"/>
              </w:rPr>
              <w:t>of PRSUs for the 2023</w:t>
            </w:r>
          </w:p>
        </w:tc>
        <w:tc>
          <w:tcPr>
            <w:tcW w:w="1920" w:type="dxa"/>
            <w:vAlign w:val="bottom"/>
            <w:shd w:val="clear" w:color="auto" w:fill="0336FF"/>
          </w:tcPr>
          <w:p>
            <w:pPr>
              <w:jc w:val="right"/>
              <w:ind w:right="448"/>
              <w:spacing w:after="0"/>
              <w:rPr>
                <w:sz w:val="20"/>
                <w:szCs w:val="20"/>
                <w:color w:val="auto"/>
              </w:rPr>
            </w:pPr>
            <w:r>
              <w:rPr>
                <w:rFonts w:ascii="Arial" w:cs="Arial" w:eastAsia="Arial" w:hAnsi="Arial"/>
                <w:sz w:val="14"/>
                <w:szCs w:val="14"/>
                <w:b w:val="1"/>
                <w:bCs w:val="1"/>
                <w:color w:val="FFFFFF"/>
              </w:rPr>
              <w:t>Percentage</w:t>
            </w:r>
          </w:p>
        </w:tc>
        <w:tc>
          <w:tcPr>
            <w:tcW w:w="17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Number of</w:t>
            </w:r>
          </w:p>
        </w:tc>
        <w:tc>
          <w:tcPr>
            <w:tcW w:w="0" w:type="dxa"/>
            <w:vAlign w:val="bottom"/>
          </w:tcPr>
          <w:p>
            <w:pPr>
              <w:spacing w:after="0"/>
              <w:rPr>
                <w:sz w:val="1"/>
                <w:szCs w:val="1"/>
                <w:color w:val="auto"/>
              </w:rPr>
            </w:pPr>
          </w:p>
        </w:tc>
      </w:tr>
      <w:tr>
        <w:trPr>
          <w:trHeight w:val="176"/>
        </w:trPr>
        <w:tc>
          <w:tcPr>
            <w:tcW w:w="4940" w:type="dxa"/>
            <w:vAlign w:val="bottom"/>
            <w:vMerge w:val="restart"/>
            <w:shd w:val="clear" w:color="auto" w:fill="0336FF"/>
          </w:tcPr>
          <w:p>
            <w:pPr>
              <w:ind w:left="100"/>
              <w:spacing w:after="0"/>
              <w:rPr>
                <w:sz w:val="20"/>
                <w:szCs w:val="20"/>
                <w:color w:val="auto"/>
              </w:rPr>
            </w:pPr>
            <w:r>
              <w:rPr>
                <w:rFonts w:ascii="Arial" w:cs="Arial" w:eastAsia="Arial" w:hAnsi="Arial"/>
                <w:sz w:val="14"/>
                <w:szCs w:val="14"/>
                <w:b w:val="1"/>
                <w:bCs w:val="1"/>
                <w:color w:val="FFFFFF"/>
              </w:rPr>
              <w:t>NEO</w:t>
            </w:r>
            <w:r>
              <w:rPr>
                <w:rFonts w:ascii="Arial" w:cs="Arial" w:eastAsia="Arial" w:hAnsi="Arial"/>
                <w:sz w:val="18"/>
                <w:szCs w:val="18"/>
                <w:b w:val="1"/>
                <w:bCs w:val="1"/>
                <w:color w:val="FFFFFF"/>
                <w:vertAlign w:val="superscript"/>
              </w:rPr>
              <w:t>(1)</w:t>
            </w:r>
          </w:p>
        </w:tc>
        <w:tc>
          <w:tcPr>
            <w:tcW w:w="2680" w:type="dxa"/>
            <w:vAlign w:val="bottom"/>
            <w:shd w:val="clear" w:color="auto" w:fill="0336FF"/>
          </w:tcPr>
          <w:p>
            <w:pPr>
              <w:jc w:val="right"/>
              <w:ind w:right="548"/>
              <w:spacing w:after="0"/>
              <w:rPr>
                <w:sz w:val="20"/>
                <w:szCs w:val="20"/>
                <w:color w:val="auto"/>
              </w:rPr>
            </w:pPr>
            <w:r>
              <w:rPr>
                <w:rFonts w:ascii="Arial" w:cs="Arial" w:eastAsia="Arial" w:hAnsi="Arial"/>
                <w:sz w:val="14"/>
                <w:szCs w:val="14"/>
                <w:b w:val="1"/>
                <w:bCs w:val="1"/>
                <w:color w:val="FFFFFF"/>
              </w:rPr>
              <w:t>Measurement Period</w:t>
            </w:r>
          </w:p>
        </w:tc>
        <w:tc>
          <w:tcPr>
            <w:tcW w:w="1920" w:type="dxa"/>
            <w:vAlign w:val="bottom"/>
            <w:shd w:val="clear" w:color="auto" w:fill="0336FF"/>
          </w:tcPr>
          <w:p>
            <w:pPr>
              <w:jc w:val="right"/>
              <w:ind w:right="408"/>
              <w:spacing w:after="0"/>
              <w:rPr>
                <w:sz w:val="20"/>
                <w:szCs w:val="20"/>
                <w:color w:val="auto"/>
              </w:rPr>
            </w:pPr>
            <w:r>
              <w:rPr>
                <w:rFonts w:ascii="Arial" w:cs="Arial" w:eastAsia="Arial" w:hAnsi="Arial"/>
                <w:sz w:val="14"/>
                <w:szCs w:val="14"/>
                <w:b w:val="1"/>
                <w:bCs w:val="1"/>
                <w:color w:val="FFFFFF"/>
              </w:rPr>
              <w:t>Earned</w:t>
            </w:r>
          </w:p>
        </w:tc>
        <w:tc>
          <w:tcPr>
            <w:tcW w:w="17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PRSUs Earned</w:t>
            </w:r>
            <w:r>
              <w:rPr>
                <w:rFonts w:ascii="Arial" w:cs="Arial" w:eastAsia="Arial" w:hAnsi="Arial"/>
                <w:sz w:val="9"/>
                <w:szCs w:val="9"/>
                <w:b w:val="1"/>
                <w:bCs w:val="1"/>
                <w:color w:val="FFFFFF"/>
              </w:rPr>
              <w:t>(2)</w:t>
            </w:r>
          </w:p>
        </w:tc>
        <w:tc>
          <w:tcPr>
            <w:tcW w:w="0" w:type="dxa"/>
            <w:vAlign w:val="bottom"/>
          </w:tcPr>
          <w:p>
            <w:pPr>
              <w:spacing w:after="0"/>
              <w:rPr>
                <w:sz w:val="1"/>
                <w:szCs w:val="1"/>
                <w:color w:val="auto"/>
              </w:rPr>
            </w:pPr>
          </w:p>
        </w:tc>
      </w:tr>
      <w:tr>
        <w:trPr>
          <w:trHeight w:val="246"/>
        </w:trPr>
        <w:tc>
          <w:tcPr>
            <w:tcW w:w="4940" w:type="dxa"/>
            <w:vAlign w:val="bottom"/>
            <w:tcBorders>
              <w:bottom w:val="single" w:sz="8" w:color="0336FF"/>
            </w:tcBorders>
            <w:vMerge w:val="continue"/>
            <w:shd w:val="clear" w:color="auto" w:fill="0336FF"/>
          </w:tcPr>
          <w:p>
            <w:pPr>
              <w:spacing w:after="0"/>
              <w:rPr>
                <w:sz w:val="21"/>
                <w:szCs w:val="21"/>
                <w:color w:val="auto"/>
              </w:rPr>
            </w:pPr>
          </w:p>
        </w:tc>
        <w:tc>
          <w:tcPr>
            <w:tcW w:w="2680" w:type="dxa"/>
            <w:vAlign w:val="bottom"/>
            <w:tcBorders>
              <w:bottom w:val="single" w:sz="8" w:color="0336FF"/>
            </w:tcBorders>
            <w:shd w:val="clear" w:color="auto" w:fill="0336FF"/>
          </w:tcPr>
          <w:p>
            <w:pPr>
              <w:jc w:val="right"/>
              <w:ind w:right="548"/>
              <w:spacing w:after="0"/>
              <w:rPr>
                <w:sz w:val="20"/>
                <w:szCs w:val="20"/>
                <w:color w:val="auto"/>
              </w:rPr>
            </w:pPr>
            <w:r>
              <w:rPr>
                <w:rFonts w:ascii="Arial" w:cs="Arial" w:eastAsia="Arial" w:hAnsi="Arial"/>
                <w:sz w:val="14"/>
                <w:szCs w:val="14"/>
                <w:b w:val="1"/>
                <w:bCs w:val="1"/>
                <w:color w:val="FFFFFF"/>
              </w:rPr>
              <w:t>(#)</w:t>
            </w:r>
          </w:p>
        </w:tc>
        <w:tc>
          <w:tcPr>
            <w:tcW w:w="1920" w:type="dxa"/>
            <w:vAlign w:val="bottom"/>
            <w:tcBorders>
              <w:bottom w:val="single" w:sz="8" w:color="0336FF"/>
            </w:tcBorders>
            <w:shd w:val="clear" w:color="auto" w:fill="0336FF"/>
          </w:tcPr>
          <w:p>
            <w:pPr>
              <w:jc w:val="right"/>
              <w:ind w:right="408"/>
              <w:spacing w:after="0"/>
              <w:rPr>
                <w:sz w:val="20"/>
                <w:szCs w:val="20"/>
                <w:color w:val="auto"/>
              </w:rPr>
            </w:pPr>
            <w:r>
              <w:rPr>
                <w:rFonts w:ascii="Arial" w:cs="Arial" w:eastAsia="Arial" w:hAnsi="Arial"/>
                <w:sz w:val="14"/>
                <w:szCs w:val="14"/>
                <w:b w:val="1"/>
                <w:bCs w:val="1"/>
                <w:color w:val="FFFFFF"/>
              </w:rPr>
              <w:t>(%)</w:t>
            </w:r>
          </w:p>
        </w:tc>
        <w:tc>
          <w:tcPr>
            <w:tcW w:w="1700" w:type="dxa"/>
            <w:vAlign w:val="bottom"/>
            <w:tcBorders>
              <w:bottom w:val="single" w:sz="8" w:color="0336FF"/>
            </w:tcBorders>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2"/>
        </w:trPr>
        <w:tc>
          <w:tcPr>
            <w:tcW w:w="4940" w:type="dxa"/>
            <w:vAlign w:val="bottom"/>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2680" w:type="dxa"/>
            <w:vAlign w:val="bottom"/>
          </w:tcPr>
          <w:p>
            <w:pPr>
              <w:jc w:val="right"/>
              <w:ind w:right="608"/>
              <w:spacing w:after="0"/>
              <w:rPr>
                <w:sz w:val="20"/>
                <w:szCs w:val="20"/>
                <w:color w:val="auto"/>
              </w:rPr>
            </w:pPr>
            <w:r>
              <w:rPr>
                <w:rFonts w:ascii="Arial" w:cs="Arial" w:eastAsia="Arial" w:hAnsi="Arial"/>
                <w:sz w:val="14"/>
                <w:szCs w:val="14"/>
                <w:color w:val="2D3243"/>
              </w:rPr>
              <w:t>2,348</w:t>
            </w:r>
          </w:p>
        </w:tc>
        <w:tc>
          <w:tcPr>
            <w:tcW w:w="1920" w:type="dxa"/>
            <w:vAlign w:val="bottom"/>
          </w:tcPr>
          <w:p>
            <w:pPr>
              <w:jc w:val="right"/>
              <w:ind w:right="448"/>
              <w:spacing w:after="0"/>
              <w:rPr>
                <w:sz w:val="20"/>
                <w:szCs w:val="20"/>
                <w:color w:val="auto"/>
              </w:rPr>
            </w:pPr>
            <w:r>
              <w:rPr>
                <w:rFonts w:ascii="Arial" w:cs="Arial" w:eastAsia="Arial" w:hAnsi="Arial"/>
                <w:sz w:val="14"/>
                <w:szCs w:val="14"/>
                <w:color w:val="2D3243"/>
              </w:rPr>
              <w:t>98.0</w:t>
            </w:r>
          </w:p>
        </w:tc>
        <w:tc>
          <w:tcPr>
            <w:tcW w:w="1700" w:type="dxa"/>
            <w:vAlign w:val="bottom"/>
          </w:tcPr>
          <w:p>
            <w:pPr>
              <w:jc w:val="right"/>
              <w:ind w:right="88"/>
              <w:spacing w:after="0"/>
              <w:rPr>
                <w:sz w:val="20"/>
                <w:szCs w:val="20"/>
                <w:color w:val="auto"/>
              </w:rPr>
            </w:pPr>
            <w:r>
              <w:rPr>
                <w:rFonts w:ascii="Arial" w:cs="Arial" w:eastAsia="Arial" w:hAnsi="Arial"/>
                <w:sz w:val="14"/>
                <w:szCs w:val="14"/>
                <w:color w:val="2D3243"/>
              </w:rPr>
              <w:t>2,301</w:t>
            </w:r>
          </w:p>
        </w:tc>
        <w:tc>
          <w:tcPr>
            <w:tcW w:w="0" w:type="dxa"/>
            <w:vAlign w:val="bottom"/>
          </w:tcPr>
          <w:p>
            <w:pPr>
              <w:spacing w:after="0"/>
              <w:rPr>
                <w:sz w:val="1"/>
                <w:szCs w:val="1"/>
                <w:color w:val="auto"/>
              </w:rPr>
            </w:pPr>
          </w:p>
        </w:tc>
      </w:tr>
      <w:tr>
        <w:trPr>
          <w:trHeight w:val="231"/>
        </w:trPr>
        <w:tc>
          <w:tcPr>
            <w:tcW w:w="4940" w:type="dxa"/>
            <w:vAlign w:val="bottom"/>
            <w:tcBorders>
              <w:bottom w:val="single" w:sz="8" w:color="0336FF"/>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Daniel Burkland</w:t>
            </w:r>
          </w:p>
        </w:tc>
        <w:tc>
          <w:tcPr>
            <w:tcW w:w="2680" w:type="dxa"/>
            <w:vAlign w:val="bottom"/>
            <w:tcBorders>
              <w:bottom w:val="single" w:sz="8" w:color="0336FF"/>
            </w:tcBorders>
            <w:shd w:val="clear" w:color="auto" w:fill="F0F1F2"/>
          </w:tcPr>
          <w:p>
            <w:pPr>
              <w:jc w:val="right"/>
              <w:ind w:right="608"/>
              <w:spacing w:after="0"/>
              <w:rPr>
                <w:sz w:val="20"/>
                <w:szCs w:val="20"/>
                <w:color w:val="auto"/>
              </w:rPr>
            </w:pPr>
            <w:r>
              <w:rPr>
                <w:rFonts w:ascii="Arial" w:cs="Arial" w:eastAsia="Arial" w:hAnsi="Arial"/>
                <w:sz w:val="14"/>
                <w:szCs w:val="14"/>
                <w:color w:val="2D3243"/>
              </w:rPr>
              <w:t>2,684</w:t>
            </w:r>
          </w:p>
        </w:tc>
        <w:tc>
          <w:tcPr>
            <w:tcW w:w="1920" w:type="dxa"/>
            <w:vAlign w:val="bottom"/>
            <w:tcBorders>
              <w:bottom w:val="single" w:sz="8" w:color="0336FF"/>
            </w:tcBorders>
            <w:shd w:val="clear" w:color="auto" w:fill="F0F1F2"/>
          </w:tcPr>
          <w:p>
            <w:pPr>
              <w:jc w:val="right"/>
              <w:ind w:right="448"/>
              <w:spacing w:after="0"/>
              <w:rPr>
                <w:sz w:val="20"/>
                <w:szCs w:val="20"/>
                <w:color w:val="auto"/>
              </w:rPr>
            </w:pPr>
            <w:r>
              <w:rPr>
                <w:rFonts w:ascii="Arial" w:cs="Arial" w:eastAsia="Arial" w:hAnsi="Arial"/>
                <w:sz w:val="14"/>
                <w:szCs w:val="14"/>
                <w:color w:val="2D3243"/>
              </w:rPr>
              <w:t>98.0</w:t>
            </w:r>
          </w:p>
        </w:tc>
        <w:tc>
          <w:tcPr>
            <w:tcW w:w="1700" w:type="dxa"/>
            <w:vAlign w:val="bottom"/>
            <w:tcBorders>
              <w:bottom w:val="single" w:sz="8" w:color="0336FF"/>
            </w:tcBorders>
            <w:shd w:val="clear" w:color="auto" w:fill="F0F1F2"/>
          </w:tcPr>
          <w:p>
            <w:pPr>
              <w:jc w:val="right"/>
              <w:ind w:right="88"/>
              <w:spacing w:after="0"/>
              <w:rPr>
                <w:sz w:val="20"/>
                <w:szCs w:val="20"/>
                <w:color w:val="auto"/>
              </w:rPr>
            </w:pPr>
            <w:r>
              <w:rPr>
                <w:rFonts w:ascii="Arial" w:cs="Arial" w:eastAsia="Arial" w:hAnsi="Arial"/>
                <w:sz w:val="14"/>
                <w:szCs w:val="14"/>
                <w:color w:val="2D3243"/>
              </w:rPr>
              <w:t>2,630</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340" w:right="360" w:hanging="332"/>
        <w:spacing w:after="0" w:line="362" w:lineRule="auto"/>
        <w:tabs>
          <w:tab w:leader="none" w:pos="338" w:val="left"/>
        </w:tabs>
        <w:numPr>
          <w:ilvl w:val="0"/>
          <w:numId w:val="53"/>
        </w:numPr>
        <w:rPr>
          <w:rFonts w:ascii="Arial" w:cs="Arial" w:eastAsia="Arial" w:hAnsi="Arial"/>
          <w:sz w:val="14"/>
          <w:szCs w:val="14"/>
          <w:color w:val="2D3243"/>
        </w:rPr>
      </w:pPr>
      <w:r>
        <w:rPr>
          <w:rFonts w:ascii="Arial" w:cs="Arial" w:eastAsia="Arial" w:hAnsi="Arial"/>
          <w:sz w:val="14"/>
          <w:szCs w:val="14"/>
          <w:color w:val="2D3243"/>
        </w:rPr>
        <w:t>Because Messrs. Michael Burkland, Dignan and Kozanian were not executive officers at the time PRSU awards were granted in February 2022, they did not receive a PRSU award for the 2022-2024 performance period.</w:t>
      </w:r>
    </w:p>
    <w:p>
      <w:pPr>
        <w:ind w:left="340" w:hanging="332"/>
        <w:spacing w:after="0"/>
        <w:tabs>
          <w:tab w:leader="none" w:pos="340" w:val="left"/>
        </w:tabs>
        <w:numPr>
          <w:ilvl w:val="0"/>
          <w:numId w:val="53"/>
        </w:numPr>
        <w:rPr>
          <w:rFonts w:ascii="Arial" w:cs="Arial" w:eastAsia="Arial" w:hAnsi="Arial"/>
          <w:sz w:val="14"/>
          <w:szCs w:val="14"/>
          <w:color w:val="2D3243"/>
        </w:rPr>
      </w:pPr>
      <w:r>
        <w:rPr>
          <w:rFonts w:ascii="Arial" w:cs="Arial" w:eastAsia="Arial" w:hAnsi="Arial"/>
          <w:sz w:val="14"/>
          <w:szCs w:val="14"/>
          <w:color w:val="2D3243"/>
        </w:rPr>
        <w:t>The PRSUs described in this column vested and were earned upon the Compensation Committee’s certification of the performance on February 14, 2024.</w:t>
      </w:r>
    </w:p>
    <w:p>
      <w:pPr>
        <w:spacing w:after="0" w:line="212"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2D3243"/>
        </w:rPr>
        <w:t xml:space="preserve">On February 14, 2024, the Compensation Committee also certified the performance results for the </w:t>
      </w:r>
      <w:r>
        <w:rPr>
          <w:rFonts w:ascii="Arial" w:cs="Arial" w:eastAsia="Arial" w:hAnsi="Arial"/>
          <w:sz w:val="16"/>
          <w:szCs w:val="16"/>
          <w:b w:val="1"/>
          <w:bCs w:val="1"/>
          <w:color w:val="2D3243"/>
        </w:rPr>
        <w:t>2023 measurement period</w:t>
      </w:r>
      <w:r>
        <w:rPr>
          <w:rFonts w:ascii="Arial" w:cs="Arial" w:eastAsia="Arial" w:hAnsi="Arial"/>
          <w:sz w:val="16"/>
          <w:szCs w:val="16"/>
          <w:color w:val="2D3243"/>
        </w:rPr>
        <w:t xml:space="preserve"> for the market-based PRSUs subject to the </w:t>
      </w:r>
      <w:r>
        <w:rPr>
          <w:rFonts w:ascii="Arial" w:cs="Arial" w:eastAsia="Arial" w:hAnsi="Arial"/>
          <w:sz w:val="16"/>
          <w:szCs w:val="16"/>
          <w:b w:val="1"/>
          <w:bCs w:val="1"/>
          <w:color w:val="2D3243"/>
        </w:rPr>
        <w:t>2023-2025</w:t>
      </w:r>
      <w:r>
        <w:rPr>
          <w:rFonts w:ascii="Arial" w:cs="Arial" w:eastAsia="Arial" w:hAnsi="Arial"/>
          <w:sz w:val="16"/>
          <w:szCs w:val="16"/>
          <w:color w:val="2D3243"/>
        </w:rPr>
        <w:t xml:space="preserve"> performance period. The Compensation Committee determined that its actual total shareholder return was 19.95% for 2023, and that its relative total shareholder return ranking was in the 50.5 percentile relative to companies in the S&amp;P Software &amp; Services Select Index, which resulted in a payout percentage of 92.5% of target. The following table shows the number of PRSUs earned by each of our NEOs (other than Mr. Dignan) based on such performance for the 2023 measurement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80" w:type="dxa"/>
            <w:vAlign w:val="bottom"/>
            <w:shd w:val="clear" w:color="auto" w:fill="0336FF"/>
          </w:tcPr>
          <w:p>
            <w:pPr>
              <w:spacing w:after="0"/>
              <w:rPr>
                <w:sz w:val="22"/>
                <w:szCs w:val="22"/>
                <w:color w:val="auto"/>
              </w:rPr>
            </w:pPr>
          </w:p>
        </w:tc>
        <w:tc>
          <w:tcPr>
            <w:tcW w:w="2660" w:type="dxa"/>
            <w:vAlign w:val="bottom"/>
            <w:shd w:val="clear" w:color="auto" w:fill="0336FF"/>
          </w:tcPr>
          <w:p>
            <w:pPr>
              <w:jc w:val="right"/>
              <w:ind w:right="588"/>
              <w:spacing w:after="0"/>
              <w:rPr>
                <w:sz w:val="20"/>
                <w:szCs w:val="20"/>
                <w:color w:val="auto"/>
              </w:rPr>
            </w:pPr>
            <w:r>
              <w:rPr>
                <w:rFonts w:ascii="Arial" w:cs="Arial" w:eastAsia="Arial" w:hAnsi="Arial"/>
                <w:sz w:val="14"/>
                <w:szCs w:val="14"/>
                <w:b w:val="1"/>
                <w:bCs w:val="1"/>
                <w:color w:val="FFFFFF"/>
              </w:rPr>
              <w:t>Target Number</w:t>
            </w:r>
          </w:p>
        </w:tc>
        <w:tc>
          <w:tcPr>
            <w:tcW w:w="1860" w:type="dxa"/>
            <w:vAlign w:val="bottom"/>
            <w:shd w:val="clear" w:color="auto" w:fill="0336FF"/>
          </w:tcPr>
          <w:p>
            <w:pPr>
              <w:spacing w:after="0"/>
              <w:rPr>
                <w:sz w:val="22"/>
                <w:szCs w:val="22"/>
                <w:color w:val="auto"/>
              </w:rPr>
            </w:pPr>
          </w:p>
        </w:tc>
        <w:tc>
          <w:tcPr>
            <w:tcW w:w="1640" w:type="dxa"/>
            <w:vAlign w:val="bottom"/>
            <w:shd w:val="clear" w:color="auto" w:fill="0336FF"/>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5080" w:type="dxa"/>
            <w:vAlign w:val="bottom"/>
            <w:shd w:val="clear" w:color="auto" w:fill="0336FF"/>
          </w:tcPr>
          <w:p>
            <w:pPr>
              <w:spacing w:after="0"/>
              <w:rPr>
                <w:sz w:val="15"/>
                <w:szCs w:val="15"/>
                <w:color w:val="auto"/>
              </w:rPr>
            </w:pPr>
          </w:p>
        </w:tc>
        <w:tc>
          <w:tcPr>
            <w:tcW w:w="2660" w:type="dxa"/>
            <w:vAlign w:val="bottom"/>
            <w:shd w:val="clear" w:color="auto" w:fill="0336FF"/>
          </w:tcPr>
          <w:p>
            <w:pPr>
              <w:jc w:val="right"/>
              <w:ind w:right="548"/>
              <w:spacing w:after="0"/>
              <w:rPr>
                <w:sz w:val="20"/>
                <w:szCs w:val="20"/>
                <w:color w:val="auto"/>
              </w:rPr>
            </w:pPr>
            <w:r>
              <w:rPr>
                <w:rFonts w:ascii="Arial" w:cs="Arial" w:eastAsia="Arial" w:hAnsi="Arial"/>
                <w:sz w:val="14"/>
                <w:szCs w:val="14"/>
                <w:b w:val="1"/>
                <w:bCs w:val="1"/>
                <w:color w:val="FFFFFF"/>
              </w:rPr>
              <w:t>of PRSUs for the 2023</w:t>
            </w:r>
          </w:p>
        </w:tc>
        <w:tc>
          <w:tcPr>
            <w:tcW w:w="1860" w:type="dxa"/>
            <w:vAlign w:val="bottom"/>
            <w:shd w:val="clear" w:color="auto" w:fill="0336FF"/>
          </w:tcPr>
          <w:p>
            <w:pPr>
              <w:jc w:val="right"/>
              <w:ind w:right="388"/>
              <w:spacing w:after="0"/>
              <w:rPr>
                <w:sz w:val="20"/>
                <w:szCs w:val="20"/>
                <w:color w:val="auto"/>
              </w:rPr>
            </w:pPr>
            <w:r>
              <w:rPr>
                <w:rFonts w:ascii="Arial" w:cs="Arial" w:eastAsia="Arial" w:hAnsi="Arial"/>
                <w:sz w:val="14"/>
                <w:szCs w:val="14"/>
                <w:b w:val="1"/>
                <w:bCs w:val="1"/>
                <w:color w:val="FFFFFF"/>
              </w:rPr>
              <w:t>Percentage</w:t>
            </w:r>
          </w:p>
        </w:tc>
        <w:tc>
          <w:tcPr>
            <w:tcW w:w="164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Number of</w:t>
            </w:r>
          </w:p>
        </w:tc>
        <w:tc>
          <w:tcPr>
            <w:tcW w:w="0" w:type="dxa"/>
            <w:vAlign w:val="bottom"/>
          </w:tcPr>
          <w:p>
            <w:pPr>
              <w:spacing w:after="0"/>
              <w:rPr>
                <w:sz w:val="1"/>
                <w:szCs w:val="1"/>
                <w:color w:val="auto"/>
              </w:rPr>
            </w:pPr>
          </w:p>
        </w:tc>
      </w:tr>
      <w:tr>
        <w:trPr>
          <w:trHeight w:val="178"/>
        </w:trPr>
        <w:tc>
          <w:tcPr>
            <w:tcW w:w="5080" w:type="dxa"/>
            <w:vAlign w:val="bottom"/>
            <w:vMerge w:val="restart"/>
            <w:shd w:val="clear" w:color="auto" w:fill="0336FF"/>
          </w:tcPr>
          <w:p>
            <w:pPr>
              <w:ind w:left="100"/>
              <w:spacing w:after="0"/>
              <w:rPr>
                <w:sz w:val="20"/>
                <w:szCs w:val="20"/>
                <w:color w:val="auto"/>
              </w:rPr>
            </w:pPr>
            <w:r>
              <w:rPr>
                <w:rFonts w:ascii="Arial" w:cs="Arial" w:eastAsia="Arial" w:hAnsi="Arial"/>
                <w:sz w:val="14"/>
                <w:szCs w:val="14"/>
                <w:b w:val="1"/>
                <w:bCs w:val="1"/>
                <w:color w:val="FFFFFF"/>
              </w:rPr>
              <w:t>NEO</w:t>
            </w:r>
          </w:p>
        </w:tc>
        <w:tc>
          <w:tcPr>
            <w:tcW w:w="2660" w:type="dxa"/>
            <w:vAlign w:val="bottom"/>
            <w:shd w:val="clear" w:color="auto" w:fill="0336FF"/>
          </w:tcPr>
          <w:p>
            <w:pPr>
              <w:jc w:val="right"/>
              <w:ind w:right="548"/>
              <w:spacing w:after="0"/>
              <w:rPr>
                <w:sz w:val="20"/>
                <w:szCs w:val="20"/>
                <w:color w:val="auto"/>
              </w:rPr>
            </w:pPr>
            <w:r>
              <w:rPr>
                <w:rFonts w:ascii="Arial" w:cs="Arial" w:eastAsia="Arial" w:hAnsi="Arial"/>
                <w:sz w:val="14"/>
                <w:szCs w:val="14"/>
                <w:b w:val="1"/>
                <w:bCs w:val="1"/>
                <w:color w:val="FFFFFF"/>
              </w:rPr>
              <w:t>Measurement Period</w:t>
            </w:r>
          </w:p>
        </w:tc>
        <w:tc>
          <w:tcPr>
            <w:tcW w:w="1860" w:type="dxa"/>
            <w:vAlign w:val="bottom"/>
            <w:shd w:val="clear" w:color="auto" w:fill="0336FF"/>
          </w:tcPr>
          <w:p>
            <w:pPr>
              <w:jc w:val="right"/>
              <w:ind w:right="348"/>
              <w:spacing w:after="0"/>
              <w:rPr>
                <w:sz w:val="20"/>
                <w:szCs w:val="20"/>
                <w:color w:val="auto"/>
              </w:rPr>
            </w:pPr>
            <w:r>
              <w:rPr>
                <w:rFonts w:ascii="Arial" w:cs="Arial" w:eastAsia="Arial" w:hAnsi="Arial"/>
                <w:sz w:val="14"/>
                <w:szCs w:val="14"/>
                <w:b w:val="1"/>
                <w:bCs w:val="1"/>
                <w:color w:val="FFFFFF"/>
              </w:rPr>
              <w:t>Earned</w:t>
            </w:r>
          </w:p>
        </w:tc>
        <w:tc>
          <w:tcPr>
            <w:tcW w:w="1640" w:type="dxa"/>
            <w:vAlign w:val="bottom"/>
            <w:shd w:val="clear" w:color="auto" w:fill="0336FF"/>
          </w:tcPr>
          <w:p>
            <w:pPr>
              <w:jc w:val="right"/>
              <w:ind w:right="48"/>
              <w:spacing w:after="0" w:line="178" w:lineRule="exact"/>
              <w:rPr>
                <w:sz w:val="20"/>
                <w:szCs w:val="20"/>
                <w:color w:val="auto"/>
              </w:rPr>
            </w:pPr>
            <w:r>
              <w:rPr>
                <w:rFonts w:ascii="Arial" w:cs="Arial" w:eastAsia="Arial" w:hAnsi="Arial"/>
                <w:sz w:val="14"/>
                <w:szCs w:val="14"/>
                <w:b w:val="1"/>
                <w:bCs w:val="1"/>
                <w:color w:val="FFFFFF"/>
              </w:rPr>
              <w:t>PRSUs Earned</w:t>
            </w:r>
            <w:r>
              <w:rPr>
                <w:rFonts w:ascii="Arial" w:cs="Arial" w:eastAsia="Arial" w:hAnsi="Arial"/>
                <w:sz w:val="18"/>
                <w:szCs w:val="18"/>
                <w:b w:val="1"/>
                <w:bCs w:val="1"/>
                <w:color w:val="FFFFFF"/>
                <w:vertAlign w:val="superscript"/>
              </w:rPr>
              <w:t>(2)</w:t>
            </w:r>
          </w:p>
        </w:tc>
        <w:tc>
          <w:tcPr>
            <w:tcW w:w="0" w:type="dxa"/>
            <w:vAlign w:val="bottom"/>
          </w:tcPr>
          <w:p>
            <w:pPr>
              <w:spacing w:after="0"/>
              <w:rPr>
                <w:sz w:val="1"/>
                <w:szCs w:val="1"/>
                <w:color w:val="auto"/>
              </w:rPr>
            </w:pPr>
          </w:p>
        </w:tc>
      </w:tr>
      <w:tr>
        <w:trPr>
          <w:trHeight w:val="232"/>
        </w:trPr>
        <w:tc>
          <w:tcPr>
            <w:tcW w:w="5080" w:type="dxa"/>
            <w:vAlign w:val="bottom"/>
            <w:tcBorders>
              <w:bottom w:val="single" w:sz="8" w:color="0336FF"/>
            </w:tcBorders>
            <w:vMerge w:val="continue"/>
            <w:shd w:val="clear" w:color="auto" w:fill="0336FF"/>
          </w:tcPr>
          <w:p>
            <w:pPr>
              <w:spacing w:after="0"/>
              <w:rPr>
                <w:sz w:val="20"/>
                <w:szCs w:val="20"/>
                <w:color w:val="auto"/>
              </w:rPr>
            </w:pPr>
          </w:p>
        </w:tc>
        <w:tc>
          <w:tcPr>
            <w:tcW w:w="2660" w:type="dxa"/>
            <w:vAlign w:val="bottom"/>
            <w:tcBorders>
              <w:bottom w:val="single" w:sz="8" w:color="0336FF"/>
            </w:tcBorders>
            <w:shd w:val="clear" w:color="auto" w:fill="0336FF"/>
          </w:tcPr>
          <w:p>
            <w:pPr>
              <w:jc w:val="right"/>
              <w:ind w:right="548"/>
              <w:spacing w:after="0"/>
              <w:rPr>
                <w:sz w:val="20"/>
                <w:szCs w:val="20"/>
                <w:color w:val="auto"/>
              </w:rPr>
            </w:pPr>
            <w:r>
              <w:rPr>
                <w:rFonts w:ascii="Arial" w:cs="Arial" w:eastAsia="Arial" w:hAnsi="Arial"/>
                <w:sz w:val="14"/>
                <w:szCs w:val="14"/>
                <w:b w:val="1"/>
                <w:bCs w:val="1"/>
                <w:color w:val="FFFFFF"/>
              </w:rPr>
              <w:t>(#)</w:t>
            </w:r>
          </w:p>
        </w:tc>
        <w:tc>
          <w:tcPr>
            <w:tcW w:w="1860" w:type="dxa"/>
            <w:vAlign w:val="bottom"/>
            <w:tcBorders>
              <w:bottom w:val="single" w:sz="8" w:color="0336FF"/>
            </w:tcBorders>
            <w:shd w:val="clear" w:color="auto" w:fill="0336FF"/>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640" w:type="dxa"/>
            <w:vAlign w:val="bottom"/>
            <w:tcBorders>
              <w:bottom w:val="single" w:sz="8" w:color="0336FF"/>
            </w:tcBorders>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2"/>
        </w:trPr>
        <w:tc>
          <w:tcPr>
            <w:tcW w:w="508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2660" w:type="dxa"/>
            <w:vAlign w:val="bottom"/>
          </w:tcPr>
          <w:p>
            <w:pPr>
              <w:jc w:val="right"/>
              <w:ind w:right="608"/>
              <w:spacing w:after="0"/>
              <w:rPr>
                <w:sz w:val="20"/>
                <w:szCs w:val="20"/>
                <w:color w:val="auto"/>
              </w:rPr>
            </w:pPr>
            <w:r>
              <w:rPr>
                <w:rFonts w:ascii="Arial" w:cs="Arial" w:eastAsia="Arial" w:hAnsi="Arial"/>
                <w:sz w:val="14"/>
                <w:szCs w:val="14"/>
                <w:color w:val="2D3243"/>
              </w:rPr>
              <w:t>74,966</w:t>
            </w:r>
          </w:p>
        </w:tc>
        <w:tc>
          <w:tcPr>
            <w:tcW w:w="1860" w:type="dxa"/>
            <w:vAlign w:val="bottom"/>
          </w:tcPr>
          <w:p>
            <w:pPr>
              <w:jc w:val="right"/>
              <w:ind w:right="388"/>
              <w:spacing w:after="0"/>
              <w:rPr>
                <w:sz w:val="20"/>
                <w:szCs w:val="20"/>
                <w:color w:val="auto"/>
              </w:rPr>
            </w:pPr>
            <w:r>
              <w:rPr>
                <w:rFonts w:ascii="Arial" w:cs="Arial" w:eastAsia="Arial" w:hAnsi="Arial"/>
                <w:sz w:val="14"/>
                <w:szCs w:val="14"/>
                <w:color w:val="2D3243"/>
              </w:rPr>
              <w:t>92.5</w:t>
            </w:r>
          </w:p>
        </w:tc>
        <w:tc>
          <w:tcPr>
            <w:tcW w:w="1640" w:type="dxa"/>
            <w:vAlign w:val="bottom"/>
          </w:tcPr>
          <w:p>
            <w:pPr>
              <w:jc w:val="right"/>
              <w:ind w:right="88"/>
              <w:spacing w:after="0"/>
              <w:rPr>
                <w:sz w:val="20"/>
                <w:szCs w:val="20"/>
                <w:color w:val="auto"/>
              </w:rPr>
            </w:pPr>
            <w:r>
              <w:rPr>
                <w:rFonts w:ascii="Arial" w:cs="Arial" w:eastAsia="Arial" w:hAnsi="Arial"/>
                <w:sz w:val="14"/>
                <w:szCs w:val="14"/>
                <w:color w:val="2D3243"/>
              </w:rPr>
              <w:t>69,343</w:t>
            </w:r>
          </w:p>
        </w:tc>
        <w:tc>
          <w:tcPr>
            <w:tcW w:w="0" w:type="dxa"/>
            <w:vAlign w:val="bottom"/>
          </w:tcPr>
          <w:p>
            <w:pPr>
              <w:spacing w:after="0"/>
              <w:rPr>
                <w:sz w:val="1"/>
                <w:szCs w:val="1"/>
                <w:color w:val="auto"/>
              </w:rPr>
            </w:pPr>
          </w:p>
        </w:tc>
      </w:tr>
      <w:tr>
        <w:trPr>
          <w:trHeight w:val="237"/>
        </w:trPr>
        <w:tc>
          <w:tcPr>
            <w:tcW w:w="508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2660" w:type="dxa"/>
            <w:vAlign w:val="bottom"/>
            <w:shd w:val="clear" w:color="auto" w:fill="F0F1F2"/>
          </w:tcPr>
          <w:p>
            <w:pPr>
              <w:jc w:val="right"/>
              <w:ind w:right="608"/>
              <w:spacing w:after="0"/>
              <w:rPr>
                <w:sz w:val="20"/>
                <w:szCs w:val="20"/>
                <w:color w:val="auto"/>
              </w:rPr>
            </w:pPr>
            <w:r>
              <w:rPr>
                <w:rFonts w:ascii="Arial" w:cs="Arial" w:eastAsia="Arial" w:hAnsi="Arial"/>
                <w:sz w:val="14"/>
                <w:szCs w:val="14"/>
                <w:color w:val="2D3243"/>
              </w:rPr>
              <w:t>3,806</w:t>
            </w:r>
          </w:p>
        </w:tc>
        <w:tc>
          <w:tcPr>
            <w:tcW w:w="1860" w:type="dxa"/>
            <w:vAlign w:val="bottom"/>
            <w:shd w:val="clear" w:color="auto" w:fill="F0F1F2"/>
          </w:tcPr>
          <w:p>
            <w:pPr>
              <w:jc w:val="right"/>
              <w:ind w:right="388"/>
              <w:spacing w:after="0"/>
              <w:rPr>
                <w:sz w:val="20"/>
                <w:szCs w:val="20"/>
                <w:color w:val="auto"/>
              </w:rPr>
            </w:pPr>
            <w:r>
              <w:rPr>
                <w:rFonts w:ascii="Arial" w:cs="Arial" w:eastAsia="Arial" w:hAnsi="Arial"/>
                <w:sz w:val="14"/>
                <w:szCs w:val="14"/>
                <w:color w:val="2D3243"/>
              </w:rPr>
              <w:t>92.5</w:t>
            </w:r>
          </w:p>
        </w:tc>
        <w:tc>
          <w:tcPr>
            <w:tcW w:w="164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3,520</w:t>
            </w:r>
          </w:p>
        </w:tc>
        <w:tc>
          <w:tcPr>
            <w:tcW w:w="0" w:type="dxa"/>
            <w:vAlign w:val="bottom"/>
          </w:tcPr>
          <w:p>
            <w:pPr>
              <w:spacing w:after="0"/>
              <w:rPr>
                <w:sz w:val="1"/>
                <w:szCs w:val="1"/>
                <w:color w:val="auto"/>
              </w:rPr>
            </w:pPr>
          </w:p>
        </w:tc>
      </w:tr>
      <w:tr>
        <w:trPr>
          <w:trHeight w:val="222"/>
        </w:trPr>
        <w:tc>
          <w:tcPr>
            <w:tcW w:w="5080" w:type="dxa"/>
            <w:vAlign w:val="bottom"/>
          </w:tcPr>
          <w:p>
            <w:pPr>
              <w:ind w:left="100"/>
              <w:spacing w:after="0"/>
              <w:rPr>
                <w:sz w:val="20"/>
                <w:szCs w:val="20"/>
                <w:color w:val="auto"/>
              </w:rPr>
            </w:pPr>
            <w:r>
              <w:rPr>
                <w:rFonts w:ascii="Arial" w:cs="Arial" w:eastAsia="Arial" w:hAnsi="Arial"/>
                <w:sz w:val="14"/>
                <w:szCs w:val="14"/>
                <w:b w:val="1"/>
                <w:bCs w:val="1"/>
                <w:color w:val="2D3243"/>
              </w:rPr>
              <w:t>Daniel Burkland</w:t>
            </w:r>
          </w:p>
        </w:tc>
        <w:tc>
          <w:tcPr>
            <w:tcW w:w="2660" w:type="dxa"/>
            <w:vAlign w:val="bottom"/>
          </w:tcPr>
          <w:p>
            <w:pPr>
              <w:jc w:val="right"/>
              <w:ind w:right="608"/>
              <w:spacing w:after="0"/>
              <w:rPr>
                <w:sz w:val="20"/>
                <w:szCs w:val="20"/>
                <w:color w:val="auto"/>
              </w:rPr>
            </w:pPr>
            <w:r>
              <w:rPr>
                <w:rFonts w:ascii="Arial" w:cs="Arial" w:eastAsia="Arial" w:hAnsi="Arial"/>
                <w:sz w:val="14"/>
                <w:szCs w:val="14"/>
                <w:color w:val="2D3243"/>
              </w:rPr>
              <w:t>4,168</w:t>
            </w:r>
          </w:p>
        </w:tc>
        <w:tc>
          <w:tcPr>
            <w:tcW w:w="1860" w:type="dxa"/>
            <w:vAlign w:val="bottom"/>
          </w:tcPr>
          <w:p>
            <w:pPr>
              <w:jc w:val="right"/>
              <w:ind w:right="388"/>
              <w:spacing w:after="0"/>
              <w:rPr>
                <w:sz w:val="20"/>
                <w:szCs w:val="20"/>
                <w:color w:val="auto"/>
              </w:rPr>
            </w:pPr>
            <w:r>
              <w:rPr>
                <w:rFonts w:ascii="Arial" w:cs="Arial" w:eastAsia="Arial" w:hAnsi="Arial"/>
                <w:sz w:val="14"/>
                <w:szCs w:val="14"/>
                <w:color w:val="2D3243"/>
              </w:rPr>
              <w:t>92.5</w:t>
            </w:r>
          </w:p>
        </w:tc>
        <w:tc>
          <w:tcPr>
            <w:tcW w:w="1640" w:type="dxa"/>
            <w:vAlign w:val="bottom"/>
          </w:tcPr>
          <w:p>
            <w:pPr>
              <w:jc w:val="right"/>
              <w:ind w:right="88"/>
              <w:spacing w:after="0"/>
              <w:rPr>
                <w:sz w:val="20"/>
                <w:szCs w:val="20"/>
                <w:color w:val="auto"/>
              </w:rPr>
            </w:pPr>
            <w:r>
              <w:rPr>
                <w:rFonts w:ascii="Arial" w:cs="Arial" w:eastAsia="Arial" w:hAnsi="Arial"/>
                <w:sz w:val="14"/>
                <w:szCs w:val="14"/>
                <w:color w:val="2D3243"/>
              </w:rPr>
              <w:t>3,855</w:t>
            </w:r>
          </w:p>
        </w:tc>
        <w:tc>
          <w:tcPr>
            <w:tcW w:w="0" w:type="dxa"/>
            <w:vAlign w:val="bottom"/>
          </w:tcPr>
          <w:p>
            <w:pPr>
              <w:spacing w:after="0"/>
              <w:rPr>
                <w:sz w:val="1"/>
                <w:szCs w:val="1"/>
                <w:color w:val="auto"/>
              </w:rPr>
            </w:pPr>
          </w:p>
        </w:tc>
      </w:tr>
      <w:tr>
        <w:trPr>
          <w:trHeight w:val="231"/>
        </w:trPr>
        <w:tc>
          <w:tcPr>
            <w:tcW w:w="5080" w:type="dxa"/>
            <w:vAlign w:val="bottom"/>
            <w:tcBorders>
              <w:bottom w:val="single" w:sz="8" w:color="0336FF"/>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Panos Kozanian</w:t>
            </w:r>
          </w:p>
        </w:tc>
        <w:tc>
          <w:tcPr>
            <w:tcW w:w="2660" w:type="dxa"/>
            <w:vAlign w:val="bottom"/>
            <w:tcBorders>
              <w:bottom w:val="single" w:sz="8" w:color="0336FF"/>
            </w:tcBorders>
            <w:shd w:val="clear" w:color="auto" w:fill="F0F1F2"/>
          </w:tcPr>
          <w:p>
            <w:pPr>
              <w:jc w:val="right"/>
              <w:ind w:right="608"/>
              <w:spacing w:after="0"/>
              <w:rPr>
                <w:sz w:val="20"/>
                <w:szCs w:val="20"/>
                <w:color w:val="auto"/>
              </w:rPr>
            </w:pPr>
            <w:r>
              <w:rPr>
                <w:rFonts w:ascii="Arial" w:cs="Arial" w:eastAsia="Arial" w:hAnsi="Arial"/>
                <w:sz w:val="14"/>
                <w:szCs w:val="14"/>
                <w:color w:val="2D3243"/>
              </w:rPr>
              <w:t>3,999</w:t>
            </w:r>
          </w:p>
        </w:tc>
        <w:tc>
          <w:tcPr>
            <w:tcW w:w="1860" w:type="dxa"/>
            <w:vAlign w:val="bottom"/>
            <w:tcBorders>
              <w:bottom w:val="single" w:sz="8" w:color="0336FF"/>
            </w:tcBorders>
            <w:shd w:val="clear" w:color="auto" w:fill="F0F1F2"/>
          </w:tcPr>
          <w:p>
            <w:pPr>
              <w:jc w:val="right"/>
              <w:ind w:right="388"/>
              <w:spacing w:after="0"/>
              <w:rPr>
                <w:sz w:val="20"/>
                <w:szCs w:val="20"/>
                <w:color w:val="auto"/>
              </w:rPr>
            </w:pPr>
            <w:r>
              <w:rPr>
                <w:rFonts w:ascii="Arial" w:cs="Arial" w:eastAsia="Arial" w:hAnsi="Arial"/>
                <w:sz w:val="14"/>
                <w:szCs w:val="14"/>
                <w:color w:val="2D3243"/>
              </w:rPr>
              <w:t>92.5</w:t>
            </w:r>
          </w:p>
        </w:tc>
        <w:tc>
          <w:tcPr>
            <w:tcW w:w="1640" w:type="dxa"/>
            <w:vAlign w:val="bottom"/>
            <w:tcBorders>
              <w:bottom w:val="single" w:sz="8" w:color="0336FF"/>
            </w:tcBorders>
            <w:shd w:val="clear" w:color="auto" w:fill="F0F1F2"/>
          </w:tcPr>
          <w:p>
            <w:pPr>
              <w:jc w:val="right"/>
              <w:ind w:right="88"/>
              <w:spacing w:after="0"/>
              <w:rPr>
                <w:sz w:val="20"/>
                <w:szCs w:val="20"/>
                <w:color w:val="auto"/>
              </w:rPr>
            </w:pPr>
            <w:r>
              <w:rPr>
                <w:rFonts w:ascii="Arial" w:cs="Arial" w:eastAsia="Arial" w:hAnsi="Arial"/>
                <w:sz w:val="14"/>
                <w:szCs w:val="14"/>
                <w:color w:val="2D3243"/>
              </w:rPr>
              <w:t>3,699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color w:val="2D3243"/>
        </w:rPr>
      </w:pPr>
      <w:r>
        <w:rPr>
          <w:rFonts w:ascii="Arial" w:cs="Arial" w:eastAsia="Arial" w:hAnsi="Arial"/>
          <w:sz w:val="14"/>
          <w:szCs w:val="14"/>
          <w:color w:val="2D3243"/>
        </w:rPr>
        <w:t>Because Mr. Dignan was not an executive officer at the time these PRSU awards were granted, he did not receive a PRSU award for the 2023-2024 performance period.</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54"/>
        </w:numPr>
        <w:rPr>
          <w:rFonts w:ascii="Arial" w:cs="Arial" w:eastAsia="Arial" w:hAnsi="Arial"/>
          <w:sz w:val="14"/>
          <w:szCs w:val="14"/>
          <w:color w:val="2D3243"/>
        </w:rPr>
      </w:pPr>
      <w:r>
        <w:rPr>
          <w:rFonts w:ascii="Arial" w:cs="Arial" w:eastAsia="Arial" w:hAnsi="Arial"/>
          <w:sz w:val="14"/>
          <w:szCs w:val="14"/>
          <w:color w:val="2D3243"/>
        </w:rPr>
        <w:t>The PRSUs described in this column vested and were earned upon the Compensation Committee’s certification of the performance on February 14,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Health, Welfare, and Other Benefits</w:t>
      </w:r>
    </w:p>
    <w:p>
      <w:pPr>
        <w:spacing w:after="0" w:line="93" w:lineRule="exact"/>
        <w:rPr>
          <w:sz w:val="20"/>
          <w:szCs w:val="20"/>
          <w:color w:val="auto"/>
        </w:rPr>
      </w:pPr>
    </w:p>
    <w:p>
      <w:pPr>
        <w:ind w:right="680"/>
        <w:spacing w:after="0" w:line="374" w:lineRule="auto"/>
        <w:rPr>
          <w:sz w:val="20"/>
          <w:szCs w:val="20"/>
          <w:color w:val="auto"/>
        </w:rPr>
      </w:pPr>
      <w:r>
        <w:rPr>
          <w:rFonts w:ascii="Arial" w:cs="Arial" w:eastAsia="Arial" w:hAnsi="Arial"/>
          <w:sz w:val="16"/>
          <w:szCs w:val="16"/>
          <w:color w:val="2D3243"/>
        </w:rPr>
        <w:t>We currently do not provide special employee benefits for our NEOs. We do maintain a Section 401(k) retirement savings plan that provides eligible employees, including our NEOs, with an opportunity to save for retirement, subject to applicable annual limits of the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55</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3" w:name="page64"/>
    <w:bookmarkEnd w:id="63"/>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48" w:lineRule="auto"/>
        <w:rPr>
          <w:sz w:val="20"/>
          <w:szCs w:val="20"/>
          <w:color w:val="auto"/>
        </w:rPr>
      </w:pPr>
      <w:r>
        <w:rPr>
          <w:rFonts w:ascii="Arial" w:cs="Arial" w:eastAsia="Arial" w:hAnsi="Arial"/>
          <w:sz w:val="16"/>
          <w:szCs w:val="16"/>
          <w:color w:val="2D3243"/>
        </w:rPr>
        <w:t>Internal Revenue Code of 1986, as amended (the “Code”). We provide matching contributions in cash under the Section 401(k) plan, not to exceed $500 per participant per quarter. Consistent with market practices and our retention goals, we also provide standard health and welfare benefits to our NEOs generally on the same terms and conditions as our other employees. However, under his employment offer letter, our CEO receives Company-paid healthcare benefits (for himself, his spouse, and eligible dependents) during and following his service as our CEO or as a director, generally on the same basis as was previously provided under his prior Chairman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2D3243"/>
        </w:rPr>
        <w:t>Each of our NEOs is employed on an "at-will"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Perquisites and Other Personal Benefits</w:t>
      </w:r>
    </w:p>
    <w:p>
      <w:pPr>
        <w:spacing w:after="0" w:line="93"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2D3243"/>
        </w:rPr>
        <w:t>Currently, the only perquisites or other personal benefits we provide to our NEOs are standard relocation benefits if applicable. In the future, we may provide other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Key Employee Severance Plan</w:t>
      </w:r>
    </w:p>
    <w:p>
      <w:pPr>
        <w:spacing w:after="0" w:line="9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2D3243"/>
        </w:rPr>
        <w:t>Each of our NEOs participates in our 2019 Key Employee Severance Plan (the “Severance Plan”), which provides severance payments and benefits, including “double trigger” payments and benefits in the event of a qualifying termination of employment in connection with a change of control of the Company, as more fully described under “Potential Payments Upon Termination or Change of Control” below. The Compensation Committee believes the Severance Plan maximizes stockholder value because it prevents an unintended windfall to our executive officers in the event of a change of control of the Company, while still providing them appropriate incentives to cooperate in negotiating a transaction involving a potential change of control in which they believe they may lose their jobs. We believe providing the Severance Plan helps us compete for and retain executive talent. We believe that the payments and benefits under the Severance Plan are generally comparable with severance packages offered to the comparable executives of the companies in our compensation peer group.</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Additional Policies and Considerations in our Executive Compensation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Equity Award Grant Policy</w:t>
      </w:r>
    </w:p>
    <w:p>
      <w:pPr>
        <w:spacing w:after="0" w:line="93"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color w:val="2D3243"/>
        </w:rPr>
        <w:t>The Compensation Committee has adopted an equity award grant policy that establishes a predictable and deliberative process for consideration and approval of equity awards. Under the policy, new hire, promotion or retention equity awards have a grant date that is after the later of the date on which the recipient's employment begins, promotion is effective, or retention event occurs and the date on which all necessary corporate actions for the approval of the applicable equity award are complete. Regular annual "refresh" equity awards have a grant date that is on or after the date of approval of the equity award by the Compensation Committee. The equity award grant policy also includes rules on how we calculate the number of shares of our common stock subject to equity awards granted based on a target grant date dollar value.</w:t>
      </w:r>
    </w:p>
    <w:p>
      <w:pPr>
        <w:spacing w:after="0" w:line="123" w:lineRule="exact"/>
        <w:rPr>
          <w:sz w:val="20"/>
          <w:szCs w:val="20"/>
          <w:color w:val="auto"/>
        </w:rPr>
      </w:pPr>
    </w:p>
    <w:p>
      <w:pPr>
        <w:ind w:right="20"/>
        <w:spacing w:after="0" w:line="374" w:lineRule="auto"/>
        <w:rPr>
          <w:sz w:val="20"/>
          <w:szCs w:val="20"/>
          <w:color w:val="auto"/>
        </w:rPr>
      </w:pPr>
      <w:r>
        <w:rPr>
          <w:rFonts w:ascii="Arial" w:cs="Arial" w:eastAsia="Arial" w:hAnsi="Arial"/>
          <w:sz w:val="16"/>
          <w:szCs w:val="16"/>
          <w:color w:val="2D3243"/>
        </w:rPr>
        <w:t>The exercise price of all newly issued stock options and stock appreciation rights must be equal to or greater than the fair market value of our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56</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64" w:name="page65"/>
    <w:bookmarkEnd w:id="64"/>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Director and Executive Officer Stock Ownership Guidelines</w:t>
      </w:r>
    </w:p>
    <w:p>
      <w:pPr>
        <w:spacing w:after="0" w:line="93"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2D3243"/>
        </w:rPr>
        <w:t>We maintain stock ownership guidelines (“Stock Ownership Guidelines”) for our non-employee directors and executive officers. The Compensation Committee adopted the Stock Ownership Guidelines because it believes that stock ownership promotes alignment with the interests of our stockholders. The Stock Ownership Guidelines are based on the lesser of a multiple of base salary (or cash retainer, in the case of non-employee directors) and a fixed number of shares of our common stock, as set forth below, provided that if the closing price of our common stock on any compliance measurement date is less than $10 per share, only the share-based guidelines apply: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Position</w:t>
            </w:r>
          </w:p>
        </w:tc>
        <w:tc>
          <w:tcPr>
            <w:tcW w:w="4600" w:type="dxa"/>
            <w:vAlign w:val="bottom"/>
            <w:shd w:val="clear" w:color="auto" w:fill="0336FF"/>
          </w:tcPr>
          <w:p>
            <w:pPr>
              <w:ind w:left="20"/>
              <w:spacing w:after="0"/>
              <w:rPr>
                <w:sz w:val="20"/>
                <w:szCs w:val="20"/>
                <w:color w:val="auto"/>
              </w:rPr>
            </w:pPr>
            <w:r>
              <w:rPr>
                <w:rFonts w:ascii="Arial" w:cs="Arial" w:eastAsia="Arial" w:hAnsi="Arial"/>
                <w:sz w:val="14"/>
                <w:szCs w:val="14"/>
                <w:b w:val="1"/>
                <w:bCs w:val="1"/>
                <w:color w:val="FFFFFF"/>
              </w:rPr>
              <w:t>Guidelines</w:t>
            </w:r>
          </w:p>
        </w:tc>
      </w:tr>
      <w:tr>
        <w:trPr>
          <w:trHeight w:val="67"/>
        </w:trPr>
        <w:tc>
          <w:tcPr>
            <w:tcW w:w="6640" w:type="dxa"/>
            <w:vAlign w:val="bottom"/>
            <w:shd w:val="clear" w:color="auto" w:fill="0336FF"/>
          </w:tcPr>
          <w:p>
            <w:pPr>
              <w:spacing w:after="0"/>
              <w:rPr>
                <w:sz w:val="5"/>
                <w:szCs w:val="5"/>
                <w:color w:val="auto"/>
              </w:rPr>
            </w:pPr>
          </w:p>
        </w:tc>
        <w:tc>
          <w:tcPr>
            <w:tcW w:w="4600" w:type="dxa"/>
            <w:vAlign w:val="bottom"/>
            <w:shd w:val="clear" w:color="auto" w:fill="0336FF"/>
          </w:tcPr>
          <w:p>
            <w:pPr>
              <w:spacing w:after="0"/>
              <w:rPr>
                <w:sz w:val="5"/>
                <w:szCs w:val="5"/>
                <w:color w:val="auto"/>
              </w:rPr>
            </w:pPr>
          </w:p>
        </w:tc>
      </w:tr>
      <w:tr>
        <w:trPr>
          <w:trHeight w:val="222"/>
        </w:trPr>
        <w:tc>
          <w:tcPr>
            <w:tcW w:w="6640" w:type="dxa"/>
            <w:vAlign w:val="bottom"/>
          </w:tcPr>
          <w:p>
            <w:pPr>
              <w:ind w:left="100"/>
              <w:spacing w:after="0"/>
              <w:rPr>
                <w:sz w:val="20"/>
                <w:szCs w:val="20"/>
                <w:color w:val="auto"/>
              </w:rPr>
            </w:pPr>
            <w:r>
              <w:rPr>
                <w:rFonts w:ascii="Arial" w:cs="Arial" w:eastAsia="Arial" w:hAnsi="Arial"/>
                <w:sz w:val="14"/>
                <w:szCs w:val="14"/>
                <w:b w:val="1"/>
                <w:bCs w:val="1"/>
                <w:color w:val="2D3243"/>
              </w:rPr>
              <w:t>Directors</w:t>
            </w:r>
          </w:p>
        </w:tc>
        <w:tc>
          <w:tcPr>
            <w:tcW w:w="4600" w:type="dxa"/>
            <w:vAlign w:val="bottom"/>
          </w:tcPr>
          <w:p>
            <w:pPr>
              <w:ind w:left="20"/>
              <w:spacing w:after="0"/>
              <w:rPr>
                <w:sz w:val="20"/>
                <w:szCs w:val="20"/>
                <w:color w:val="auto"/>
              </w:rPr>
            </w:pPr>
            <w:r>
              <w:rPr>
                <w:rFonts w:ascii="Arial" w:cs="Arial" w:eastAsia="Arial" w:hAnsi="Arial"/>
                <w:sz w:val="14"/>
                <w:szCs w:val="14"/>
                <w:color w:val="2D3243"/>
              </w:rPr>
              <w:t>Lesser of 300% of annual retainer or 9,000 shares</w:t>
            </w:r>
          </w:p>
        </w:tc>
      </w:tr>
      <w:tr>
        <w:trPr>
          <w:trHeight w:val="237"/>
        </w:trPr>
        <w:tc>
          <w:tcPr>
            <w:tcW w:w="664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CEO</w:t>
            </w:r>
          </w:p>
        </w:tc>
        <w:tc>
          <w:tcPr>
            <w:tcW w:w="460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Lesser of 300% of annual base salary or 160,000 shares</w:t>
            </w:r>
          </w:p>
        </w:tc>
      </w:tr>
      <w:tr>
        <w:trPr>
          <w:trHeight w:val="223"/>
        </w:trPr>
        <w:tc>
          <w:tcPr>
            <w:tcW w:w="6640" w:type="dxa"/>
            <w:vAlign w:val="bottom"/>
            <w:tcBorders>
              <w:bottom w:val="single" w:sz="8" w:color="0336FF"/>
            </w:tcBorders>
          </w:tcPr>
          <w:p>
            <w:pPr>
              <w:ind w:left="100"/>
              <w:spacing w:after="0"/>
              <w:rPr>
                <w:sz w:val="20"/>
                <w:szCs w:val="20"/>
                <w:color w:val="auto"/>
              </w:rPr>
            </w:pPr>
            <w:r>
              <w:rPr>
                <w:rFonts w:ascii="Arial" w:cs="Arial" w:eastAsia="Arial" w:hAnsi="Arial"/>
                <w:sz w:val="14"/>
                <w:szCs w:val="14"/>
                <w:b w:val="1"/>
                <w:bCs w:val="1"/>
                <w:color w:val="2D3243"/>
              </w:rPr>
              <w:t>Other Executive Officers</w:t>
            </w:r>
          </w:p>
        </w:tc>
        <w:tc>
          <w:tcPr>
            <w:tcW w:w="4600" w:type="dxa"/>
            <w:vAlign w:val="bottom"/>
            <w:tcBorders>
              <w:bottom w:val="single" w:sz="8" w:color="0336FF"/>
            </w:tcBorders>
          </w:tcPr>
          <w:p>
            <w:pPr>
              <w:ind w:left="20"/>
              <w:spacing w:after="0"/>
              <w:rPr>
                <w:sz w:val="20"/>
                <w:szCs w:val="20"/>
                <w:color w:val="auto"/>
              </w:rPr>
            </w:pPr>
            <w:r>
              <w:rPr>
                <w:rFonts w:ascii="Arial" w:cs="Arial" w:eastAsia="Arial" w:hAnsi="Arial"/>
                <w:sz w:val="14"/>
                <w:szCs w:val="14"/>
                <w:color w:val="2D3243"/>
              </w:rPr>
              <w:t>Lesser of 100% of annual base salary or 30,000 shares</w:t>
            </w:r>
          </w:p>
        </w:tc>
      </w:tr>
    </w:tbl>
    <w:p>
      <w:pPr>
        <w:spacing w:after="0" w:line="269" w:lineRule="exact"/>
        <w:rPr>
          <w:sz w:val="20"/>
          <w:szCs w:val="20"/>
          <w:color w:val="auto"/>
        </w:rPr>
      </w:pPr>
    </w:p>
    <w:p>
      <w:pPr>
        <w:ind w:right="60"/>
        <w:spacing w:after="0" w:line="346" w:lineRule="auto"/>
        <w:rPr>
          <w:sz w:val="20"/>
          <w:szCs w:val="20"/>
          <w:color w:val="auto"/>
        </w:rPr>
      </w:pPr>
      <w:r>
        <w:rPr>
          <w:rFonts w:ascii="Arial" w:cs="Arial" w:eastAsia="Arial" w:hAnsi="Arial"/>
          <w:sz w:val="16"/>
          <w:szCs w:val="16"/>
          <w:color w:val="2D3243"/>
        </w:rPr>
        <w:t>Shares owned plus vested, in the money, stock options are counted towards satisfying the ownership requirement. Our non-employee directors and executive officers are expected to meet their respective ownership requirements by the later of five years after the Stock Ownership Guidelines were adopted or within five years after being appointed, hired or promoted into a role covered by the Stock Ownership Guidelines. Compliance with the Stock Ownership Guidelines is measured at the end of each year using our 90-trading day average stock price. As of December 31, 2023, all of our non-employee directors and NEOs had satisfied their applicable ownership requirement, except for Ms. Iskow, Messrs. Kozanian and Mariner, all of whom have until five years from the dates of their respective appointments to our Board of Directors or as an executive officer to satisfy such requirements.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Derivatives Trading and Hedging Policy</w:t>
      </w:r>
    </w:p>
    <w:p>
      <w:pPr>
        <w:spacing w:after="0" w:line="93" w:lineRule="exact"/>
        <w:rPr>
          <w:sz w:val="20"/>
          <w:szCs w:val="20"/>
          <w:color w:val="auto"/>
        </w:rPr>
      </w:pPr>
    </w:p>
    <w:p>
      <w:pPr>
        <w:ind w:right="60"/>
        <w:spacing w:after="0" w:line="344" w:lineRule="auto"/>
        <w:rPr>
          <w:sz w:val="20"/>
          <w:szCs w:val="20"/>
          <w:color w:val="auto"/>
        </w:rPr>
      </w:pPr>
      <w:r>
        <w:rPr>
          <w:rFonts w:ascii="Arial" w:cs="Arial" w:eastAsia="Arial" w:hAnsi="Arial"/>
          <w:sz w:val="16"/>
          <w:szCs w:val="16"/>
          <w:color w:val="2D3243"/>
        </w:rPr>
        <w:t>Our Insider Trading Policy includes a policy regarding the trading of derivatives and the hedging of our equity securities by our employees, including our NEOs, and the non-employee members of the Board of Directors. This policy provides that all employees and the non-employee members of the Board of Directors are prohibited from engaging in transactions that are of a speculative nature at any time. Furthermore, all employees, including our NEOs, and the non-employee members of the Board of Directors are prohibited from engaging in hedging transactions involving our securities, including forward sale or purchase contracts, equity swaps, collars or exchange funds. In addition, all employees, including our NEOs, and the non-employee members of the Board of Directors are prohibited from short-selling our common stock or engaging in transactions involving our derivative securities (including put option contracts, transacting in straddles, and the like).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Pledging Policy</w:t>
      </w:r>
    </w:p>
    <w:p>
      <w:pPr>
        <w:spacing w:after="0" w:line="93" w:lineRule="exact"/>
        <w:rPr>
          <w:sz w:val="20"/>
          <w:szCs w:val="20"/>
          <w:color w:val="auto"/>
        </w:rPr>
      </w:pPr>
    </w:p>
    <w:p>
      <w:pPr>
        <w:ind w:right="40"/>
        <w:spacing w:after="0" w:line="374" w:lineRule="auto"/>
        <w:rPr>
          <w:sz w:val="20"/>
          <w:szCs w:val="20"/>
          <w:color w:val="auto"/>
        </w:rPr>
      </w:pPr>
      <w:r>
        <w:rPr>
          <w:rFonts w:ascii="Arial" w:cs="Arial" w:eastAsia="Arial" w:hAnsi="Arial"/>
          <w:sz w:val="16"/>
          <w:szCs w:val="16"/>
          <w:color w:val="2D3243"/>
        </w:rPr>
        <w:t>Our Insider Trading Policy includes a policy that prohibits all employees, including our NEOs, and the non-employee members of the Board of Directors from holding our securities in a margin account or pledging our securities as collateral for a loan.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Compensation Recovery ("Clawback") Policy</w:t>
      </w:r>
    </w:p>
    <w:p>
      <w:pPr>
        <w:spacing w:after="0" w:line="93" w:lineRule="exact"/>
        <w:rPr>
          <w:sz w:val="20"/>
          <w:szCs w:val="20"/>
          <w:color w:val="auto"/>
        </w:rPr>
      </w:pPr>
    </w:p>
    <w:p>
      <w:pPr>
        <w:ind w:right="220"/>
        <w:spacing w:after="0" w:line="353" w:lineRule="auto"/>
        <w:rPr>
          <w:sz w:val="20"/>
          <w:szCs w:val="20"/>
          <w:color w:val="auto"/>
        </w:rPr>
      </w:pPr>
      <w:r>
        <w:rPr>
          <w:rFonts w:ascii="Arial" w:cs="Arial" w:eastAsia="Arial" w:hAnsi="Arial"/>
          <w:sz w:val="16"/>
          <w:szCs w:val="16"/>
          <w:color w:val="2D3243"/>
        </w:rPr>
        <w:t>Effective October 31, 2023, we adopted a policy requiring recoupment of any excess cash or equity-based incentive compensation paid to our current and former Section 16 officers where the payments were predicated upon the achievement of financial results that were subsequently the subject of a financial restatement. This clawback policy is intended to comply with the NASDAQ listing standards as required under the final rules adopted by the SEC implementing Section 10D of the Exchange Act.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57</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5" w:name="page66"/>
    <w:bookmarkEnd w:id="65"/>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Tax and Accounting Considerations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Taxation of “Parachute” Payments</w:t>
      </w:r>
    </w:p>
    <w:p>
      <w:pPr>
        <w:spacing w:after="0" w:line="93" w:lineRule="exact"/>
        <w:rPr>
          <w:sz w:val="20"/>
          <w:szCs w:val="20"/>
          <w:color w:val="auto"/>
        </w:rPr>
      </w:pPr>
    </w:p>
    <w:p>
      <w:pPr>
        <w:spacing w:after="0" w:line="348" w:lineRule="auto"/>
        <w:rPr>
          <w:sz w:val="20"/>
          <w:szCs w:val="20"/>
          <w:color w:val="auto"/>
        </w:rPr>
      </w:pPr>
      <w:r>
        <w:rPr>
          <w:rFonts w:ascii="Arial" w:cs="Arial" w:eastAsia="Arial" w:hAnsi="Arial"/>
          <w:sz w:val="16"/>
          <w:szCs w:val="16"/>
          <w:color w:val="2D3243"/>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we (or a successor) may forfeit a deduction on the amounts subject to this additional tax. We are not obligated to provide any NEO with a “gross-up” or other reimbursement payment for any tax liability that he or she may owe as a result of the application of Sections 280G or 4999 in the event of a change in control of the Company.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Accounting for Stock-Based Compensation</w:t>
      </w:r>
    </w:p>
    <w:p>
      <w:pPr>
        <w:spacing w:after="0" w:line="257" w:lineRule="exact"/>
        <w:rPr>
          <w:sz w:val="20"/>
          <w:szCs w:val="20"/>
          <w:color w:val="auto"/>
        </w:rPr>
      </w:pPr>
    </w:p>
    <w:p>
      <w:pPr>
        <w:ind w:right="200"/>
        <w:spacing w:after="0" w:line="353" w:lineRule="auto"/>
        <w:rPr>
          <w:sz w:val="20"/>
          <w:szCs w:val="20"/>
          <w:color w:val="auto"/>
        </w:rPr>
      </w:pPr>
      <w:r>
        <w:rPr>
          <w:rFonts w:ascii="Arial" w:cs="Arial" w:eastAsia="Arial" w:hAnsi="Arial"/>
          <w:sz w:val="16"/>
          <w:szCs w:val="16"/>
          <w:color w:val="2D3243"/>
        </w:rPr>
        <w:t>The Compensation Committee considers the accounting impact of equity awards when designing compensation plans and arrangements for our executive officers and other employees. Chief among these is FASB ASC Topic 718, the standard which governs the accounting treatment of stock-based compensation awards. However, accounting cost is just one factor considered when designing such compensation plans and arrangements for our NEOs and other employees.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Compensation-Related Risks</w:t>
      </w:r>
    </w:p>
    <w:p>
      <w:pPr>
        <w:spacing w:after="0" w:line="257" w:lineRule="exact"/>
        <w:rPr>
          <w:sz w:val="20"/>
          <w:szCs w:val="20"/>
          <w:color w:val="auto"/>
        </w:rPr>
      </w:pPr>
    </w:p>
    <w:p>
      <w:pPr>
        <w:ind w:right="320"/>
        <w:spacing w:after="0" w:line="346" w:lineRule="auto"/>
        <w:rPr>
          <w:sz w:val="20"/>
          <w:szCs w:val="20"/>
          <w:color w:val="auto"/>
        </w:rPr>
      </w:pPr>
      <w:r>
        <w:rPr>
          <w:rFonts w:ascii="Arial" w:cs="Arial" w:eastAsia="Arial" w:hAnsi="Arial"/>
          <w:sz w:val="16"/>
          <w:szCs w:val="16"/>
          <w:color w:val="2D3243"/>
        </w:rPr>
        <w:t>In August 2023, the Compensation Committee, with the assistance of Compensia, reviewed our compensation policies and practices applicable to all employees and determined that our compensation programs do not encourage excessive or inappropriate risk-taking. The Compensation Committee believes that our compensation policies and practices, taken as a whole, are not reasonably likely to have a material adverse effect on the Company and that no changes to the compensation policies and practices are needed at this time, and that the design and mix of our compensation programs appropriately encourages our executive officers and other employees to focus on the creation of long-term stockholder value. In its review, the Compensation Committee noted the following features:</w:t>
      </w:r>
    </w:p>
    <w:p>
      <w:pPr>
        <w:spacing w:after="0" w:line="123" w:lineRule="exact"/>
        <w:rPr>
          <w:sz w:val="20"/>
          <w:szCs w:val="20"/>
          <w:color w:val="auto"/>
        </w:rPr>
      </w:pPr>
    </w:p>
    <w:p>
      <w:pPr>
        <w:ind w:left="820" w:right="820" w:hanging="326"/>
        <w:spacing w:after="0" w:line="369" w:lineRule="auto"/>
        <w:tabs>
          <w:tab w:leader="none" w:pos="782" w:val="left"/>
        </w:tabs>
        <w:numPr>
          <w:ilvl w:val="0"/>
          <w:numId w:val="55"/>
        </w:numPr>
        <w:rPr>
          <w:rFonts w:ascii="Arial" w:cs="Arial" w:eastAsia="Arial" w:hAnsi="Arial"/>
          <w:sz w:val="16"/>
          <w:szCs w:val="16"/>
          <w:color w:val="2D3243"/>
        </w:rPr>
      </w:pPr>
      <w:r>
        <w:rPr>
          <w:rFonts w:ascii="Arial" w:cs="Arial" w:eastAsia="Arial" w:hAnsi="Arial"/>
          <w:sz w:val="16"/>
          <w:szCs w:val="16"/>
          <w:color w:val="2D3243"/>
        </w:rPr>
        <w:t>the compensation programs include a reasonable mix of cash, short-term incentive and equity compensation, with the vesting of equity compensation tied to multi-year time periods;</w:t>
      </w:r>
    </w:p>
    <w:p>
      <w:pPr>
        <w:spacing w:after="0" w:line="1" w:lineRule="exact"/>
        <w:rPr>
          <w:rFonts w:ascii="Arial" w:cs="Arial" w:eastAsia="Arial" w:hAnsi="Arial"/>
          <w:sz w:val="16"/>
          <w:szCs w:val="16"/>
          <w:color w:val="2D3243"/>
        </w:rPr>
      </w:pPr>
    </w:p>
    <w:p>
      <w:pPr>
        <w:ind w:left="820" w:right="320" w:hanging="326"/>
        <w:spacing w:after="0" w:line="374" w:lineRule="auto"/>
        <w:tabs>
          <w:tab w:leader="none" w:pos="782" w:val="left"/>
        </w:tabs>
        <w:numPr>
          <w:ilvl w:val="0"/>
          <w:numId w:val="55"/>
        </w:numPr>
        <w:rPr>
          <w:rFonts w:ascii="Arial" w:cs="Arial" w:eastAsia="Arial" w:hAnsi="Arial"/>
          <w:sz w:val="16"/>
          <w:szCs w:val="16"/>
          <w:color w:val="2D3243"/>
        </w:rPr>
      </w:pPr>
      <w:r>
        <w:rPr>
          <w:rFonts w:ascii="Arial" w:cs="Arial" w:eastAsia="Arial" w:hAnsi="Arial"/>
          <w:sz w:val="16"/>
          <w:szCs w:val="16"/>
          <w:color w:val="2D3243"/>
        </w:rPr>
        <w:t>the performance goals for the 2023 Bonus Program are generally based on a mix of corporate goals and individual performance, with payouts capped if the corporate goals are achieved above a certain threshold; and</w:t>
      </w:r>
    </w:p>
    <w:p>
      <w:pPr>
        <w:spacing w:after="0" w:line="7" w:lineRule="exact"/>
        <w:rPr>
          <w:rFonts w:ascii="Arial" w:cs="Arial" w:eastAsia="Arial" w:hAnsi="Arial"/>
          <w:sz w:val="16"/>
          <w:szCs w:val="16"/>
          <w:color w:val="2D3243"/>
        </w:rPr>
      </w:pPr>
    </w:p>
    <w:p>
      <w:pPr>
        <w:ind w:left="820" w:right="200" w:hanging="326"/>
        <w:spacing w:after="0" w:line="374" w:lineRule="auto"/>
        <w:tabs>
          <w:tab w:leader="none" w:pos="782" w:val="left"/>
        </w:tabs>
        <w:numPr>
          <w:ilvl w:val="0"/>
          <w:numId w:val="55"/>
        </w:numPr>
        <w:rPr>
          <w:rFonts w:ascii="Arial" w:cs="Arial" w:eastAsia="Arial" w:hAnsi="Arial"/>
          <w:sz w:val="16"/>
          <w:szCs w:val="16"/>
          <w:color w:val="2D3243"/>
        </w:rPr>
      </w:pPr>
      <w:r>
        <w:rPr>
          <w:rFonts w:ascii="Arial" w:cs="Arial" w:eastAsia="Arial" w:hAnsi="Arial"/>
          <w:sz w:val="16"/>
          <w:szCs w:val="16"/>
          <w:color w:val="2D3243"/>
        </w:rPr>
        <w:t>we have formal policies in place for equity administration, insider trading, hedging, pledging and clawback, and stock ownership guidelines, and we annually review succession plans for key executives.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58</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6" w:name="page67"/>
    <w:bookmarkEnd w:id="66"/>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2023 Summary Compensation Table</w:t>
      </w:r>
    </w:p>
    <w:p>
      <w:pPr>
        <w:spacing w:after="0" w:line="193" w:lineRule="exact"/>
        <w:rPr>
          <w:sz w:val="20"/>
          <w:szCs w:val="20"/>
          <w:color w:val="auto"/>
        </w:rPr>
      </w:pPr>
    </w:p>
    <w:p>
      <w:pPr>
        <w:jc w:val="both"/>
        <w:ind w:right="300"/>
        <w:spacing w:after="0" w:line="363" w:lineRule="auto"/>
        <w:rPr>
          <w:sz w:val="20"/>
          <w:szCs w:val="20"/>
          <w:color w:val="auto"/>
        </w:rPr>
      </w:pPr>
      <w:r>
        <w:rPr>
          <w:rFonts w:ascii="Arial" w:cs="Arial" w:eastAsia="Arial" w:hAnsi="Arial"/>
          <w:sz w:val="16"/>
          <w:szCs w:val="16"/>
          <w:color w:val="2D3243"/>
        </w:rPr>
        <w:t>The following table summarizes all compensation for the fiscal years ended December 31, 2023, 2022 and 2021, as applicable, earned by or paid to our Chief Executive Officer, our Chief Financial Officer, and our three other executive officers serving during 2023. We refer to these executive officers as our NEOs.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20" w:type="dxa"/>
            <w:vAlign w:val="bottom"/>
            <w:shd w:val="clear" w:color="auto" w:fill="0336FF"/>
          </w:tcPr>
          <w:p>
            <w:pPr>
              <w:spacing w:after="0"/>
              <w:rPr>
                <w:sz w:val="16"/>
                <w:szCs w:val="16"/>
                <w:color w:val="auto"/>
              </w:rPr>
            </w:pPr>
          </w:p>
        </w:tc>
        <w:tc>
          <w:tcPr>
            <w:tcW w:w="780" w:type="dxa"/>
            <w:vAlign w:val="bottom"/>
            <w:shd w:val="clear" w:color="auto" w:fill="0336FF"/>
          </w:tcPr>
          <w:p>
            <w:pPr>
              <w:spacing w:after="0"/>
              <w:rPr>
                <w:sz w:val="16"/>
                <w:szCs w:val="16"/>
                <w:color w:val="auto"/>
              </w:rPr>
            </w:pPr>
          </w:p>
        </w:tc>
        <w:tc>
          <w:tcPr>
            <w:tcW w:w="1080" w:type="dxa"/>
            <w:vAlign w:val="bottom"/>
            <w:shd w:val="clear" w:color="auto" w:fill="0336FF"/>
          </w:tcPr>
          <w:p>
            <w:pPr>
              <w:spacing w:after="0"/>
              <w:rPr>
                <w:sz w:val="16"/>
                <w:szCs w:val="16"/>
                <w:color w:val="auto"/>
              </w:rPr>
            </w:pPr>
          </w:p>
        </w:tc>
        <w:tc>
          <w:tcPr>
            <w:tcW w:w="220" w:type="dxa"/>
            <w:vAlign w:val="bottom"/>
            <w:shd w:val="clear" w:color="auto" w:fill="0336FF"/>
          </w:tcPr>
          <w:p>
            <w:pPr>
              <w:spacing w:after="0"/>
              <w:rPr>
                <w:sz w:val="16"/>
                <w:szCs w:val="16"/>
                <w:color w:val="auto"/>
              </w:rPr>
            </w:pPr>
          </w:p>
        </w:tc>
        <w:tc>
          <w:tcPr>
            <w:tcW w:w="820" w:type="dxa"/>
            <w:vAlign w:val="bottom"/>
            <w:shd w:val="clear" w:color="auto" w:fill="0336FF"/>
          </w:tcPr>
          <w:p>
            <w:pPr>
              <w:spacing w:after="0"/>
              <w:rPr>
                <w:sz w:val="16"/>
                <w:szCs w:val="16"/>
                <w:color w:val="auto"/>
              </w:rPr>
            </w:pPr>
          </w:p>
        </w:tc>
        <w:tc>
          <w:tcPr>
            <w:tcW w:w="1340" w:type="dxa"/>
            <w:vAlign w:val="bottom"/>
            <w:shd w:val="clear" w:color="auto" w:fill="0336FF"/>
          </w:tcPr>
          <w:p>
            <w:pPr>
              <w:spacing w:after="0"/>
              <w:rPr>
                <w:sz w:val="16"/>
                <w:szCs w:val="16"/>
                <w:color w:val="auto"/>
              </w:rPr>
            </w:pPr>
          </w:p>
        </w:tc>
        <w:tc>
          <w:tcPr>
            <w:tcW w:w="980" w:type="dxa"/>
            <w:vAlign w:val="bottom"/>
            <w:shd w:val="clear" w:color="auto" w:fill="0336FF"/>
          </w:tcPr>
          <w:p>
            <w:pPr>
              <w:spacing w:after="0"/>
              <w:rPr>
                <w:sz w:val="16"/>
                <w:szCs w:val="16"/>
                <w:color w:val="auto"/>
              </w:rPr>
            </w:pPr>
          </w:p>
        </w:tc>
        <w:tc>
          <w:tcPr>
            <w:tcW w:w="1440" w:type="dxa"/>
            <w:vAlign w:val="bottom"/>
            <w:shd w:val="clear" w:color="auto" w:fill="0336FF"/>
          </w:tcPr>
          <w:p>
            <w:pPr>
              <w:jc w:val="right"/>
              <w:ind w:right="88"/>
              <w:spacing w:after="0"/>
              <w:rPr>
                <w:sz w:val="20"/>
                <w:szCs w:val="20"/>
                <w:color w:val="auto"/>
              </w:rPr>
            </w:pPr>
            <w:r>
              <w:rPr>
                <w:rFonts w:ascii="Arial" w:cs="Arial" w:eastAsia="Arial" w:hAnsi="Arial"/>
                <w:sz w:val="14"/>
                <w:szCs w:val="14"/>
                <w:b w:val="1"/>
                <w:bCs w:val="1"/>
                <w:color w:val="FFFFFF"/>
              </w:rPr>
              <w:t>Non-Equity</w:t>
            </w:r>
          </w:p>
        </w:tc>
        <w:tc>
          <w:tcPr>
            <w:tcW w:w="1400" w:type="dxa"/>
            <w:vAlign w:val="bottom"/>
            <w:shd w:val="clear" w:color="auto" w:fill="0336FF"/>
          </w:tcPr>
          <w:p>
            <w:pPr>
              <w:spacing w:after="0"/>
              <w:rPr>
                <w:sz w:val="16"/>
                <w:szCs w:val="16"/>
                <w:color w:val="auto"/>
              </w:rPr>
            </w:pPr>
          </w:p>
        </w:tc>
        <w:tc>
          <w:tcPr>
            <w:tcW w:w="1260" w:type="dxa"/>
            <w:vAlign w:val="bottom"/>
            <w:shd w:val="clear" w:color="auto" w:fill="0336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0336FF"/>
          </w:tcPr>
          <w:p>
            <w:pPr>
              <w:spacing w:after="0"/>
              <w:rPr>
                <w:sz w:val="14"/>
                <w:szCs w:val="14"/>
                <w:color w:val="auto"/>
              </w:rPr>
            </w:pPr>
          </w:p>
        </w:tc>
        <w:tc>
          <w:tcPr>
            <w:tcW w:w="780" w:type="dxa"/>
            <w:vAlign w:val="bottom"/>
            <w:shd w:val="clear" w:color="auto" w:fill="0336FF"/>
          </w:tcPr>
          <w:p>
            <w:pPr>
              <w:spacing w:after="0"/>
              <w:rPr>
                <w:sz w:val="14"/>
                <w:szCs w:val="14"/>
                <w:color w:val="auto"/>
              </w:rPr>
            </w:pPr>
          </w:p>
        </w:tc>
        <w:tc>
          <w:tcPr>
            <w:tcW w:w="1080" w:type="dxa"/>
            <w:vAlign w:val="bottom"/>
            <w:shd w:val="clear" w:color="auto" w:fill="0336FF"/>
          </w:tcPr>
          <w:p>
            <w:pPr>
              <w:spacing w:after="0"/>
              <w:rPr>
                <w:sz w:val="14"/>
                <w:szCs w:val="14"/>
                <w:color w:val="auto"/>
              </w:rPr>
            </w:pPr>
          </w:p>
        </w:tc>
        <w:tc>
          <w:tcPr>
            <w:tcW w:w="220" w:type="dxa"/>
            <w:vAlign w:val="bottom"/>
            <w:shd w:val="clear" w:color="auto" w:fill="0336FF"/>
          </w:tcPr>
          <w:p>
            <w:pPr>
              <w:spacing w:after="0"/>
              <w:rPr>
                <w:sz w:val="14"/>
                <w:szCs w:val="14"/>
                <w:color w:val="auto"/>
              </w:rPr>
            </w:pPr>
          </w:p>
        </w:tc>
        <w:tc>
          <w:tcPr>
            <w:tcW w:w="820" w:type="dxa"/>
            <w:vAlign w:val="bottom"/>
            <w:shd w:val="clear" w:color="auto" w:fill="0336FF"/>
          </w:tcPr>
          <w:p>
            <w:pPr>
              <w:spacing w:after="0"/>
              <w:rPr>
                <w:sz w:val="14"/>
                <w:szCs w:val="14"/>
                <w:color w:val="auto"/>
              </w:rPr>
            </w:pPr>
          </w:p>
        </w:tc>
        <w:tc>
          <w:tcPr>
            <w:tcW w:w="1340" w:type="dxa"/>
            <w:vAlign w:val="bottom"/>
            <w:shd w:val="clear" w:color="auto" w:fill="0336FF"/>
          </w:tcPr>
          <w:p>
            <w:pPr>
              <w:jc w:val="right"/>
              <w:ind w:right="130"/>
              <w:spacing w:after="0"/>
              <w:rPr>
                <w:sz w:val="20"/>
                <w:szCs w:val="20"/>
                <w:color w:val="auto"/>
              </w:rPr>
            </w:pPr>
            <w:r>
              <w:rPr>
                <w:rFonts w:ascii="Arial" w:cs="Arial" w:eastAsia="Arial" w:hAnsi="Arial"/>
                <w:sz w:val="14"/>
                <w:szCs w:val="14"/>
                <w:b w:val="1"/>
                <w:bCs w:val="1"/>
                <w:color w:val="FFFFFF"/>
              </w:rPr>
              <w:t>Stock</w:t>
            </w:r>
          </w:p>
        </w:tc>
        <w:tc>
          <w:tcPr>
            <w:tcW w:w="980" w:type="dxa"/>
            <w:vAlign w:val="bottom"/>
            <w:shd w:val="clear" w:color="auto" w:fill="0336FF"/>
          </w:tcPr>
          <w:p>
            <w:pPr>
              <w:jc w:val="right"/>
              <w:ind w:right="88"/>
              <w:spacing w:after="0"/>
              <w:rPr>
                <w:sz w:val="20"/>
                <w:szCs w:val="20"/>
                <w:color w:val="auto"/>
              </w:rPr>
            </w:pPr>
            <w:r>
              <w:rPr>
                <w:rFonts w:ascii="Arial" w:cs="Arial" w:eastAsia="Arial" w:hAnsi="Arial"/>
                <w:sz w:val="14"/>
                <w:szCs w:val="14"/>
                <w:b w:val="1"/>
                <w:bCs w:val="1"/>
                <w:color w:val="FFFFFF"/>
              </w:rPr>
              <w:t>Option</w:t>
            </w:r>
          </w:p>
        </w:tc>
        <w:tc>
          <w:tcPr>
            <w:tcW w:w="1440" w:type="dxa"/>
            <w:vAlign w:val="bottom"/>
            <w:shd w:val="clear" w:color="auto" w:fill="0336FF"/>
          </w:tcPr>
          <w:p>
            <w:pPr>
              <w:jc w:val="right"/>
              <w:ind w:right="88"/>
              <w:spacing w:after="0"/>
              <w:rPr>
                <w:sz w:val="20"/>
                <w:szCs w:val="20"/>
                <w:color w:val="auto"/>
              </w:rPr>
            </w:pPr>
            <w:r>
              <w:rPr>
                <w:rFonts w:ascii="Arial" w:cs="Arial" w:eastAsia="Arial" w:hAnsi="Arial"/>
                <w:sz w:val="14"/>
                <w:szCs w:val="14"/>
                <w:b w:val="1"/>
                <w:bCs w:val="1"/>
                <w:color w:val="FFFFFF"/>
              </w:rPr>
              <w:t>Incentive Plan</w:t>
            </w:r>
          </w:p>
        </w:tc>
        <w:tc>
          <w:tcPr>
            <w:tcW w:w="1400" w:type="dxa"/>
            <w:vAlign w:val="bottom"/>
            <w:shd w:val="clear" w:color="auto" w:fill="0336FF"/>
          </w:tcPr>
          <w:p>
            <w:pPr>
              <w:jc w:val="right"/>
              <w:ind w:right="68"/>
              <w:spacing w:after="0"/>
              <w:rPr>
                <w:sz w:val="20"/>
                <w:szCs w:val="20"/>
                <w:color w:val="auto"/>
              </w:rPr>
            </w:pPr>
            <w:r>
              <w:rPr>
                <w:rFonts w:ascii="Arial" w:cs="Arial" w:eastAsia="Arial" w:hAnsi="Arial"/>
                <w:sz w:val="14"/>
                <w:szCs w:val="14"/>
                <w:b w:val="1"/>
                <w:bCs w:val="1"/>
                <w:color w:val="FFFFFF"/>
              </w:rPr>
              <w:t>All Other</w:t>
            </w:r>
          </w:p>
        </w:tc>
        <w:tc>
          <w:tcPr>
            <w:tcW w:w="126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6"/>
        </w:trPr>
        <w:tc>
          <w:tcPr>
            <w:tcW w:w="192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Name and Principal</w:t>
            </w:r>
          </w:p>
        </w:tc>
        <w:tc>
          <w:tcPr>
            <w:tcW w:w="780" w:type="dxa"/>
            <w:vAlign w:val="bottom"/>
            <w:vMerge w:val="restart"/>
            <w:shd w:val="clear" w:color="auto" w:fill="0336FF"/>
          </w:tcPr>
          <w:p>
            <w:pPr>
              <w:jc w:val="center"/>
              <w:spacing w:after="0"/>
              <w:rPr>
                <w:sz w:val="20"/>
                <w:szCs w:val="20"/>
                <w:color w:val="auto"/>
              </w:rPr>
            </w:pPr>
            <w:r>
              <w:rPr>
                <w:rFonts w:ascii="Arial" w:cs="Arial" w:eastAsia="Arial" w:hAnsi="Arial"/>
                <w:sz w:val="14"/>
                <w:szCs w:val="14"/>
                <w:b w:val="1"/>
                <w:bCs w:val="1"/>
                <w:color w:val="FFFFFF"/>
                <w:w w:val="93"/>
              </w:rPr>
              <w:t>Year</w:t>
            </w:r>
            <w:r>
              <w:rPr>
                <w:rFonts w:ascii="Arial" w:cs="Arial" w:eastAsia="Arial" w:hAnsi="Arial"/>
                <w:sz w:val="18"/>
                <w:szCs w:val="18"/>
                <w:b w:val="1"/>
                <w:bCs w:val="1"/>
                <w:color w:val="FFFFFF"/>
                <w:w w:val="93"/>
                <w:vertAlign w:val="superscript"/>
              </w:rPr>
              <w:t>(1)</w:t>
            </w:r>
          </w:p>
        </w:tc>
        <w:tc>
          <w:tcPr>
            <w:tcW w:w="1300" w:type="dxa"/>
            <w:vAlign w:val="bottom"/>
            <w:gridSpan w:val="2"/>
            <w:shd w:val="clear" w:color="auto" w:fill="0336FF"/>
          </w:tcPr>
          <w:p>
            <w:pPr>
              <w:jc w:val="right"/>
              <w:ind w:right="220"/>
              <w:spacing w:after="0"/>
              <w:rPr>
                <w:sz w:val="20"/>
                <w:szCs w:val="20"/>
                <w:color w:val="auto"/>
              </w:rPr>
            </w:pPr>
            <w:r>
              <w:rPr>
                <w:rFonts w:ascii="Arial" w:cs="Arial" w:eastAsia="Arial" w:hAnsi="Arial"/>
                <w:sz w:val="14"/>
                <w:szCs w:val="14"/>
                <w:b w:val="1"/>
                <w:bCs w:val="1"/>
                <w:color w:val="FFFFFF"/>
              </w:rPr>
              <w:t>Salary</w:t>
            </w:r>
          </w:p>
        </w:tc>
        <w:tc>
          <w:tcPr>
            <w:tcW w:w="820" w:type="dxa"/>
            <w:vAlign w:val="bottom"/>
            <w:shd w:val="clear" w:color="auto" w:fill="0336FF"/>
          </w:tcPr>
          <w:p>
            <w:pPr>
              <w:ind w:left="200"/>
              <w:spacing w:after="0"/>
              <w:rPr>
                <w:sz w:val="20"/>
                <w:szCs w:val="20"/>
                <w:color w:val="auto"/>
              </w:rPr>
            </w:pPr>
            <w:r>
              <w:rPr>
                <w:rFonts w:ascii="Arial" w:cs="Arial" w:eastAsia="Arial" w:hAnsi="Arial"/>
                <w:sz w:val="14"/>
                <w:szCs w:val="14"/>
                <w:b w:val="1"/>
                <w:bCs w:val="1"/>
                <w:color w:val="FFFFFF"/>
              </w:rPr>
              <w:t>Bonus</w:t>
            </w:r>
          </w:p>
        </w:tc>
        <w:tc>
          <w:tcPr>
            <w:tcW w:w="1340" w:type="dxa"/>
            <w:vAlign w:val="bottom"/>
            <w:shd w:val="clear" w:color="auto" w:fill="0336FF"/>
          </w:tcPr>
          <w:p>
            <w:pPr>
              <w:jc w:val="right"/>
              <w:ind w:right="130"/>
              <w:spacing w:after="0" w:line="176" w:lineRule="exact"/>
              <w:rPr>
                <w:sz w:val="20"/>
                <w:szCs w:val="20"/>
                <w:color w:val="auto"/>
              </w:rPr>
            </w:pPr>
            <w:r>
              <w:rPr>
                <w:rFonts w:ascii="Arial" w:cs="Arial" w:eastAsia="Arial" w:hAnsi="Arial"/>
                <w:sz w:val="20"/>
                <w:szCs w:val="20"/>
                <w:b w:val="1"/>
                <w:bCs w:val="1"/>
                <w:color w:val="FFFFFF"/>
                <w:vertAlign w:val="subscript"/>
              </w:rPr>
              <w:t>Awards</w:t>
            </w:r>
            <w:r>
              <w:rPr>
                <w:rFonts w:ascii="Arial" w:cs="Arial" w:eastAsia="Arial" w:hAnsi="Arial"/>
                <w:sz w:val="8"/>
                <w:szCs w:val="8"/>
                <w:b w:val="1"/>
                <w:bCs w:val="1"/>
                <w:color w:val="FFFFFF"/>
              </w:rPr>
              <w:t>(1)(2)(3)(4)</w:t>
            </w:r>
          </w:p>
        </w:tc>
        <w:tc>
          <w:tcPr>
            <w:tcW w:w="980" w:type="dxa"/>
            <w:vAlign w:val="bottom"/>
            <w:shd w:val="clear" w:color="auto" w:fill="0336FF"/>
          </w:tcPr>
          <w:p>
            <w:pPr>
              <w:jc w:val="right"/>
              <w:ind w:right="88"/>
              <w:spacing w:after="0" w:line="176"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(1)</w:t>
            </w:r>
          </w:p>
        </w:tc>
        <w:tc>
          <w:tcPr>
            <w:tcW w:w="1440" w:type="dxa"/>
            <w:vAlign w:val="bottom"/>
            <w:shd w:val="clear" w:color="auto" w:fill="0336FF"/>
          </w:tcPr>
          <w:p>
            <w:pPr>
              <w:jc w:val="right"/>
              <w:ind w:right="88"/>
              <w:spacing w:after="0"/>
              <w:rPr>
                <w:sz w:val="20"/>
                <w:szCs w:val="20"/>
                <w:color w:val="auto"/>
              </w:rPr>
            </w:pPr>
            <w:r>
              <w:rPr>
                <w:rFonts w:ascii="Arial" w:cs="Arial" w:eastAsia="Arial" w:hAnsi="Arial"/>
                <w:sz w:val="14"/>
                <w:szCs w:val="14"/>
                <w:b w:val="1"/>
                <w:bCs w:val="1"/>
                <w:color w:val="FFFFFF"/>
              </w:rPr>
              <w:t>Compensation</w:t>
            </w:r>
            <w:r>
              <w:rPr>
                <w:rFonts w:ascii="Arial" w:cs="Arial" w:eastAsia="Arial" w:hAnsi="Arial"/>
                <w:sz w:val="9"/>
                <w:szCs w:val="9"/>
                <w:b w:val="1"/>
                <w:bCs w:val="1"/>
                <w:color w:val="FFFFFF"/>
              </w:rPr>
              <w:t>(5)</w:t>
            </w:r>
          </w:p>
        </w:tc>
        <w:tc>
          <w:tcPr>
            <w:tcW w:w="1400" w:type="dxa"/>
            <w:vAlign w:val="bottom"/>
            <w:shd w:val="clear" w:color="auto" w:fill="0336FF"/>
          </w:tcPr>
          <w:p>
            <w:pPr>
              <w:jc w:val="right"/>
              <w:ind w:right="68"/>
              <w:spacing w:after="0" w:line="176"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8"/>
                <w:szCs w:val="18"/>
                <w:b w:val="1"/>
                <w:bCs w:val="1"/>
                <w:color w:val="FFFFFF"/>
                <w:vertAlign w:val="superscript"/>
              </w:rPr>
              <w:t>(6)</w:t>
            </w:r>
          </w:p>
        </w:tc>
        <w:tc>
          <w:tcPr>
            <w:tcW w:w="126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212"/>
        </w:trPr>
        <w:tc>
          <w:tcPr>
            <w:tcW w:w="192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Position</w:t>
            </w:r>
          </w:p>
        </w:tc>
        <w:tc>
          <w:tcPr>
            <w:tcW w:w="780" w:type="dxa"/>
            <w:vAlign w:val="bottom"/>
            <w:vMerge w:val="continue"/>
            <w:shd w:val="clear" w:color="auto" w:fill="0336FF"/>
          </w:tcPr>
          <w:p>
            <w:pPr>
              <w:spacing w:after="0"/>
              <w:rPr>
                <w:sz w:val="18"/>
                <w:szCs w:val="18"/>
                <w:color w:val="auto"/>
              </w:rPr>
            </w:pPr>
          </w:p>
        </w:tc>
        <w:tc>
          <w:tcPr>
            <w:tcW w:w="1300" w:type="dxa"/>
            <w:vAlign w:val="bottom"/>
            <w:gridSpan w:val="2"/>
            <w:shd w:val="clear" w:color="auto" w:fill="0336FF"/>
          </w:tcPr>
          <w:p>
            <w:pPr>
              <w:jc w:val="right"/>
              <w:ind w:right="220"/>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0336FF"/>
          </w:tcPr>
          <w:p>
            <w:pPr>
              <w:ind w:left="480"/>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0336FF"/>
          </w:tcPr>
          <w:p>
            <w:pPr>
              <w:jc w:val="right"/>
              <w:ind w:right="130"/>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0336FF"/>
          </w:tcPr>
          <w:p>
            <w:pPr>
              <w:jc w:val="right"/>
              <w:ind w:right="8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336FF"/>
          </w:tcPr>
          <w:p>
            <w:pPr>
              <w:jc w:val="right"/>
              <w:ind w:right="8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0336FF"/>
          </w:tcPr>
          <w:p>
            <w:pPr>
              <w:jc w:val="right"/>
              <w:ind w:right="68"/>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76"/>
        </w:trPr>
        <w:tc>
          <w:tcPr>
            <w:tcW w:w="1920" w:type="dxa"/>
            <w:vAlign w:val="bottom"/>
            <w:vMerge w:val="restart"/>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780" w:type="dxa"/>
            <w:vAlign w:val="bottom"/>
          </w:tcPr>
          <w:p>
            <w:pPr>
              <w:jc w:val="center"/>
              <w:spacing w:after="0"/>
              <w:rPr>
                <w:sz w:val="20"/>
                <w:szCs w:val="20"/>
                <w:color w:val="auto"/>
              </w:rPr>
            </w:pPr>
            <w:r>
              <w:rPr>
                <w:rFonts w:ascii="Arial" w:cs="Arial" w:eastAsia="Arial" w:hAnsi="Arial"/>
                <w:sz w:val="14"/>
                <w:szCs w:val="14"/>
                <w:color w:val="2D3243"/>
              </w:rPr>
              <w:t>2023</w:t>
            </w:r>
          </w:p>
        </w:tc>
        <w:tc>
          <w:tcPr>
            <w:tcW w:w="1080" w:type="dxa"/>
            <w:vAlign w:val="bottom"/>
          </w:tcPr>
          <w:p>
            <w:pPr>
              <w:jc w:val="right"/>
              <w:spacing w:after="0"/>
              <w:rPr>
                <w:sz w:val="20"/>
                <w:szCs w:val="20"/>
                <w:color w:val="auto"/>
              </w:rPr>
            </w:pPr>
            <w:r>
              <w:rPr>
                <w:rFonts w:ascii="Arial" w:cs="Arial" w:eastAsia="Arial" w:hAnsi="Arial"/>
                <w:sz w:val="14"/>
                <w:szCs w:val="14"/>
                <w:color w:val="2D3243"/>
              </w:rPr>
              <w:t>585,000</w:t>
            </w:r>
          </w:p>
        </w:tc>
        <w:tc>
          <w:tcPr>
            <w:tcW w:w="220" w:type="dxa"/>
            <w:vAlign w:val="bottom"/>
          </w:tcPr>
          <w:p>
            <w:pPr>
              <w:spacing w:after="0"/>
              <w:rPr>
                <w:sz w:val="23"/>
                <w:szCs w:val="23"/>
                <w:color w:val="auto"/>
              </w:rPr>
            </w:pPr>
          </w:p>
        </w:tc>
        <w:tc>
          <w:tcPr>
            <w:tcW w:w="820" w:type="dxa"/>
            <w:vAlign w:val="bottom"/>
          </w:tcPr>
          <w:p>
            <w:pPr>
              <w:ind w:left="460"/>
              <w:spacing w:after="0"/>
              <w:rPr>
                <w:sz w:val="20"/>
                <w:szCs w:val="20"/>
                <w:color w:val="auto"/>
              </w:rPr>
            </w:pPr>
            <w:r>
              <w:rPr>
                <w:rFonts w:ascii="Arial" w:cs="Arial" w:eastAsia="Arial" w:hAnsi="Arial"/>
                <w:sz w:val="14"/>
                <w:szCs w:val="14"/>
                <w:color w:val="2D3243"/>
              </w:rPr>
              <w:t>—</w:t>
            </w:r>
          </w:p>
        </w:tc>
        <w:tc>
          <w:tcPr>
            <w:tcW w:w="1340" w:type="dxa"/>
            <w:vAlign w:val="bottom"/>
          </w:tcPr>
          <w:p>
            <w:pPr>
              <w:jc w:val="right"/>
              <w:ind w:right="190"/>
              <w:spacing w:after="0"/>
              <w:rPr>
                <w:sz w:val="20"/>
                <w:szCs w:val="20"/>
                <w:color w:val="auto"/>
              </w:rPr>
            </w:pPr>
            <w:r>
              <w:rPr>
                <w:rFonts w:ascii="Arial" w:cs="Arial" w:eastAsia="Arial" w:hAnsi="Arial"/>
                <w:sz w:val="14"/>
                <w:szCs w:val="14"/>
                <w:color w:val="2D3243"/>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2D3243"/>
              </w:rPr>
              <w:t>—</w:t>
            </w:r>
          </w:p>
        </w:tc>
        <w:tc>
          <w:tcPr>
            <w:tcW w:w="1440" w:type="dxa"/>
            <w:vAlign w:val="bottom"/>
          </w:tcPr>
          <w:p>
            <w:pPr>
              <w:jc w:val="right"/>
              <w:ind w:right="128"/>
              <w:spacing w:after="0"/>
              <w:rPr>
                <w:sz w:val="20"/>
                <w:szCs w:val="20"/>
                <w:color w:val="auto"/>
              </w:rPr>
            </w:pPr>
            <w:r>
              <w:rPr>
                <w:rFonts w:ascii="Arial" w:cs="Arial" w:eastAsia="Arial" w:hAnsi="Arial"/>
                <w:sz w:val="14"/>
                <w:szCs w:val="14"/>
                <w:color w:val="2D3243"/>
              </w:rPr>
              <w:t>610,211</w:t>
            </w:r>
          </w:p>
        </w:tc>
        <w:tc>
          <w:tcPr>
            <w:tcW w:w="1400" w:type="dxa"/>
            <w:vAlign w:val="bottom"/>
          </w:tcPr>
          <w:p>
            <w:pPr>
              <w:jc w:val="right"/>
              <w:ind w:right="128"/>
              <w:spacing w:after="0"/>
              <w:rPr>
                <w:sz w:val="20"/>
                <w:szCs w:val="20"/>
                <w:color w:val="auto"/>
              </w:rPr>
            </w:pPr>
            <w:r>
              <w:rPr>
                <w:rFonts w:ascii="Arial" w:cs="Arial" w:eastAsia="Arial" w:hAnsi="Arial"/>
                <w:sz w:val="14"/>
                <w:szCs w:val="14"/>
                <w:color w:val="2D3243"/>
              </w:rPr>
              <w:t>—</w:t>
            </w:r>
          </w:p>
        </w:tc>
        <w:tc>
          <w:tcPr>
            <w:tcW w:w="1260" w:type="dxa"/>
            <w:vAlign w:val="bottom"/>
          </w:tcPr>
          <w:p>
            <w:pPr>
              <w:jc w:val="right"/>
              <w:ind w:right="88"/>
              <w:spacing w:after="0"/>
              <w:rPr>
                <w:sz w:val="20"/>
                <w:szCs w:val="20"/>
                <w:color w:val="auto"/>
              </w:rPr>
            </w:pPr>
            <w:r>
              <w:rPr>
                <w:rFonts w:ascii="Arial" w:cs="Arial" w:eastAsia="Arial" w:hAnsi="Arial"/>
                <w:sz w:val="14"/>
                <w:szCs w:val="14"/>
                <w:color w:val="2D3243"/>
              </w:rPr>
              <w:t>1,195,211</w:t>
            </w:r>
          </w:p>
        </w:tc>
        <w:tc>
          <w:tcPr>
            <w:tcW w:w="0" w:type="dxa"/>
            <w:vAlign w:val="bottom"/>
          </w:tcPr>
          <w:p>
            <w:pPr>
              <w:spacing w:after="0"/>
              <w:rPr>
                <w:sz w:val="1"/>
                <w:szCs w:val="1"/>
                <w:color w:val="auto"/>
              </w:rPr>
            </w:pPr>
          </w:p>
        </w:tc>
      </w:tr>
      <w:tr>
        <w:trPr>
          <w:trHeight w:val="73"/>
        </w:trPr>
        <w:tc>
          <w:tcPr>
            <w:tcW w:w="19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100"/>
              <w:spacing w:after="0"/>
              <w:rPr>
                <w:sz w:val="20"/>
                <w:szCs w:val="20"/>
                <w:color w:val="auto"/>
              </w:rPr>
            </w:pPr>
            <w:r>
              <w:rPr>
                <w:rFonts w:ascii="Arial" w:cs="Arial" w:eastAsia="Arial" w:hAnsi="Arial"/>
                <w:sz w:val="14"/>
                <w:szCs w:val="14"/>
                <w:color w:val="2D3243"/>
              </w:rPr>
              <w:t>Chief Executive Officer</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2D3243"/>
              </w:rPr>
              <w:t>2022</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2D3243"/>
              </w:rPr>
              <w:t>55,398</w:t>
            </w:r>
          </w:p>
        </w:tc>
        <w:tc>
          <w:tcPr>
            <w:tcW w:w="220" w:type="dxa"/>
            <w:vAlign w:val="bottom"/>
          </w:tcPr>
          <w:p>
            <w:pPr>
              <w:spacing w:after="0"/>
              <w:rPr>
                <w:sz w:val="19"/>
                <w:szCs w:val="19"/>
                <w:color w:val="auto"/>
              </w:rPr>
            </w:pPr>
          </w:p>
        </w:tc>
        <w:tc>
          <w:tcPr>
            <w:tcW w:w="820" w:type="dxa"/>
            <w:vAlign w:val="bottom"/>
            <w:vMerge w:val="restart"/>
          </w:tcPr>
          <w:p>
            <w:pPr>
              <w:ind w:left="460"/>
              <w:spacing w:after="0"/>
              <w:rPr>
                <w:sz w:val="20"/>
                <w:szCs w:val="20"/>
                <w:color w:val="auto"/>
              </w:rPr>
            </w:pPr>
            <w:r>
              <w:rPr>
                <w:rFonts w:ascii="Arial" w:cs="Arial" w:eastAsia="Arial" w:hAnsi="Arial"/>
                <w:sz w:val="14"/>
                <w:szCs w:val="14"/>
                <w:color w:val="2D3243"/>
              </w:rPr>
              <w:t>—</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2D3243"/>
              </w:rPr>
              <w:t>38,025,826</w:t>
            </w: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2D3243"/>
              </w:rPr>
              <w:t>—</w:t>
            </w:r>
          </w:p>
        </w:tc>
        <w:tc>
          <w:tcPr>
            <w:tcW w:w="1440" w:type="dxa"/>
            <w:vAlign w:val="bottom"/>
            <w:vMerge w:val="restart"/>
          </w:tcPr>
          <w:p>
            <w:pPr>
              <w:jc w:val="right"/>
              <w:ind w:right="128"/>
              <w:spacing w:after="0"/>
              <w:rPr>
                <w:sz w:val="20"/>
                <w:szCs w:val="20"/>
                <w:color w:val="auto"/>
              </w:rPr>
            </w:pPr>
            <w:r>
              <w:rPr>
                <w:rFonts w:ascii="Arial" w:cs="Arial" w:eastAsia="Arial" w:hAnsi="Arial"/>
                <w:sz w:val="14"/>
                <w:szCs w:val="14"/>
                <w:color w:val="2D3243"/>
              </w:rPr>
              <w:t>13,732</w:t>
            </w:r>
          </w:p>
        </w:tc>
        <w:tc>
          <w:tcPr>
            <w:tcW w:w="1400" w:type="dxa"/>
            <w:vAlign w:val="bottom"/>
            <w:vMerge w:val="restart"/>
          </w:tcPr>
          <w:p>
            <w:pPr>
              <w:jc w:val="right"/>
              <w:ind w:right="128"/>
              <w:spacing w:after="0"/>
              <w:rPr>
                <w:sz w:val="20"/>
                <w:szCs w:val="20"/>
                <w:color w:val="auto"/>
              </w:rPr>
            </w:pPr>
            <w:r>
              <w:rPr>
                <w:rFonts w:ascii="Arial" w:cs="Arial" w:eastAsia="Arial" w:hAnsi="Arial"/>
                <w:sz w:val="14"/>
                <w:szCs w:val="14"/>
                <w:color w:val="2D3243"/>
              </w:rPr>
              <w:t>130,829</w:t>
            </w: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2D3243"/>
              </w:rPr>
              <w:t>38,225,785</w:t>
            </w: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1920" w:type="dxa"/>
            <w:vAlign w:val="bottom"/>
            <w:shd w:val="clear" w:color="auto" w:fill="F0F1F2"/>
          </w:tcPr>
          <w:p>
            <w:pPr>
              <w:spacing w:after="0"/>
              <w:rPr>
                <w:sz w:val="23"/>
                <w:szCs w:val="23"/>
                <w:color w:val="auto"/>
              </w:rPr>
            </w:pPr>
          </w:p>
        </w:tc>
        <w:tc>
          <w:tcPr>
            <w:tcW w:w="78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2023</w:t>
            </w:r>
          </w:p>
        </w:tc>
        <w:tc>
          <w:tcPr>
            <w:tcW w:w="10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430,000</w:t>
            </w:r>
          </w:p>
        </w:tc>
        <w:tc>
          <w:tcPr>
            <w:tcW w:w="220" w:type="dxa"/>
            <w:vAlign w:val="bottom"/>
            <w:shd w:val="clear" w:color="auto" w:fill="F0F1F2"/>
          </w:tcPr>
          <w:p>
            <w:pPr>
              <w:spacing w:after="0"/>
              <w:rPr>
                <w:sz w:val="23"/>
                <w:szCs w:val="23"/>
                <w:color w:val="auto"/>
              </w:rPr>
            </w:pPr>
          </w:p>
        </w:tc>
        <w:tc>
          <w:tcPr>
            <w:tcW w:w="820" w:type="dxa"/>
            <w:vAlign w:val="bottom"/>
            <w:shd w:val="clear" w:color="auto" w:fill="F0F1F2"/>
          </w:tcPr>
          <w:p>
            <w:pPr>
              <w:ind w:left="460"/>
              <w:spacing w:after="0"/>
              <w:rPr>
                <w:sz w:val="20"/>
                <w:szCs w:val="20"/>
                <w:color w:val="auto"/>
              </w:rPr>
            </w:pPr>
            <w:r>
              <w:rPr>
                <w:rFonts w:ascii="Arial" w:cs="Arial" w:eastAsia="Arial" w:hAnsi="Arial"/>
                <w:sz w:val="14"/>
                <w:szCs w:val="14"/>
                <w:color w:val="2D3243"/>
              </w:rPr>
              <w:t>—</w:t>
            </w:r>
          </w:p>
        </w:tc>
        <w:tc>
          <w:tcPr>
            <w:tcW w:w="1340" w:type="dxa"/>
            <w:vAlign w:val="bottom"/>
            <w:shd w:val="clear" w:color="auto" w:fill="F0F1F2"/>
          </w:tcPr>
          <w:p>
            <w:pPr>
              <w:jc w:val="right"/>
              <w:ind w:right="190"/>
              <w:spacing w:after="0"/>
              <w:rPr>
                <w:sz w:val="20"/>
                <w:szCs w:val="20"/>
                <w:color w:val="auto"/>
              </w:rPr>
            </w:pPr>
            <w:r>
              <w:rPr>
                <w:rFonts w:ascii="Arial" w:cs="Arial" w:eastAsia="Arial" w:hAnsi="Arial"/>
                <w:sz w:val="14"/>
                <w:szCs w:val="14"/>
                <w:color w:val="2D3243"/>
              </w:rPr>
              <w:t>3,112,956</w:t>
            </w:r>
          </w:p>
        </w:tc>
        <w:tc>
          <w:tcPr>
            <w:tcW w:w="98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w:t>
            </w:r>
          </w:p>
        </w:tc>
        <w:tc>
          <w:tcPr>
            <w:tcW w:w="144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332,329</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519</w:t>
            </w:r>
          </w:p>
        </w:tc>
        <w:tc>
          <w:tcPr>
            <w:tcW w:w="126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3,875,804</w:t>
            </w:r>
          </w:p>
        </w:tc>
        <w:tc>
          <w:tcPr>
            <w:tcW w:w="0" w:type="dxa"/>
            <w:vAlign w:val="bottom"/>
          </w:tcPr>
          <w:p>
            <w:pPr>
              <w:spacing w:after="0"/>
              <w:rPr>
                <w:sz w:val="1"/>
                <w:szCs w:val="1"/>
                <w:color w:val="auto"/>
              </w:rPr>
            </w:pPr>
          </w:p>
        </w:tc>
      </w:tr>
      <w:tr>
        <w:trPr>
          <w:trHeight w:val="249"/>
        </w:trPr>
        <w:tc>
          <w:tcPr>
            <w:tcW w:w="19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780" w:type="dxa"/>
            <w:vAlign w:val="bottom"/>
            <w:vMerge w:val="restart"/>
            <w:shd w:val="clear" w:color="auto" w:fill="F0F1F2"/>
          </w:tcPr>
          <w:p>
            <w:pPr>
              <w:jc w:val="center"/>
              <w:spacing w:after="0"/>
              <w:rPr>
                <w:sz w:val="20"/>
                <w:szCs w:val="20"/>
                <w:color w:val="auto"/>
              </w:rPr>
            </w:pPr>
            <w:r>
              <w:rPr>
                <w:rFonts w:ascii="Arial" w:cs="Arial" w:eastAsia="Arial" w:hAnsi="Arial"/>
                <w:sz w:val="14"/>
                <w:szCs w:val="14"/>
                <w:color w:val="2D3243"/>
              </w:rPr>
              <w:t>2022</w:t>
            </w:r>
          </w:p>
        </w:tc>
        <w:tc>
          <w:tcPr>
            <w:tcW w:w="1080" w:type="dxa"/>
            <w:vAlign w:val="bottom"/>
            <w:vMerge w:val="restart"/>
            <w:shd w:val="clear" w:color="auto" w:fill="F0F1F2"/>
          </w:tcPr>
          <w:p>
            <w:pPr>
              <w:jc w:val="right"/>
              <w:spacing w:after="0"/>
              <w:rPr>
                <w:sz w:val="20"/>
                <w:szCs w:val="20"/>
                <w:color w:val="auto"/>
              </w:rPr>
            </w:pPr>
            <w:r>
              <w:rPr>
                <w:rFonts w:ascii="Arial" w:cs="Arial" w:eastAsia="Arial" w:hAnsi="Arial"/>
                <w:sz w:val="14"/>
                <w:szCs w:val="14"/>
                <w:color w:val="2D3243"/>
              </w:rPr>
              <w:t>423,000</w:t>
            </w:r>
          </w:p>
        </w:tc>
        <w:tc>
          <w:tcPr>
            <w:tcW w:w="220" w:type="dxa"/>
            <w:vAlign w:val="bottom"/>
            <w:shd w:val="clear" w:color="auto" w:fill="F0F1F2"/>
          </w:tcPr>
          <w:p>
            <w:pPr>
              <w:spacing w:after="0"/>
              <w:rPr>
                <w:sz w:val="21"/>
                <w:szCs w:val="21"/>
                <w:color w:val="auto"/>
              </w:rPr>
            </w:pPr>
          </w:p>
        </w:tc>
        <w:tc>
          <w:tcPr>
            <w:tcW w:w="820" w:type="dxa"/>
            <w:vAlign w:val="bottom"/>
            <w:vMerge w:val="restart"/>
            <w:shd w:val="clear" w:color="auto" w:fill="F0F1F2"/>
          </w:tcPr>
          <w:p>
            <w:pPr>
              <w:ind w:left="460"/>
              <w:spacing w:after="0"/>
              <w:rPr>
                <w:sz w:val="20"/>
                <w:szCs w:val="20"/>
                <w:color w:val="auto"/>
              </w:rPr>
            </w:pPr>
            <w:r>
              <w:rPr>
                <w:rFonts w:ascii="Arial" w:cs="Arial" w:eastAsia="Arial" w:hAnsi="Arial"/>
                <w:sz w:val="14"/>
                <w:szCs w:val="14"/>
                <w:color w:val="2D3243"/>
              </w:rPr>
              <w:t>—</w:t>
            </w:r>
          </w:p>
        </w:tc>
        <w:tc>
          <w:tcPr>
            <w:tcW w:w="1340" w:type="dxa"/>
            <w:vAlign w:val="bottom"/>
            <w:vMerge w:val="restart"/>
            <w:shd w:val="clear" w:color="auto" w:fill="F0F1F2"/>
          </w:tcPr>
          <w:p>
            <w:pPr>
              <w:jc w:val="right"/>
              <w:ind w:right="190"/>
              <w:spacing w:after="0"/>
              <w:rPr>
                <w:sz w:val="20"/>
                <w:szCs w:val="20"/>
                <w:color w:val="auto"/>
              </w:rPr>
            </w:pPr>
            <w:r>
              <w:rPr>
                <w:rFonts w:ascii="Arial" w:cs="Arial" w:eastAsia="Arial" w:hAnsi="Arial"/>
                <w:sz w:val="14"/>
                <w:szCs w:val="14"/>
                <w:color w:val="2D3243"/>
              </w:rPr>
              <w:t>5,444,918</w:t>
            </w:r>
          </w:p>
        </w:tc>
        <w:tc>
          <w:tcPr>
            <w:tcW w:w="980" w:type="dxa"/>
            <w:vAlign w:val="bottom"/>
            <w:vMerge w:val="restart"/>
            <w:shd w:val="clear" w:color="auto" w:fill="F0F1F2"/>
          </w:tcPr>
          <w:p>
            <w:pPr>
              <w:jc w:val="right"/>
              <w:ind w:right="128"/>
              <w:spacing w:after="0"/>
              <w:rPr>
                <w:sz w:val="20"/>
                <w:szCs w:val="20"/>
                <w:color w:val="auto"/>
              </w:rPr>
            </w:pPr>
            <w:r>
              <w:rPr>
                <w:rFonts w:ascii="Arial" w:cs="Arial" w:eastAsia="Arial" w:hAnsi="Arial"/>
                <w:sz w:val="14"/>
                <w:szCs w:val="14"/>
                <w:color w:val="2D3243"/>
              </w:rPr>
              <w:t>—</w:t>
            </w:r>
          </w:p>
        </w:tc>
        <w:tc>
          <w:tcPr>
            <w:tcW w:w="1440" w:type="dxa"/>
            <w:vAlign w:val="bottom"/>
            <w:vMerge w:val="restart"/>
            <w:shd w:val="clear" w:color="auto" w:fill="F0F1F2"/>
          </w:tcPr>
          <w:p>
            <w:pPr>
              <w:jc w:val="right"/>
              <w:ind w:right="128"/>
              <w:spacing w:after="0"/>
              <w:rPr>
                <w:sz w:val="20"/>
                <w:szCs w:val="20"/>
                <w:color w:val="auto"/>
              </w:rPr>
            </w:pPr>
            <w:r>
              <w:rPr>
                <w:rFonts w:ascii="Arial" w:cs="Arial" w:eastAsia="Arial" w:hAnsi="Arial"/>
                <w:sz w:val="14"/>
                <w:szCs w:val="14"/>
                <w:color w:val="2D3243"/>
              </w:rPr>
              <w:t>279,892</w:t>
            </w:r>
          </w:p>
        </w:tc>
        <w:tc>
          <w:tcPr>
            <w:tcW w:w="1400" w:type="dxa"/>
            <w:vAlign w:val="bottom"/>
            <w:vMerge w:val="restart"/>
            <w:shd w:val="clear" w:color="auto" w:fill="F0F1F2"/>
          </w:tcPr>
          <w:p>
            <w:pPr>
              <w:jc w:val="right"/>
              <w:ind w:right="128"/>
              <w:spacing w:after="0"/>
              <w:rPr>
                <w:sz w:val="20"/>
                <w:szCs w:val="20"/>
                <w:color w:val="auto"/>
              </w:rPr>
            </w:pPr>
            <w:r>
              <w:rPr>
                <w:rFonts w:ascii="Arial" w:cs="Arial" w:eastAsia="Arial" w:hAnsi="Arial"/>
                <w:sz w:val="14"/>
                <w:szCs w:val="14"/>
                <w:color w:val="2D3243"/>
              </w:rPr>
              <w:t>530</w:t>
            </w:r>
          </w:p>
        </w:tc>
        <w:tc>
          <w:tcPr>
            <w:tcW w:w="1260" w:type="dxa"/>
            <w:vAlign w:val="bottom"/>
            <w:vMerge w:val="restart"/>
            <w:shd w:val="clear" w:color="auto" w:fill="F0F1F2"/>
          </w:tcPr>
          <w:p>
            <w:pPr>
              <w:jc w:val="right"/>
              <w:ind w:right="88"/>
              <w:spacing w:after="0"/>
              <w:rPr>
                <w:sz w:val="20"/>
                <w:szCs w:val="20"/>
                <w:color w:val="auto"/>
              </w:rPr>
            </w:pPr>
            <w:r>
              <w:rPr>
                <w:rFonts w:ascii="Arial" w:cs="Arial" w:eastAsia="Arial" w:hAnsi="Arial"/>
                <w:sz w:val="14"/>
                <w:szCs w:val="14"/>
                <w:color w:val="2D3243"/>
              </w:rPr>
              <w:t>6,148,340</w:t>
            </w:r>
          </w:p>
        </w:tc>
        <w:tc>
          <w:tcPr>
            <w:tcW w:w="0" w:type="dxa"/>
            <w:vAlign w:val="bottom"/>
          </w:tcPr>
          <w:p>
            <w:pPr>
              <w:spacing w:after="0"/>
              <w:rPr>
                <w:sz w:val="1"/>
                <w:szCs w:val="1"/>
                <w:color w:val="auto"/>
              </w:rPr>
            </w:pPr>
          </w:p>
        </w:tc>
      </w:tr>
      <w:tr>
        <w:trPr>
          <w:trHeight w:val="116"/>
        </w:trPr>
        <w:tc>
          <w:tcPr>
            <w:tcW w:w="1920" w:type="dxa"/>
            <w:vAlign w:val="bottom"/>
            <w:vMerge w:val="restart"/>
            <w:shd w:val="clear" w:color="auto" w:fill="F0F1F2"/>
          </w:tcPr>
          <w:p>
            <w:pPr>
              <w:ind w:left="100"/>
              <w:spacing w:after="0"/>
              <w:rPr>
                <w:sz w:val="20"/>
                <w:szCs w:val="20"/>
                <w:color w:val="auto"/>
              </w:rPr>
            </w:pPr>
            <w:r>
              <w:rPr>
                <w:rFonts w:ascii="Arial" w:cs="Arial" w:eastAsia="Arial" w:hAnsi="Arial"/>
                <w:sz w:val="14"/>
                <w:szCs w:val="14"/>
                <w:color w:val="2D3243"/>
              </w:rPr>
              <w:t>Chief Financial Officer</w:t>
            </w:r>
          </w:p>
        </w:tc>
        <w:tc>
          <w:tcPr>
            <w:tcW w:w="780" w:type="dxa"/>
            <w:vAlign w:val="bottom"/>
            <w:vMerge w:val="continue"/>
            <w:shd w:val="clear" w:color="auto" w:fill="F0F1F2"/>
          </w:tcPr>
          <w:p>
            <w:pPr>
              <w:spacing w:after="0"/>
              <w:rPr>
                <w:sz w:val="10"/>
                <w:szCs w:val="10"/>
                <w:color w:val="auto"/>
              </w:rPr>
            </w:pPr>
          </w:p>
        </w:tc>
        <w:tc>
          <w:tcPr>
            <w:tcW w:w="1080" w:type="dxa"/>
            <w:vAlign w:val="bottom"/>
            <w:vMerge w:val="continue"/>
            <w:shd w:val="clear" w:color="auto" w:fill="F0F1F2"/>
          </w:tcPr>
          <w:p>
            <w:pPr>
              <w:spacing w:after="0"/>
              <w:rPr>
                <w:sz w:val="10"/>
                <w:szCs w:val="10"/>
                <w:color w:val="auto"/>
              </w:rPr>
            </w:pPr>
          </w:p>
        </w:tc>
        <w:tc>
          <w:tcPr>
            <w:tcW w:w="220" w:type="dxa"/>
            <w:vAlign w:val="bottom"/>
            <w:shd w:val="clear" w:color="auto" w:fill="F0F1F2"/>
          </w:tcPr>
          <w:p>
            <w:pPr>
              <w:spacing w:after="0"/>
              <w:rPr>
                <w:sz w:val="10"/>
                <w:szCs w:val="10"/>
                <w:color w:val="auto"/>
              </w:rPr>
            </w:pPr>
          </w:p>
        </w:tc>
        <w:tc>
          <w:tcPr>
            <w:tcW w:w="820" w:type="dxa"/>
            <w:vAlign w:val="bottom"/>
            <w:vMerge w:val="continue"/>
            <w:shd w:val="clear" w:color="auto" w:fill="F0F1F2"/>
          </w:tcPr>
          <w:p>
            <w:pPr>
              <w:spacing w:after="0"/>
              <w:rPr>
                <w:sz w:val="10"/>
                <w:szCs w:val="10"/>
                <w:color w:val="auto"/>
              </w:rPr>
            </w:pPr>
          </w:p>
        </w:tc>
        <w:tc>
          <w:tcPr>
            <w:tcW w:w="1340" w:type="dxa"/>
            <w:vAlign w:val="bottom"/>
            <w:vMerge w:val="continue"/>
            <w:shd w:val="clear" w:color="auto" w:fill="F0F1F2"/>
          </w:tcPr>
          <w:p>
            <w:pPr>
              <w:spacing w:after="0"/>
              <w:rPr>
                <w:sz w:val="10"/>
                <w:szCs w:val="10"/>
                <w:color w:val="auto"/>
              </w:rPr>
            </w:pPr>
          </w:p>
        </w:tc>
        <w:tc>
          <w:tcPr>
            <w:tcW w:w="980" w:type="dxa"/>
            <w:vAlign w:val="bottom"/>
            <w:vMerge w:val="continue"/>
            <w:shd w:val="clear" w:color="auto" w:fill="F0F1F2"/>
          </w:tcPr>
          <w:p>
            <w:pPr>
              <w:spacing w:after="0"/>
              <w:rPr>
                <w:sz w:val="10"/>
                <w:szCs w:val="10"/>
                <w:color w:val="auto"/>
              </w:rPr>
            </w:pPr>
          </w:p>
        </w:tc>
        <w:tc>
          <w:tcPr>
            <w:tcW w:w="1440" w:type="dxa"/>
            <w:vAlign w:val="bottom"/>
            <w:vMerge w:val="continue"/>
            <w:shd w:val="clear" w:color="auto" w:fill="F0F1F2"/>
          </w:tcPr>
          <w:p>
            <w:pPr>
              <w:spacing w:after="0"/>
              <w:rPr>
                <w:sz w:val="10"/>
                <w:szCs w:val="10"/>
                <w:color w:val="auto"/>
              </w:rPr>
            </w:pPr>
          </w:p>
        </w:tc>
        <w:tc>
          <w:tcPr>
            <w:tcW w:w="1400" w:type="dxa"/>
            <w:vAlign w:val="bottom"/>
            <w:vMerge w:val="continue"/>
            <w:shd w:val="clear" w:color="auto" w:fill="F0F1F2"/>
          </w:tcPr>
          <w:p>
            <w:pPr>
              <w:spacing w:after="0"/>
              <w:rPr>
                <w:sz w:val="10"/>
                <w:szCs w:val="10"/>
                <w:color w:val="auto"/>
              </w:rPr>
            </w:pPr>
          </w:p>
        </w:tc>
        <w:tc>
          <w:tcPr>
            <w:tcW w:w="1260" w:type="dxa"/>
            <w:vAlign w:val="bottom"/>
            <w:vMerge w:val="continue"/>
            <w:shd w:val="clear" w:color="auto" w:fill="F0F1F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920" w:type="dxa"/>
            <w:vAlign w:val="bottom"/>
            <w:vMerge w:val="continue"/>
            <w:shd w:val="clear" w:color="auto" w:fill="F0F1F2"/>
          </w:tcPr>
          <w:p>
            <w:pPr>
              <w:spacing w:after="0"/>
              <w:rPr>
                <w:sz w:val="7"/>
                <w:szCs w:val="7"/>
                <w:color w:val="auto"/>
              </w:rPr>
            </w:pPr>
          </w:p>
        </w:tc>
        <w:tc>
          <w:tcPr>
            <w:tcW w:w="780" w:type="dxa"/>
            <w:vAlign w:val="bottom"/>
            <w:shd w:val="clear" w:color="auto" w:fill="F0F1F2"/>
          </w:tcPr>
          <w:p>
            <w:pPr>
              <w:spacing w:after="0"/>
              <w:rPr>
                <w:sz w:val="7"/>
                <w:szCs w:val="7"/>
                <w:color w:val="auto"/>
              </w:rPr>
            </w:pPr>
          </w:p>
        </w:tc>
        <w:tc>
          <w:tcPr>
            <w:tcW w:w="1080" w:type="dxa"/>
            <w:vAlign w:val="bottom"/>
            <w:shd w:val="clear" w:color="auto" w:fill="F0F1F2"/>
          </w:tcPr>
          <w:p>
            <w:pPr>
              <w:spacing w:after="0"/>
              <w:rPr>
                <w:sz w:val="7"/>
                <w:szCs w:val="7"/>
                <w:color w:val="auto"/>
              </w:rPr>
            </w:pPr>
          </w:p>
        </w:tc>
        <w:tc>
          <w:tcPr>
            <w:tcW w:w="220" w:type="dxa"/>
            <w:vAlign w:val="bottom"/>
            <w:shd w:val="clear" w:color="auto" w:fill="F0F1F2"/>
          </w:tcPr>
          <w:p>
            <w:pPr>
              <w:spacing w:after="0"/>
              <w:rPr>
                <w:sz w:val="7"/>
                <w:szCs w:val="7"/>
                <w:color w:val="auto"/>
              </w:rPr>
            </w:pPr>
          </w:p>
        </w:tc>
        <w:tc>
          <w:tcPr>
            <w:tcW w:w="820" w:type="dxa"/>
            <w:vAlign w:val="bottom"/>
            <w:shd w:val="clear" w:color="auto" w:fill="F0F1F2"/>
          </w:tcPr>
          <w:p>
            <w:pPr>
              <w:spacing w:after="0"/>
              <w:rPr>
                <w:sz w:val="7"/>
                <w:szCs w:val="7"/>
                <w:color w:val="auto"/>
              </w:rPr>
            </w:pPr>
          </w:p>
        </w:tc>
        <w:tc>
          <w:tcPr>
            <w:tcW w:w="1340" w:type="dxa"/>
            <w:vAlign w:val="bottom"/>
            <w:shd w:val="clear" w:color="auto" w:fill="F0F1F2"/>
          </w:tcPr>
          <w:p>
            <w:pPr>
              <w:spacing w:after="0"/>
              <w:rPr>
                <w:sz w:val="7"/>
                <w:szCs w:val="7"/>
                <w:color w:val="auto"/>
              </w:rPr>
            </w:pPr>
          </w:p>
        </w:tc>
        <w:tc>
          <w:tcPr>
            <w:tcW w:w="980" w:type="dxa"/>
            <w:vAlign w:val="bottom"/>
            <w:shd w:val="clear" w:color="auto" w:fill="F0F1F2"/>
          </w:tcPr>
          <w:p>
            <w:pPr>
              <w:spacing w:after="0"/>
              <w:rPr>
                <w:sz w:val="7"/>
                <w:szCs w:val="7"/>
                <w:color w:val="auto"/>
              </w:rPr>
            </w:pPr>
          </w:p>
        </w:tc>
        <w:tc>
          <w:tcPr>
            <w:tcW w:w="1440" w:type="dxa"/>
            <w:vAlign w:val="bottom"/>
            <w:shd w:val="clear" w:color="auto" w:fill="F0F1F2"/>
          </w:tcPr>
          <w:p>
            <w:pPr>
              <w:spacing w:after="0"/>
              <w:rPr>
                <w:sz w:val="7"/>
                <w:szCs w:val="7"/>
                <w:color w:val="auto"/>
              </w:rPr>
            </w:pPr>
          </w:p>
        </w:tc>
        <w:tc>
          <w:tcPr>
            <w:tcW w:w="1400" w:type="dxa"/>
            <w:vAlign w:val="bottom"/>
            <w:shd w:val="clear" w:color="auto" w:fill="F0F1F2"/>
          </w:tcPr>
          <w:p>
            <w:pPr>
              <w:spacing w:after="0"/>
              <w:rPr>
                <w:sz w:val="7"/>
                <w:szCs w:val="7"/>
                <w:color w:val="auto"/>
              </w:rPr>
            </w:pPr>
          </w:p>
        </w:tc>
        <w:tc>
          <w:tcPr>
            <w:tcW w:w="1260" w:type="dxa"/>
            <w:vAlign w:val="bottom"/>
            <w:shd w:val="clear" w:color="auto" w:fill="F0F1F2"/>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920" w:type="dxa"/>
            <w:vAlign w:val="bottom"/>
            <w:shd w:val="clear" w:color="auto" w:fill="F0F1F2"/>
          </w:tcPr>
          <w:p>
            <w:pPr>
              <w:spacing w:after="0"/>
              <w:rPr>
                <w:sz w:val="23"/>
                <w:szCs w:val="23"/>
                <w:color w:val="auto"/>
              </w:rPr>
            </w:pPr>
          </w:p>
        </w:tc>
        <w:tc>
          <w:tcPr>
            <w:tcW w:w="78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2021</w:t>
            </w:r>
          </w:p>
        </w:tc>
        <w:tc>
          <w:tcPr>
            <w:tcW w:w="10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400,000</w:t>
            </w:r>
          </w:p>
        </w:tc>
        <w:tc>
          <w:tcPr>
            <w:tcW w:w="220" w:type="dxa"/>
            <w:vAlign w:val="bottom"/>
            <w:shd w:val="clear" w:color="auto" w:fill="F0F1F2"/>
          </w:tcPr>
          <w:p>
            <w:pPr>
              <w:spacing w:after="0"/>
              <w:rPr>
                <w:sz w:val="23"/>
                <w:szCs w:val="23"/>
                <w:color w:val="auto"/>
              </w:rPr>
            </w:pPr>
          </w:p>
        </w:tc>
        <w:tc>
          <w:tcPr>
            <w:tcW w:w="820" w:type="dxa"/>
            <w:vAlign w:val="bottom"/>
            <w:shd w:val="clear" w:color="auto" w:fill="F0F1F2"/>
          </w:tcPr>
          <w:p>
            <w:pPr>
              <w:ind w:left="460"/>
              <w:spacing w:after="0"/>
              <w:rPr>
                <w:sz w:val="20"/>
                <w:szCs w:val="20"/>
                <w:color w:val="auto"/>
              </w:rPr>
            </w:pPr>
            <w:r>
              <w:rPr>
                <w:rFonts w:ascii="Arial" w:cs="Arial" w:eastAsia="Arial" w:hAnsi="Arial"/>
                <w:sz w:val="14"/>
                <w:szCs w:val="14"/>
                <w:color w:val="2D3243"/>
              </w:rPr>
              <w:t>—</w:t>
            </w:r>
          </w:p>
        </w:tc>
        <w:tc>
          <w:tcPr>
            <w:tcW w:w="1340" w:type="dxa"/>
            <w:vAlign w:val="bottom"/>
            <w:shd w:val="clear" w:color="auto" w:fill="F0F1F2"/>
          </w:tcPr>
          <w:p>
            <w:pPr>
              <w:jc w:val="right"/>
              <w:ind w:right="190"/>
              <w:spacing w:after="0"/>
              <w:rPr>
                <w:sz w:val="20"/>
                <w:szCs w:val="20"/>
                <w:color w:val="auto"/>
              </w:rPr>
            </w:pPr>
            <w:r>
              <w:rPr>
                <w:rFonts w:ascii="Arial" w:cs="Arial" w:eastAsia="Arial" w:hAnsi="Arial"/>
                <w:sz w:val="14"/>
                <w:szCs w:val="14"/>
                <w:color w:val="2D3243"/>
              </w:rPr>
              <w:t>3,438,888</w:t>
            </w:r>
          </w:p>
        </w:tc>
        <w:tc>
          <w:tcPr>
            <w:tcW w:w="98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939,502</w:t>
            </w:r>
          </w:p>
        </w:tc>
        <w:tc>
          <w:tcPr>
            <w:tcW w:w="144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340,382</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530</w:t>
            </w:r>
          </w:p>
        </w:tc>
        <w:tc>
          <w:tcPr>
            <w:tcW w:w="126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5,119,302</w:t>
            </w:r>
          </w:p>
        </w:tc>
        <w:tc>
          <w:tcPr>
            <w:tcW w:w="0" w:type="dxa"/>
            <w:vAlign w:val="bottom"/>
          </w:tcPr>
          <w:p>
            <w:pPr>
              <w:spacing w:after="0"/>
              <w:rPr>
                <w:sz w:val="1"/>
                <w:szCs w:val="1"/>
                <w:color w:val="auto"/>
              </w:rPr>
            </w:pPr>
          </w:p>
        </w:tc>
      </w:tr>
      <w:tr>
        <w:trPr>
          <w:trHeight w:val="89"/>
        </w:trPr>
        <w:tc>
          <w:tcPr>
            <w:tcW w:w="1920" w:type="dxa"/>
            <w:vAlign w:val="bottom"/>
            <w:shd w:val="clear" w:color="auto" w:fill="F0F1F2"/>
          </w:tcPr>
          <w:p>
            <w:pPr>
              <w:spacing w:after="0"/>
              <w:rPr>
                <w:sz w:val="7"/>
                <w:szCs w:val="7"/>
                <w:color w:val="auto"/>
              </w:rPr>
            </w:pPr>
          </w:p>
        </w:tc>
        <w:tc>
          <w:tcPr>
            <w:tcW w:w="780" w:type="dxa"/>
            <w:vAlign w:val="bottom"/>
            <w:shd w:val="clear" w:color="auto" w:fill="F0F1F2"/>
          </w:tcPr>
          <w:p>
            <w:pPr>
              <w:spacing w:after="0"/>
              <w:rPr>
                <w:sz w:val="7"/>
                <w:szCs w:val="7"/>
                <w:color w:val="auto"/>
              </w:rPr>
            </w:pPr>
          </w:p>
        </w:tc>
        <w:tc>
          <w:tcPr>
            <w:tcW w:w="1080" w:type="dxa"/>
            <w:vAlign w:val="bottom"/>
            <w:shd w:val="clear" w:color="auto" w:fill="F0F1F2"/>
          </w:tcPr>
          <w:p>
            <w:pPr>
              <w:spacing w:after="0"/>
              <w:rPr>
                <w:sz w:val="7"/>
                <w:szCs w:val="7"/>
                <w:color w:val="auto"/>
              </w:rPr>
            </w:pPr>
          </w:p>
        </w:tc>
        <w:tc>
          <w:tcPr>
            <w:tcW w:w="220" w:type="dxa"/>
            <w:vAlign w:val="bottom"/>
            <w:shd w:val="clear" w:color="auto" w:fill="F0F1F2"/>
          </w:tcPr>
          <w:p>
            <w:pPr>
              <w:spacing w:after="0"/>
              <w:rPr>
                <w:sz w:val="7"/>
                <w:szCs w:val="7"/>
                <w:color w:val="auto"/>
              </w:rPr>
            </w:pPr>
          </w:p>
        </w:tc>
        <w:tc>
          <w:tcPr>
            <w:tcW w:w="820" w:type="dxa"/>
            <w:vAlign w:val="bottom"/>
            <w:shd w:val="clear" w:color="auto" w:fill="F0F1F2"/>
          </w:tcPr>
          <w:p>
            <w:pPr>
              <w:spacing w:after="0"/>
              <w:rPr>
                <w:sz w:val="7"/>
                <w:szCs w:val="7"/>
                <w:color w:val="auto"/>
              </w:rPr>
            </w:pPr>
          </w:p>
        </w:tc>
        <w:tc>
          <w:tcPr>
            <w:tcW w:w="1340" w:type="dxa"/>
            <w:vAlign w:val="bottom"/>
            <w:shd w:val="clear" w:color="auto" w:fill="F0F1F2"/>
          </w:tcPr>
          <w:p>
            <w:pPr>
              <w:spacing w:after="0"/>
              <w:rPr>
                <w:sz w:val="7"/>
                <w:szCs w:val="7"/>
                <w:color w:val="auto"/>
              </w:rPr>
            </w:pPr>
          </w:p>
        </w:tc>
        <w:tc>
          <w:tcPr>
            <w:tcW w:w="980" w:type="dxa"/>
            <w:vAlign w:val="bottom"/>
            <w:shd w:val="clear" w:color="auto" w:fill="F0F1F2"/>
          </w:tcPr>
          <w:p>
            <w:pPr>
              <w:spacing w:after="0"/>
              <w:rPr>
                <w:sz w:val="7"/>
                <w:szCs w:val="7"/>
                <w:color w:val="auto"/>
              </w:rPr>
            </w:pPr>
          </w:p>
        </w:tc>
        <w:tc>
          <w:tcPr>
            <w:tcW w:w="1440" w:type="dxa"/>
            <w:vAlign w:val="bottom"/>
            <w:shd w:val="clear" w:color="auto" w:fill="F0F1F2"/>
          </w:tcPr>
          <w:p>
            <w:pPr>
              <w:spacing w:after="0"/>
              <w:rPr>
                <w:sz w:val="7"/>
                <w:szCs w:val="7"/>
                <w:color w:val="auto"/>
              </w:rPr>
            </w:pPr>
          </w:p>
        </w:tc>
        <w:tc>
          <w:tcPr>
            <w:tcW w:w="1400" w:type="dxa"/>
            <w:vAlign w:val="bottom"/>
            <w:shd w:val="clear" w:color="auto" w:fill="F0F1F2"/>
          </w:tcPr>
          <w:p>
            <w:pPr>
              <w:spacing w:after="0"/>
              <w:rPr>
                <w:sz w:val="7"/>
                <w:szCs w:val="7"/>
                <w:color w:val="auto"/>
              </w:rPr>
            </w:pPr>
          </w:p>
        </w:tc>
        <w:tc>
          <w:tcPr>
            <w:tcW w:w="1260" w:type="dxa"/>
            <w:vAlign w:val="bottom"/>
            <w:shd w:val="clear" w:color="auto" w:fill="F0F1F2"/>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920" w:type="dxa"/>
            <w:vAlign w:val="bottom"/>
            <w:vMerge w:val="restart"/>
          </w:tcPr>
          <w:p>
            <w:pPr>
              <w:ind w:left="100"/>
              <w:spacing w:after="0"/>
              <w:rPr>
                <w:sz w:val="20"/>
                <w:szCs w:val="20"/>
                <w:color w:val="auto"/>
              </w:rPr>
            </w:pPr>
            <w:r>
              <w:rPr>
                <w:rFonts w:ascii="Arial" w:cs="Arial" w:eastAsia="Arial" w:hAnsi="Arial"/>
                <w:sz w:val="14"/>
                <w:szCs w:val="14"/>
                <w:b w:val="1"/>
                <w:bCs w:val="1"/>
                <w:color w:val="2D3243"/>
              </w:rPr>
              <w:t>Daniel Burkland</w:t>
            </w:r>
          </w:p>
        </w:tc>
        <w:tc>
          <w:tcPr>
            <w:tcW w:w="780" w:type="dxa"/>
            <w:vAlign w:val="bottom"/>
          </w:tcPr>
          <w:p>
            <w:pPr>
              <w:jc w:val="center"/>
              <w:spacing w:after="0"/>
              <w:rPr>
                <w:sz w:val="20"/>
                <w:szCs w:val="20"/>
                <w:color w:val="auto"/>
              </w:rPr>
            </w:pPr>
            <w:r>
              <w:rPr>
                <w:rFonts w:ascii="Arial" w:cs="Arial" w:eastAsia="Arial" w:hAnsi="Arial"/>
                <w:sz w:val="14"/>
                <w:szCs w:val="14"/>
                <w:color w:val="2D3243"/>
              </w:rPr>
              <w:t>2023</w:t>
            </w:r>
          </w:p>
        </w:tc>
        <w:tc>
          <w:tcPr>
            <w:tcW w:w="1080" w:type="dxa"/>
            <w:vAlign w:val="bottom"/>
          </w:tcPr>
          <w:p>
            <w:pPr>
              <w:jc w:val="right"/>
              <w:spacing w:after="0"/>
              <w:rPr>
                <w:sz w:val="20"/>
                <w:szCs w:val="20"/>
                <w:color w:val="auto"/>
              </w:rPr>
            </w:pPr>
            <w:r>
              <w:rPr>
                <w:rFonts w:ascii="Arial" w:cs="Arial" w:eastAsia="Arial" w:hAnsi="Arial"/>
                <w:sz w:val="14"/>
                <w:szCs w:val="14"/>
                <w:color w:val="2D3243"/>
              </w:rPr>
              <w:t>425,000</w:t>
            </w:r>
          </w:p>
        </w:tc>
        <w:tc>
          <w:tcPr>
            <w:tcW w:w="220" w:type="dxa"/>
            <w:vAlign w:val="bottom"/>
          </w:tcPr>
          <w:p>
            <w:pPr>
              <w:spacing w:after="0"/>
              <w:rPr>
                <w:sz w:val="23"/>
                <w:szCs w:val="23"/>
                <w:color w:val="auto"/>
              </w:rPr>
            </w:pPr>
          </w:p>
        </w:tc>
        <w:tc>
          <w:tcPr>
            <w:tcW w:w="820" w:type="dxa"/>
            <w:vAlign w:val="bottom"/>
          </w:tcPr>
          <w:p>
            <w:pPr>
              <w:ind w:left="460"/>
              <w:spacing w:after="0"/>
              <w:rPr>
                <w:sz w:val="20"/>
                <w:szCs w:val="20"/>
                <w:color w:val="auto"/>
              </w:rPr>
            </w:pPr>
            <w:r>
              <w:rPr>
                <w:rFonts w:ascii="Arial" w:cs="Arial" w:eastAsia="Arial" w:hAnsi="Arial"/>
                <w:sz w:val="14"/>
                <w:szCs w:val="14"/>
                <w:color w:val="2D3243"/>
              </w:rPr>
              <w:t>—</w:t>
            </w:r>
          </w:p>
        </w:tc>
        <w:tc>
          <w:tcPr>
            <w:tcW w:w="1340" w:type="dxa"/>
            <w:vAlign w:val="bottom"/>
          </w:tcPr>
          <w:p>
            <w:pPr>
              <w:jc w:val="right"/>
              <w:ind w:right="190"/>
              <w:spacing w:after="0"/>
              <w:rPr>
                <w:sz w:val="20"/>
                <w:szCs w:val="20"/>
                <w:color w:val="auto"/>
              </w:rPr>
            </w:pPr>
            <w:r>
              <w:rPr>
                <w:rFonts w:ascii="Arial" w:cs="Arial" w:eastAsia="Arial" w:hAnsi="Arial"/>
                <w:sz w:val="14"/>
                <w:szCs w:val="14"/>
                <w:color w:val="2D3243"/>
              </w:rPr>
              <w:t>3,408,659</w:t>
            </w:r>
          </w:p>
        </w:tc>
        <w:tc>
          <w:tcPr>
            <w:tcW w:w="980" w:type="dxa"/>
            <w:vAlign w:val="bottom"/>
          </w:tcPr>
          <w:p>
            <w:pPr>
              <w:jc w:val="right"/>
              <w:ind w:right="128"/>
              <w:spacing w:after="0"/>
              <w:rPr>
                <w:sz w:val="20"/>
                <w:szCs w:val="20"/>
                <w:color w:val="auto"/>
              </w:rPr>
            </w:pPr>
            <w:r>
              <w:rPr>
                <w:rFonts w:ascii="Arial" w:cs="Arial" w:eastAsia="Arial" w:hAnsi="Arial"/>
                <w:sz w:val="14"/>
                <w:szCs w:val="14"/>
                <w:color w:val="2D3243"/>
              </w:rPr>
              <w:t>—</w:t>
            </w:r>
          </w:p>
        </w:tc>
        <w:tc>
          <w:tcPr>
            <w:tcW w:w="1440" w:type="dxa"/>
            <w:vAlign w:val="bottom"/>
          </w:tcPr>
          <w:p>
            <w:pPr>
              <w:jc w:val="right"/>
              <w:ind w:right="128"/>
              <w:spacing w:after="0"/>
              <w:rPr>
                <w:sz w:val="20"/>
                <w:szCs w:val="20"/>
                <w:color w:val="auto"/>
              </w:rPr>
            </w:pPr>
            <w:r>
              <w:rPr>
                <w:rFonts w:ascii="Arial" w:cs="Arial" w:eastAsia="Arial" w:hAnsi="Arial"/>
                <w:sz w:val="14"/>
                <w:szCs w:val="14"/>
                <w:color w:val="2D3243"/>
              </w:rPr>
              <w:t>414,219</w:t>
            </w:r>
          </w:p>
        </w:tc>
        <w:tc>
          <w:tcPr>
            <w:tcW w:w="1400" w:type="dxa"/>
            <w:vAlign w:val="bottom"/>
          </w:tcPr>
          <w:p>
            <w:pPr>
              <w:jc w:val="right"/>
              <w:ind w:right="128"/>
              <w:spacing w:after="0"/>
              <w:rPr>
                <w:sz w:val="20"/>
                <w:szCs w:val="20"/>
                <w:color w:val="auto"/>
              </w:rPr>
            </w:pPr>
            <w:r>
              <w:rPr>
                <w:rFonts w:ascii="Arial" w:cs="Arial" w:eastAsia="Arial" w:hAnsi="Arial"/>
                <w:sz w:val="14"/>
                <w:szCs w:val="14"/>
                <w:color w:val="2D3243"/>
              </w:rPr>
              <w:t>4,440</w:t>
            </w:r>
          </w:p>
        </w:tc>
        <w:tc>
          <w:tcPr>
            <w:tcW w:w="1260" w:type="dxa"/>
            <w:vAlign w:val="bottom"/>
          </w:tcPr>
          <w:p>
            <w:pPr>
              <w:jc w:val="right"/>
              <w:ind w:right="88"/>
              <w:spacing w:after="0"/>
              <w:rPr>
                <w:sz w:val="20"/>
                <w:szCs w:val="20"/>
                <w:color w:val="auto"/>
              </w:rPr>
            </w:pPr>
            <w:r>
              <w:rPr>
                <w:rFonts w:ascii="Arial" w:cs="Arial" w:eastAsia="Arial" w:hAnsi="Arial"/>
                <w:sz w:val="14"/>
                <w:szCs w:val="14"/>
                <w:color w:val="2D3243"/>
              </w:rPr>
              <w:t>4,252,318</w:t>
            </w:r>
          </w:p>
        </w:tc>
        <w:tc>
          <w:tcPr>
            <w:tcW w:w="0" w:type="dxa"/>
            <w:vAlign w:val="bottom"/>
          </w:tcPr>
          <w:p>
            <w:pPr>
              <w:spacing w:after="0"/>
              <w:rPr>
                <w:sz w:val="1"/>
                <w:szCs w:val="1"/>
                <w:color w:val="auto"/>
              </w:rPr>
            </w:pPr>
          </w:p>
        </w:tc>
      </w:tr>
      <w:tr>
        <w:trPr>
          <w:trHeight w:val="168"/>
        </w:trPr>
        <w:tc>
          <w:tcPr>
            <w:tcW w:w="1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20" w:type="dxa"/>
            <w:vAlign w:val="bottom"/>
          </w:tcPr>
          <w:p>
            <w:pPr>
              <w:ind w:left="100"/>
              <w:spacing w:after="0"/>
              <w:rPr>
                <w:sz w:val="20"/>
                <w:szCs w:val="20"/>
                <w:color w:val="auto"/>
              </w:rPr>
            </w:pPr>
            <w:r>
              <w:rPr>
                <w:rFonts w:ascii="Arial" w:cs="Arial" w:eastAsia="Arial" w:hAnsi="Arial"/>
                <w:sz w:val="14"/>
                <w:szCs w:val="14"/>
                <w:color w:val="2D3243"/>
              </w:rPr>
              <w:t>President and Chief</w:t>
            </w:r>
          </w:p>
        </w:tc>
        <w:tc>
          <w:tcPr>
            <w:tcW w:w="780" w:type="dxa"/>
            <w:vAlign w:val="bottom"/>
          </w:tcPr>
          <w:p>
            <w:pPr>
              <w:jc w:val="center"/>
              <w:spacing w:after="0"/>
              <w:rPr>
                <w:sz w:val="20"/>
                <w:szCs w:val="20"/>
                <w:color w:val="auto"/>
              </w:rPr>
            </w:pPr>
            <w:r>
              <w:rPr>
                <w:rFonts w:ascii="Arial" w:cs="Arial" w:eastAsia="Arial" w:hAnsi="Arial"/>
                <w:sz w:val="14"/>
                <w:szCs w:val="14"/>
                <w:color w:val="2D3243"/>
              </w:rPr>
              <w:t>2022</w:t>
            </w:r>
          </w:p>
        </w:tc>
        <w:tc>
          <w:tcPr>
            <w:tcW w:w="1080" w:type="dxa"/>
            <w:vAlign w:val="bottom"/>
          </w:tcPr>
          <w:p>
            <w:pPr>
              <w:jc w:val="right"/>
              <w:spacing w:after="0"/>
              <w:rPr>
                <w:sz w:val="20"/>
                <w:szCs w:val="20"/>
                <w:color w:val="auto"/>
              </w:rPr>
            </w:pPr>
            <w:r>
              <w:rPr>
                <w:rFonts w:ascii="Arial" w:cs="Arial" w:eastAsia="Arial" w:hAnsi="Arial"/>
                <w:sz w:val="14"/>
                <w:szCs w:val="14"/>
                <w:color w:val="2D3243"/>
              </w:rPr>
              <w:t>410,000</w:t>
            </w:r>
          </w:p>
        </w:tc>
        <w:tc>
          <w:tcPr>
            <w:tcW w:w="220" w:type="dxa"/>
            <w:vAlign w:val="bottom"/>
          </w:tcPr>
          <w:p>
            <w:pPr>
              <w:spacing w:after="0"/>
              <w:rPr>
                <w:sz w:val="16"/>
                <w:szCs w:val="16"/>
                <w:color w:val="auto"/>
              </w:rPr>
            </w:pPr>
          </w:p>
        </w:tc>
        <w:tc>
          <w:tcPr>
            <w:tcW w:w="820" w:type="dxa"/>
            <w:vAlign w:val="bottom"/>
          </w:tcPr>
          <w:p>
            <w:pPr>
              <w:ind w:left="460"/>
              <w:spacing w:after="0"/>
              <w:rPr>
                <w:sz w:val="20"/>
                <w:szCs w:val="20"/>
                <w:color w:val="auto"/>
              </w:rPr>
            </w:pPr>
            <w:r>
              <w:rPr>
                <w:rFonts w:ascii="Arial" w:cs="Arial" w:eastAsia="Arial" w:hAnsi="Arial"/>
                <w:sz w:val="14"/>
                <w:szCs w:val="14"/>
                <w:color w:val="2D3243"/>
              </w:rPr>
              <w:t>—</w:t>
            </w:r>
          </w:p>
        </w:tc>
        <w:tc>
          <w:tcPr>
            <w:tcW w:w="1340" w:type="dxa"/>
            <w:vAlign w:val="bottom"/>
          </w:tcPr>
          <w:p>
            <w:pPr>
              <w:jc w:val="right"/>
              <w:ind w:right="190"/>
              <w:spacing w:after="0"/>
              <w:rPr>
                <w:sz w:val="20"/>
                <w:szCs w:val="20"/>
                <w:color w:val="auto"/>
              </w:rPr>
            </w:pPr>
            <w:r>
              <w:rPr>
                <w:rFonts w:ascii="Arial" w:cs="Arial" w:eastAsia="Arial" w:hAnsi="Arial"/>
                <w:sz w:val="14"/>
                <w:szCs w:val="14"/>
                <w:color w:val="2D3243"/>
              </w:rPr>
              <w:t>14,188,668</w:t>
            </w:r>
          </w:p>
        </w:tc>
        <w:tc>
          <w:tcPr>
            <w:tcW w:w="980" w:type="dxa"/>
            <w:vAlign w:val="bottom"/>
          </w:tcPr>
          <w:p>
            <w:pPr>
              <w:jc w:val="right"/>
              <w:ind w:right="128"/>
              <w:spacing w:after="0"/>
              <w:rPr>
                <w:sz w:val="20"/>
                <w:szCs w:val="20"/>
                <w:color w:val="auto"/>
              </w:rPr>
            </w:pPr>
            <w:r>
              <w:rPr>
                <w:rFonts w:ascii="Arial" w:cs="Arial" w:eastAsia="Arial" w:hAnsi="Arial"/>
                <w:sz w:val="14"/>
                <w:szCs w:val="14"/>
                <w:color w:val="2D3243"/>
              </w:rPr>
              <w:t>—</w:t>
            </w:r>
          </w:p>
        </w:tc>
        <w:tc>
          <w:tcPr>
            <w:tcW w:w="1440" w:type="dxa"/>
            <w:vAlign w:val="bottom"/>
          </w:tcPr>
          <w:p>
            <w:pPr>
              <w:jc w:val="right"/>
              <w:ind w:right="128"/>
              <w:spacing w:after="0"/>
              <w:rPr>
                <w:sz w:val="20"/>
                <w:szCs w:val="20"/>
                <w:color w:val="auto"/>
              </w:rPr>
            </w:pPr>
            <w:r>
              <w:rPr>
                <w:rFonts w:ascii="Arial" w:cs="Arial" w:eastAsia="Arial" w:hAnsi="Arial"/>
                <w:sz w:val="14"/>
                <w:szCs w:val="14"/>
                <w:color w:val="2D3243"/>
              </w:rPr>
              <w:t>476,816</w:t>
            </w:r>
          </w:p>
        </w:tc>
        <w:tc>
          <w:tcPr>
            <w:tcW w:w="1400" w:type="dxa"/>
            <w:vAlign w:val="bottom"/>
          </w:tcPr>
          <w:p>
            <w:pPr>
              <w:jc w:val="right"/>
              <w:ind w:right="128"/>
              <w:spacing w:after="0"/>
              <w:rPr>
                <w:sz w:val="20"/>
                <w:szCs w:val="20"/>
                <w:color w:val="auto"/>
              </w:rPr>
            </w:pPr>
            <w:r>
              <w:rPr>
                <w:rFonts w:ascii="Arial" w:cs="Arial" w:eastAsia="Arial" w:hAnsi="Arial"/>
                <w:sz w:val="14"/>
                <w:szCs w:val="14"/>
                <w:color w:val="2D3243"/>
              </w:rPr>
              <w:t>4,293</w:t>
            </w:r>
          </w:p>
        </w:tc>
        <w:tc>
          <w:tcPr>
            <w:tcW w:w="1260" w:type="dxa"/>
            <w:vAlign w:val="bottom"/>
          </w:tcPr>
          <w:p>
            <w:pPr>
              <w:jc w:val="right"/>
              <w:ind w:right="88"/>
              <w:spacing w:after="0"/>
              <w:rPr>
                <w:sz w:val="20"/>
                <w:szCs w:val="20"/>
                <w:color w:val="auto"/>
              </w:rPr>
            </w:pPr>
            <w:r>
              <w:rPr>
                <w:rFonts w:ascii="Arial" w:cs="Arial" w:eastAsia="Arial" w:hAnsi="Arial"/>
                <w:sz w:val="14"/>
                <w:szCs w:val="14"/>
                <w:color w:val="2D3243"/>
              </w:rPr>
              <w:t>15,079,777</w:t>
            </w:r>
          </w:p>
        </w:tc>
        <w:tc>
          <w:tcPr>
            <w:tcW w:w="0" w:type="dxa"/>
            <w:vAlign w:val="bottom"/>
          </w:tcPr>
          <w:p>
            <w:pPr>
              <w:spacing w:after="0"/>
              <w:rPr>
                <w:sz w:val="1"/>
                <w:szCs w:val="1"/>
                <w:color w:val="auto"/>
              </w:rPr>
            </w:pPr>
          </w:p>
        </w:tc>
      </w:tr>
      <w:tr>
        <w:trPr>
          <w:trHeight w:val="190"/>
        </w:trPr>
        <w:tc>
          <w:tcPr>
            <w:tcW w:w="1920" w:type="dxa"/>
            <w:vAlign w:val="bottom"/>
          </w:tcPr>
          <w:p>
            <w:pPr>
              <w:ind w:left="100"/>
              <w:spacing w:after="0"/>
              <w:rPr>
                <w:sz w:val="20"/>
                <w:szCs w:val="20"/>
                <w:color w:val="auto"/>
              </w:rPr>
            </w:pPr>
            <w:r>
              <w:rPr>
                <w:rFonts w:ascii="Arial" w:cs="Arial" w:eastAsia="Arial" w:hAnsi="Arial"/>
                <w:sz w:val="14"/>
                <w:szCs w:val="14"/>
                <w:color w:val="2D3243"/>
              </w:rPr>
              <w:t>Revenue Officer</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2D3243"/>
              </w:rPr>
              <w:t>2021</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2D3243"/>
              </w:rPr>
              <w:t>410,000</w:t>
            </w:r>
          </w:p>
        </w:tc>
        <w:tc>
          <w:tcPr>
            <w:tcW w:w="220" w:type="dxa"/>
            <w:vAlign w:val="bottom"/>
          </w:tcPr>
          <w:p>
            <w:pPr>
              <w:spacing w:after="0"/>
              <w:rPr>
                <w:sz w:val="16"/>
                <w:szCs w:val="16"/>
                <w:color w:val="auto"/>
              </w:rPr>
            </w:pPr>
          </w:p>
        </w:tc>
        <w:tc>
          <w:tcPr>
            <w:tcW w:w="820" w:type="dxa"/>
            <w:vAlign w:val="bottom"/>
            <w:vMerge w:val="restart"/>
          </w:tcPr>
          <w:p>
            <w:pPr>
              <w:ind w:left="460"/>
              <w:spacing w:after="0"/>
              <w:rPr>
                <w:sz w:val="20"/>
                <w:szCs w:val="20"/>
                <w:color w:val="auto"/>
              </w:rPr>
            </w:pPr>
            <w:r>
              <w:rPr>
                <w:rFonts w:ascii="Arial" w:cs="Arial" w:eastAsia="Arial" w:hAnsi="Arial"/>
                <w:sz w:val="14"/>
                <w:szCs w:val="14"/>
                <w:color w:val="2D3243"/>
              </w:rPr>
              <w:t>—</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2D3243"/>
              </w:rPr>
              <w:t>3,481,033</w:t>
            </w: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2D3243"/>
              </w:rPr>
              <w:t>939,502</w:t>
            </w:r>
          </w:p>
        </w:tc>
        <w:tc>
          <w:tcPr>
            <w:tcW w:w="1440" w:type="dxa"/>
            <w:vAlign w:val="bottom"/>
            <w:vMerge w:val="restart"/>
          </w:tcPr>
          <w:p>
            <w:pPr>
              <w:jc w:val="right"/>
              <w:ind w:right="128"/>
              <w:spacing w:after="0"/>
              <w:rPr>
                <w:sz w:val="20"/>
                <w:szCs w:val="20"/>
                <w:color w:val="auto"/>
              </w:rPr>
            </w:pPr>
            <w:r>
              <w:rPr>
                <w:rFonts w:ascii="Arial" w:cs="Arial" w:eastAsia="Arial" w:hAnsi="Arial"/>
                <w:sz w:val="14"/>
                <w:szCs w:val="14"/>
                <w:color w:val="2D3243"/>
              </w:rPr>
              <w:t>608,270</w:t>
            </w:r>
          </w:p>
        </w:tc>
        <w:tc>
          <w:tcPr>
            <w:tcW w:w="1400" w:type="dxa"/>
            <w:vAlign w:val="bottom"/>
            <w:vMerge w:val="restart"/>
          </w:tcPr>
          <w:p>
            <w:pPr>
              <w:jc w:val="right"/>
              <w:ind w:right="128"/>
              <w:spacing w:after="0"/>
              <w:rPr>
                <w:sz w:val="20"/>
                <w:szCs w:val="20"/>
                <w:color w:val="auto"/>
              </w:rPr>
            </w:pPr>
            <w:r>
              <w:rPr>
                <w:rFonts w:ascii="Arial" w:cs="Arial" w:eastAsia="Arial" w:hAnsi="Arial"/>
                <w:sz w:val="14"/>
                <w:szCs w:val="14"/>
                <w:color w:val="2D3243"/>
              </w:rPr>
              <w:t>320</w:t>
            </w: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2D3243"/>
              </w:rPr>
              <w:t>5,439,125</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920" w:type="dxa"/>
            <w:vAlign w:val="bottom"/>
            <w:vMerge w:val="restart"/>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p>
        </w:tc>
        <w:tc>
          <w:tcPr>
            <w:tcW w:w="78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2023</w:t>
            </w:r>
          </w:p>
        </w:tc>
        <w:tc>
          <w:tcPr>
            <w:tcW w:w="10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415,182</w:t>
            </w:r>
          </w:p>
        </w:tc>
        <w:tc>
          <w:tcPr>
            <w:tcW w:w="220" w:type="dxa"/>
            <w:vAlign w:val="bottom"/>
            <w:shd w:val="clear" w:color="auto" w:fill="F0F1F2"/>
          </w:tcPr>
          <w:p>
            <w:pPr>
              <w:spacing w:after="0"/>
              <w:rPr>
                <w:sz w:val="23"/>
                <w:szCs w:val="23"/>
                <w:color w:val="auto"/>
              </w:rPr>
            </w:pPr>
          </w:p>
        </w:tc>
        <w:tc>
          <w:tcPr>
            <w:tcW w:w="820" w:type="dxa"/>
            <w:vAlign w:val="bottom"/>
            <w:shd w:val="clear" w:color="auto" w:fill="F0F1F2"/>
          </w:tcPr>
          <w:p>
            <w:pPr>
              <w:ind w:left="460"/>
              <w:spacing w:after="0"/>
              <w:rPr>
                <w:sz w:val="20"/>
                <w:szCs w:val="20"/>
                <w:color w:val="auto"/>
              </w:rPr>
            </w:pPr>
            <w:r>
              <w:rPr>
                <w:rFonts w:ascii="Arial" w:cs="Arial" w:eastAsia="Arial" w:hAnsi="Arial"/>
                <w:sz w:val="14"/>
                <w:szCs w:val="14"/>
                <w:color w:val="2D3243"/>
              </w:rPr>
              <w:t>—</w:t>
            </w:r>
          </w:p>
        </w:tc>
        <w:tc>
          <w:tcPr>
            <w:tcW w:w="1340" w:type="dxa"/>
            <w:vAlign w:val="bottom"/>
            <w:shd w:val="clear" w:color="auto" w:fill="F0F1F2"/>
          </w:tcPr>
          <w:p>
            <w:pPr>
              <w:jc w:val="right"/>
              <w:ind w:right="190"/>
              <w:spacing w:after="0"/>
              <w:rPr>
                <w:sz w:val="20"/>
                <w:szCs w:val="20"/>
                <w:color w:val="auto"/>
              </w:rPr>
            </w:pPr>
            <w:r>
              <w:rPr>
                <w:rFonts w:ascii="Arial" w:cs="Arial" w:eastAsia="Arial" w:hAnsi="Arial"/>
                <w:sz w:val="14"/>
                <w:szCs w:val="14"/>
                <w:color w:val="2D3243"/>
              </w:rPr>
              <w:t>4,582,799</w:t>
            </w:r>
          </w:p>
        </w:tc>
        <w:tc>
          <w:tcPr>
            <w:tcW w:w="98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w:t>
            </w:r>
          </w:p>
        </w:tc>
        <w:tc>
          <w:tcPr>
            <w:tcW w:w="144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308,138</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1,921</w:t>
            </w:r>
          </w:p>
        </w:tc>
        <w:tc>
          <w:tcPr>
            <w:tcW w:w="126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5,308,040</w:t>
            </w:r>
          </w:p>
        </w:tc>
        <w:tc>
          <w:tcPr>
            <w:tcW w:w="0" w:type="dxa"/>
            <w:vAlign w:val="bottom"/>
          </w:tcPr>
          <w:p>
            <w:pPr>
              <w:spacing w:after="0"/>
              <w:rPr>
                <w:sz w:val="1"/>
                <w:szCs w:val="1"/>
                <w:color w:val="auto"/>
              </w:rPr>
            </w:pPr>
          </w:p>
        </w:tc>
      </w:tr>
      <w:tr>
        <w:trPr>
          <w:trHeight w:val="77"/>
        </w:trPr>
        <w:tc>
          <w:tcPr>
            <w:tcW w:w="1920" w:type="dxa"/>
            <w:vAlign w:val="bottom"/>
            <w:vMerge w:val="continue"/>
            <w:shd w:val="clear" w:color="auto" w:fill="F0F1F2"/>
          </w:tcPr>
          <w:p>
            <w:pPr>
              <w:spacing w:after="0"/>
              <w:rPr>
                <w:sz w:val="6"/>
                <w:szCs w:val="6"/>
                <w:color w:val="auto"/>
              </w:rPr>
            </w:pPr>
          </w:p>
        </w:tc>
        <w:tc>
          <w:tcPr>
            <w:tcW w:w="780" w:type="dxa"/>
            <w:vAlign w:val="bottom"/>
            <w:shd w:val="clear" w:color="auto" w:fill="F0F1F2"/>
          </w:tcPr>
          <w:p>
            <w:pPr>
              <w:spacing w:after="0"/>
              <w:rPr>
                <w:sz w:val="6"/>
                <w:szCs w:val="6"/>
                <w:color w:val="auto"/>
              </w:rPr>
            </w:pPr>
          </w:p>
        </w:tc>
        <w:tc>
          <w:tcPr>
            <w:tcW w:w="1080" w:type="dxa"/>
            <w:vAlign w:val="bottom"/>
            <w:shd w:val="clear" w:color="auto" w:fill="F0F1F2"/>
          </w:tcPr>
          <w:p>
            <w:pPr>
              <w:spacing w:after="0"/>
              <w:rPr>
                <w:sz w:val="6"/>
                <w:szCs w:val="6"/>
                <w:color w:val="auto"/>
              </w:rPr>
            </w:pPr>
          </w:p>
        </w:tc>
        <w:tc>
          <w:tcPr>
            <w:tcW w:w="220" w:type="dxa"/>
            <w:vAlign w:val="bottom"/>
            <w:shd w:val="clear" w:color="auto" w:fill="F0F1F2"/>
          </w:tcPr>
          <w:p>
            <w:pPr>
              <w:spacing w:after="0"/>
              <w:rPr>
                <w:sz w:val="6"/>
                <w:szCs w:val="6"/>
                <w:color w:val="auto"/>
              </w:rPr>
            </w:pPr>
          </w:p>
        </w:tc>
        <w:tc>
          <w:tcPr>
            <w:tcW w:w="820" w:type="dxa"/>
            <w:vAlign w:val="bottom"/>
            <w:shd w:val="clear" w:color="auto" w:fill="F0F1F2"/>
          </w:tcPr>
          <w:p>
            <w:pPr>
              <w:spacing w:after="0"/>
              <w:rPr>
                <w:sz w:val="6"/>
                <w:szCs w:val="6"/>
                <w:color w:val="auto"/>
              </w:rPr>
            </w:pPr>
          </w:p>
        </w:tc>
        <w:tc>
          <w:tcPr>
            <w:tcW w:w="1340" w:type="dxa"/>
            <w:vAlign w:val="bottom"/>
            <w:shd w:val="clear" w:color="auto" w:fill="F0F1F2"/>
          </w:tcPr>
          <w:p>
            <w:pPr>
              <w:spacing w:after="0"/>
              <w:rPr>
                <w:sz w:val="6"/>
                <w:szCs w:val="6"/>
                <w:color w:val="auto"/>
              </w:rPr>
            </w:pPr>
          </w:p>
        </w:tc>
        <w:tc>
          <w:tcPr>
            <w:tcW w:w="980" w:type="dxa"/>
            <w:vAlign w:val="bottom"/>
            <w:shd w:val="clear" w:color="auto" w:fill="F0F1F2"/>
          </w:tcPr>
          <w:p>
            <w:pPr>
              <w:spacing w:after="0"/>
              <w:rPr>
                <w:sz w:val="6"/>
                <w:szCs w:val="6"/>
                <w:color w:val="auto"/>
              </w:rPr>
            </w:pPr>
          </w:p>
        </w:tc>
        <w:tc>
          <w:tcPr>
            <w:tcW w:w="1440" w:type="dxa"/>
            <w:vAlign w:val="bottom"/>
            <w:shd w:val="clear" w:color="auto" w:fill="F0F1F2"/>
          </w:tcPr>
          <w:p>
            <w:pPr>
              <w:spacing w:after="0"/>
              <w:rPr>
                <w:sz w:val="6"/>
                <w:szCs w:val="6"/>
                <w:color w:val="auto"/>
              </w:rPr>
            </w:pPr>
          </w:p>
        </w:tc>
        <w:tc>
          <w:tcPr>
            <w:tcW w:w="1400" w:type="dxa"/>
            <w:vAlign w:val="bottom"/>
            <w:shd w:val="clear" w:color="auto" w:fill="F0F1F2"/>
          </w:tcPr>
          <w:p>
            <w:pPr>
              <w:spacing w:after="0"/>
              <w:rPr>
                <w:sz w:val="6"/>
                <w:szCs w:val="6"/>
                <w:color w:val="auto"/>
              </w:rPr>
            </w:pPr>
          </w:p>
        </w:tc>
        <w:tc>
          <w:tcPr>
            <w:tcW w:w="1260" w:type="dxa"/>
            <w:vAlign w:val="bottom"/>
            <w:shd w:val="clear" w:color="auto" w:fill="F0F1F2"/>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920" w:type="dxa"/>
            <w:vAlign w:val="bottom"/>
            <w:shd w:val="clear" w:color="auto" w:fill="F0F1F2"/>
          </w:tcPr>
          <w:p>
            <w:pPr>
              <w:ind w:left="100"/>
              <w:spacing w:after="0"/>
              <w:rPr>
                <w:sz w:val="20"/>
                <w:szCs w:val="20"/>
                <w:color w:val="auto"/>
              </w:rPr>
            </w:pPr>
            <w:r>
              <w:rPr>
                <w:rFonts w:ascii="Arial" w:cs="Arial" w:eastAsia="Arial" w:hAnsi="Arial"/>
                <w:sz w:val="14"/>
                <w:szCs w:val="14"/>
                <w:color w:val="2D3243"/>
              </w:rPr>
              <w:t>Chief Operating Officer</w:t>
            </w:r>
            <w:r>
              <w:rPr>
                <w:rFonts w:ascii="Arial" w:cs="Arial" w:eastAsia="Arial" w:hAnsi="Arial"/>
                <w:sz w:val="18"/>
                <w:szCs w:val="18"/>
                <w:color w:val="2D3243"/>
                <w:vertAlign w:val="superscript"/>
              </w:rPr>
              <w:t>(7)</w:t>
            </w:r>
          </w:p>
        </w:tc>
        <w:tc>
          <w:tcPr>
            <w:tcW w:w="780" w:type="dxa"/>
            <w:vAlign w:val="bottom"/>
            <w:shd w:val="clear" w:color="auto" w:fill="F0F1F2"/>
          </w:tcPr>
          <w:p>
            <w:pPr>
              <w:spacing w:after="0"/>
              <w:rPr>
                <w:sz w:val="21"/>
                <w:szCs w:val="21"/>
                <w:color w:val="auto"/>
              </w:rPr>
            </w:pPr>
          </w:p>
        </w:tc>
        <w:tc>
          <w:tcPr>
            <w:tcW w:w="1080" w:type="dxa"/>
            <w:vAlign w:val="bottom"/>
            <w:shd w:val="clear" w:color="auto" w:fill="F0F1F2"/>
          </w:tcPr>
          <w:p>
            <w:pPr>
              <w:spacing w:after="0"/>
              <w:rPr>
                <w:sz w:val="21"/>
                <w:szCs w:val="21"/>
                <w:color w:val="auto"/>
              </w:rPr>
            </w:pPr>
          </w:p>
        </w:tc>
        <w:tc>
          <w:tcPr>
            <w:tcW w:w="220" w:type="dxa"/>
            <w:vAlign w:val="bottom"/>
            <w:shd w:val="clear" w:color="auto" w:fill="F0F1F2"/>
          </w:tcPr>
          <w:p>
            <w:pPr>
              <w:spacing w:after="0"/>
              <w:rPr>
                <w:sz w:val="21"/>
                <w:szCs w:val="21"/>
                <w:color w:val="auto"/>
              </w:rPr>
            </w:pPr>
          </w:p>
        </w:tc>
        <w:tc>
          <w:tcPr>
            <w:tcW w:w="820" w:type="dxa"/>
            <w:vAlign w:val="bottom"/>
            <w:shd w:val="clear" w:color="auto" w:fill="F0F1F2"/>
          </w:tcPr>
          <w:p>
            <w:pPr>
              <w:spacing w:after="0"/>
              <w:rPr>
                <w:sz w:val="21"/>
                <w:szCs w:val="21"/>
                <w:color w:val="auto"/>
              </w:rPr>
            </w:pPr>
          </w:p>
        </w:tc>
        <w:tc>
          <w:tcPr>
            <w:tcW w:w="1340" w:type="dxa"/>
            <w:vAlign w:val="bottom"/>
            <w:shd w:val="clear" w:color="auto" w:fill="F0F1F2"/>
          </w:tcPr>
          <w:p>
            <w:pPr>
              <w:spacing w:after="0"/>
              <w:rPr>
                <w:sz w:val="21"/>
                <w:szCs w:val="21"/>
                <w:color w:val="auto"/>
              </w:rPr>
            </w:pPr>
          </w:p>
        </w:tc>
        <w:tc>
          <w:tcPr>
            <w:tcW w:w="980" w:type="dxa"/>
            <w:vAlign w:val="bottom"/>
            <w:shd w:val="clear" w:color="auto" w:fill="F0F1F2"/>
          </w:tcPr>
          <w:p>
            <w:pPr>
              <w:spacing w:after="0"/>
              <w:rPr>
                <w:sz w:val="21"/>
                <w:szCs w:val="21"/>
                <w:color w:val="auto"/>
              </w:rPr>
            </w:pPr>
          </w:p>
        </w:tc>
        <w:tc>
          <w:tcPr>
            <w:tcW w:w="1440" w:type="dxa"/>
            <w:vAlign w:val="bottom"/>
            <w:shd w:val="clear" w:color="auto" w:fill="F0F1F2"/>
          </w:tcPr>
          <w:p>
            <w:pPr>
              <w:spacing w:after="0"/>
              <w:rPr>
                <w:sz w:val="21"/>
                <w:szCs w:val="21"/>
                <w:color w:val="auto"/>
              </w:rPr>
            </w:pPr>
          </w:p>
        </w:tc>
        <w:tc>
          <w:tcPr>
            <w:tcW w:w="1400" w:type="dxa"/>
            <w:vAlign w:val="bottom"/>
            <w:shd w:val="clear" w:color="auto" w:fill="F0F1F2"/>
          </w:tcPr>
          <w:p>
            <w:pPr>
              <w:spacing w:after="0"/>
              <w:rPr>
                <w:sz w:val="21"/>
                <w:szCs w:val="21"/>
                <w:color w:val="auto"/>
              </w:rPr>
            </w:pPr>
          </w:p>
        </w:tc>
        <w:tc>
          <w:tcPr>
            <w:tcW w:w="1260" w:type="dxa"/>
            <w:vAlign w:val="bottom"/>
            <w:shd w:val="clear" w:color="auto" w:fill="F0F1F2"/>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F0F1F2"/>
          </w:tcPr>
          <w:p>
            <w:pPr>
              <w:spacing w:after="0"/>
              <w:rPr>
                <w:sz w:val="11"/>
                <w:szCs w:val="11"/>
                <w:color w:val="auto"/>
              </w:rPr>
            </w:pPr>
          </w:p>
        </w:tc>
        <w:tc>
          <w:tcPr>
            <w:tcW w:w="780" w:type="dxa"/>
            <w:vAlign w:val="bottom"/>
            <w:shd w:val="clear" w:color="auto" w:fill="F0F1F2"/>
          </w:tcPr>
          <w:p>
            <w:pPr>
              <w:spacing w:after="0"/>
              <w:rPr>
                <w:sz w:val="11"/>
                <w:szCs w:val="11"/>
                <w:color w:val="auto"/>
              </w:rPr>
            </w:pPr>
          </w:p>
        </w:tc>
        <w:tc>
          <w:tcPr>
            <w:tcW w:w="1080" w:type="dxa"/>
            <w:vAlign w:val="bottom"/>
            <w:shd w:val="clear" w:color="auto" w:fill="F0F1F2"/>
          </w:tcPr>
          <w:p>
            <w:pPr>
              <w:spacing w:after="0"/>
              <w:rPr>
                <w:sz w:val="11"/>
                <w:szCs w:val="11"/>
                <w:color w:val="auto"/>
              </w:rPr>
            </w:pPr>
          </w:p>
        </w:tc>
        <w:tc>
          <w:tcPr>
            <w:tcW w:w="220" w:type="dxa"/>
            <w:vAlign w:val="bottom"/>
            <w:shd w:val="clear" w:color="auto" w:fill="F0F1F2"/>
          </w:tcPr>
          <w:p>
            <w:pPr>
              <w:spacing w:after="0"/>
              <w:rPr>
                <w:sz w:val="11"/>
                <w:szCs w:val="11"/>
                <w:color w:val="auto"/>
              </w:rPr>
            </w:pPr>
          </w:p>
        </w:tc>
        <w:tc>
          <w:tcPr>
            <w:tcW w:w="820" w:type="dxa"/>
            <w:vAlign w:val="bottom"/>
            <w:shd w:val="clear" w:color="auto" w:fill="F0F1F2"/>
          </w:tcPr>
          <w:p>
            <w:pPr>
              <w:spacing w:after="0"/>
              <w:rPr>
                <w:sz w:val="11"/>
                <w:szCs w:val="11"/>
                <w:color w:val="auto"/>
              </w:rPr>
            </w:pPr>
          </w:p>
        </w:tc>
        <w:tc>
          <w:tcPr>
            <w:tcW w:w="1340" w:type="dxa"/>
            <w:vAlign w:val="bottom"/>
            <w:shd w:val="clear" w:color="auto" w:fill="F0F1F2"/>
          </w:tcPr>
          <w:p>
            <w:pPr>
              <w:spacing w:after="0"/>
              <w:rPr>
                <w:sz w:val="11"/>
                <w:szCs w:val="11"/>
                <w:color w:val="auto"/>
              </w:rPr>
            </w:pPr>
          </w:p>
        </w:tc>
        <w:tc>
          <w:tcPr>
            <w:tcW w:w="980" w:type="dxa"/>
            <w:vAlign w:val="bottom"/>
            <w:shd w:val="clear" w:color="auto" w:fill="F0F1F2"/>
          </w:tcPr>
          <w:p>
            <w:pPr>
              <w:spacing w:after="0"/>
              <w:rPr>
                <w:sz w:val="11"/>
                <w:szCs w:val="11"/>
                <w:color w:val="auto"/>
              </w:rPr>
            </w:pPr>
          </w:p>
        </w:tc>
        <w:tc>
          <w:tcPr>
            <w:tcW w:w="1440" w:type="dxa"/>
            <w:vAlign w:val="bottom"/>
            <w:shd w:val="clear" w:color="auto" w:fill="F0F1F2"/>
          </w:tcPr>
          <w:p>
            <w:pPr>
              <w:spacing w:after="0"/>
              <w:rPr>
                <w:sz w:val="11"/>
                <w:szCs w:val="11"/>
                <w:color w:val="auto"/>
              </w:rPr>
            </w:pPr>
          </w:p>
        </w:tc>
        <w:tc>
          <w:tcPr>
            <w:tcW w:w="1400" w:type="dxa"/>
            <w:vAlign w:val="bottom"/>
            <w:shd w:val="clear" w:color="auto" w:fill="F0F1F2"/>
          </w:tcPr>
          <w:p>
            <w:pPr>
              <w:spacing w:after="0"/>
              <w:rPr>
                <w:sz w:val="11"/>
                <w:szCs w:val="11"/>
                <w:color w:val="auto"/>
              </w:rPr>
            </w:pPr>
          </w:p>
        </w:tc>
        <w:tc>
          <w:tcPr>
            <w:tcW w:w="1260" w:type="dxa"/>
            <w:vAlign w:val="bottom"/>
            <w:shd w:val="clear" w:color="auto" w:fill="F0F1F2"/>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1920" w:type="dxa"/>
            <w:vAlign w:val="bottom"/>
            <w:vMerge w:val="restart"/>
          </w:tcPr>
          <w:p>
            <w:pPr>
              <w:ind w:left="100"/>
              <w:spacing w:after="0"/>
              <w:rPr>
                <w:sz w:val="20"/>
                <w:szCs w:val="20"/>
                <w:color w:val="auto"/>
              </w:rPr>
            </w:pPr>
            <w:r>
              <w:rPr>
                <w:rFonts w:ascii="Arial" w:cs="Arial" w:eastAsia="Arial" w:hAnsi="Arial"/>
                <w:sz w:val="14"/>
                <w:szCs w:val="14"/>
                <w:b w:val="1"/>
                <w:bCs w:val="1"/>
                <w:color w:val="2D3243"/>
              </w:rPr>
              <w:t>Panos Kozanian</w:t>
            </w:r>
          </w:p>
        </w:tc>
        <w:tc>
          <w:tcPr>
            <w:tcW w:w="780" w:type="dxa"/>
            <w:vAlign w:val="bottom"/>
          </w:tcPr>
          <w:p>
            <w:pPr>
              <w:jc w:val="center"/>
              <w:spacing w:after="0"/>
              <w:rPr>
                <w:sz w:val="20"/>
                <w:szCs w:val="20"/>
                <w:color w:val="auto"/>
              </w:rPr>
            </w:pPr>
            <w:r>
              <w:rPr>
                <w:rFonts w:ascii="Arial" w:cs="Arial" w:eastAsia="Arial" w:hAnsi="Arial"/>
                <w:sz w:val="14"/>
                <w:szCs w:val="14"/>
                <w:color w:val="2D3243"/>
              </w:rPr>
              <w:t>2023</w:t>
            </w:r>
          </w:p>
        </w:tc>
        <w:tc>
          <w:tcPr>
            <w:tcW w:w="1080" w:type="dxa"/>
            <w:vAlign w:val="bottom"/>
          </w:tcPr>
          <w:p>
            <w:pPr>
              <w:jc w:val="right"/>
              <w:spacing w:after="0"/>
              <w:rPr>
                <w:sz w:val="20"/>
                <w:szCs w:val="20"/>
                <w:color w:val="auto"/>
              </w:rPr>
            </w:pPr>
            <w:r>
              <w:rPr>
                <w:rFonts w:ascii="Arial" w:cs="Arial" w:eastAsia="Arial" w:hAnsi="Arial"/>
                <w:sz w:val="14"/>
                <w:szCs w:val="14"/>
                <w:color w:val="2D3243"/>
              </w:rPr>
              <w:t>450,000</w:t>
            </w:r>
          </w:p>
        </w:tc>
        <w:tc>
          <w:tcPr>
            <w:tcW w:w="220" w:type="dxa"/>
            <w:vAlign w:val="bottom"/>
          </w:tcPr>
          <w:p>
            <w:pPr>
              <w:spacing w:after="0"/>
              <w:rPr>
                <w:sz w:val="23"/>
                <w:szCs w:val="23"/>
                <w:color w:val="auto"/>
              </w:rPr>
            </w:pPr>
          </w:p>
        </w:tc>
        <w:tc>
          <w:tcPr>
            <w:tcW w:w="820" w:type="dxa"/>
            <w:vAlign w:val="bottom"/>
          </w:tcPr>
          <w:p>
            <w:pPr>
              <w:ind w:left="460"/>
              <w:spacing w:after="0"/>
              <w:rPr>
                <w:sz w:val="20"/>
                <w:szCs w:val="20"/>
                <w:color w:val="auto"/>
              </w:rPr>
            </w:pPr>
            <w:r>
              <w:rPr>
                <w:rFonts w:ascii="Arial" w:cs="Arial" w:eastAsia="Arial" w:hAnsi="Arial"/>
                <w:sz w:val="14"/>
                <w:szCs w:val="14"/>
                <w:color w:val="2D3243"/>
              </w:rPr>
              <w:t>—</w:t>
            </w:r>
          </w:p>
        </w:tc>
        <w:tc>
          <w:tcPr>
            <w:tcW w:w="1340" w:type="dxa"/>
            <w:vAlign w:val="bottom"/>
          </w:tcPr>
          <w:p>
            <w:pPr>
              <w:jc w:val="right"/>
              <w:ind w:right="190"/>
              <w:spacing w:after="0"/>
              <w:rPr>
                <w:sz w:val="20"/>
                <w:szCs w:val="20"/>
                <w:color w:val="auto"/>
              </w:rPr>
            </w:pPr>
            <w:r>
              <w:rPr>
                <w:rFonts w:ascii="Arial" w:cs="Arial" w:eastAsia="Arial" w:hAnsi="Arial"/>
                <w:sz w:val="14"/>
                <w:szCs w:val="14"/>
                <w:color w:val="2D3243"/>
              </w:rPr>
              <w:t>3,270,655</w:t>
            </w:r>
          </w:p>
        </w:tc>
        <w:tc>
          <w:tcPr>
            <w:tcW w:w="980" w:type="dxa"/>
            <w:vAlign w:val="bottom"/>
          </w:tcPr>
          <w:p>
            <w:pPr>
              <w:jc w:val="right"/>
              <w:ind w:right="128"/>
              <w:spacing w:after="0"/>
              <w:rPr>
                <w:sz w:val="20"/>
                <w:szCs w:val="20"/>
                <w:color w:val="auto"/>
              </w:rPr>
            </w:pPr>
            <w:r>
              <w:rPr>
                <w:rFonts w:ascii="Arial" w:cs="Arial" w:eastAsia="Arial" w:hAnsi="Arial"/>
                <w:sz w:val="14"/>
                <w:szCs w:val="14"/>
                <w:color w:val="2D3243"/>
              </w:rPr>
              <w:t>—</w:t>
            </w:r>
          </w:p>
        </w:tc>
        <w:tc>
          <w:tcPr>
            <w:tcW w:w="1440" w:type="dxa"/>
            <w:vAlign w:val="bottom"/>
          </w:tcPr>
          <w:p>
            <w:pPr>
              <w:jc w:val="right"/>
              <w:ind w:right="128"/>
              <w:spacing w:after="0"/>
              <w:rPr>
                <w:sz w:val="20"/>
                <w:szCs w:val="20"/>
                <w:color w:val="auto"/>
              </w:rPr>
            </w:pPr>
            <w:r>
              <w:rPr>
                <w:rFonts w:ascii="Arial" w:cs="Arial" w:eastAsia="Arial" w:hAnsi="Arial"/>
                <w:sz w:val="14"/>
                <w:szCs w:val="14"/>
                <w:color w:val="2D3243"/>
              </w:rPr>
              <w:t>288,384</w:t>
            </w:r>
          </w:p>
        </w:tc>
        <w:tc>
          <w:tcPr>
            <w:tcW w:w="1400" w:type="dxa"/>
            <w:vAlign w:val="bottom"/>
          </w:tcPr>
          <w:p>
            <w:pPr>
              <w:jc w:val="right"/>
              <w:ind w:right="128"/>
              <w:spacing w:after="0"/>
              <w:rPr>
                <w:sz w:val="20"/>
                <w:szCs w:val="20"/>
                <w:color w:val="auto"/>
              </w:rPr>
            </w:pPr>
            <w:r>
              <w:rPr>
                <w:rFonts w:ascii="Arial" w:cs="Arial" w:eastAsia="Arial" w:hAnsi="Arial"/>
                <w:sz w:val="14"/>
                <w:szCs w:val="14"/>
                <w:color w:val="2D3243"/>
              </w:rPr>
              <w:t>1,523</w:t>
            </w:r>
          </w:p>
        </w:tc>
        <w:tc>
          <w:tcPr>
            <w:tcW w:w="1260" w:type="dxa"/>
            <w:vAlign w:val="bottom"/>
          </w:tcPr>
          <w:p>
            <w:pPr>
              <w:jc w:val="right"/>
              <w:ind w:right="88"/>
              <w:spacing w:after="0"/>
              <w:rPr>
                <w:sz w:val="20"/>
                <w:szCs w:val="20"/>
                <w:color w:val="auto"/>
              </w:rPr>
            </w:pPr>
            <w:r>
              <w:rPr>
                <w:rFonts w:ascii="Arial" w:cs="Arial" w:eastAsia="Arial" w:hAnsi="Arial"/>
                <w:sz w:val="14"/>
                <w:szCs w:val="14"/>
                <w:color w:val="2D3243"/>
              </w:rPr>
              <w:t>4,010,562</w:t>
            </w:r>
          </w:p>
        </w:tc>
        <w:tc>
          <w:tcPr>
            <w:tcW w:w="0" w:type="dxa"/>
            <w:vAlign w:val="bottom"/>
          </w:tcPr>
          <w:p>
            <w:pPr>
              <w:spacing w:after="0"/>
              <w:rPr>
                <w:sz w:val="1"/>
                <w:szCs w:val="1"/>
                <w:color w:val="auto"/>
              </w:rPr>
            </w:pPr>
          </w:p>
        </w:tc>
      </w:tr>
      <w:tr>
        <w:trPr>
          <w:trHeight w:val="134"/>
        </w:trPr>
        <w:tc>
          <w:tcPr>
            <w:tcW w:w="192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00"/>
              <w:spacing w:after="0"/>
              <w:rPr>
                <w:sz w:val="20"/>
                <w:szCs w:val="20"/>
                <w:color w:val="auto"/>
              </w:rPr>
            </w:pPr>
            <w:r>
              <w:rPr>
                <w:rFonts w:ascii="Arial" w:cs="Arial" w:eastAsia="Arial" w:hAnsi="Arial"/>
                <w:sz w:val="14"/>
                <w:szCs w:val="14"/>
                <w:color w:val="2D3243"/>
              </w:rPr>
              <w:t>Executive Vice President,</w:t>
            </w:r>
          </w:p>
        </w:tc>
        <w:tc>
          <w:tcPr>
            <w:tcW w:w="780" w:type="dxa"/>
            <w:vAlign w:val="bottom"/>
          </w:tcPr>
          <w:p>
            <w:pPr>
              <w:jc w:val="center"/>
              <w:spacing w:after="0"/>
              <w:rPr>
                <w:sz w:val="20"/>
                <w:szCs w:val="20"/>
                <w:color w:val="auto"/>
              </w:rPr>
            </w:pPr>
            <w:r>
              <w:rPr>
                <w:rFonts w:ascii="Arial" w:cs="Arial" w:eastAsia="Arial" w:hAnsi="Arial"/>
                <w:sz w:val="14"/>
                <w:szCs w:val="14"/>
                <w:color w:val="2D3243"/>
              </w:rPr>
              <w:t>2022</w:t>
            </w:r>
          </w:p>
        </w:tc>
        <w:tc>
          <w:tcPr>
            <w:tcW w:w="1080" w:type="dxa"/>
            <w:vAlign w:val="bottom"/>
          </w:tcPr>
          <w:p>
            <w:pPr>
              <w:jc w:val="right"/>
              <w:spacing w:after="0"/>
              <w:rPr>
                <w:sz w:val="20"/>
                <w:szCs w:val="20"/>
                <w:color w:val="auto"/>
              </w:rPr>
            </w:pPr>
            <w:r>
              <w:rPr>
                <w:rFonts w:ascii="Arial" w:cs="Arial" w:eastAsia="Arial" w:hAnsi="Arial"/>
                <w:sz w:val="14"/>
                <w:szCs w:val="14"/>
                <w:color w:val="2D3243"/>
              </w:rPr>
              <w:t>379,000</w:t>
            </w:r>
          </w:p>
        </w:tc>
        <w:tc>
          <w:tcPr>
            <w:tcW w:w="220" w:type="dxa"/>
            <w:vAlign w:val="bottom"/>
          </w:tcPr>
          <w:p>
            <w:pPr>
              <w:spacing w:after="0"/>
              <w:rPr>
                <w:sz w:val="14"/>
                <w:szCs w:val="14"/>
                <w:color w:val="auto"/>
              </w:rPr>
            </w:pPr>
          </w:p>
        </w:tc>
        <w:tc>
          <w:tcPr>
            <w:tcW w:w="820" w:type="dxa"/>
            <w:vAlign w:val="bottom"/>
          </w:tcPr>
          <w:p>
            <w:pPr>
              <w:ind w:left="460"/>
              <w:spacing w:after="0"/>
              <w:rPr>
                <w:sz w:val="20"/>
                <w:szCs w:val="20"/>
                <w:color w:val="auto"/>
              </w:rPr>
            </w:pPr>
            <w:r>
              <w:rPr>
                <w:rFonts w:ascii="Arial" w:cs="Arial" w:eastAsia="Arial" w:hAnsi="Arial"/>
                <w:sz w:val="14"/>
                <w:szCs w:val="14"/>
                <w:color w:val="2D3243"/>
              </w:rPr>
              <w:t>—</w:t>
            </w:r>
          </w:p>
        </w:tc>
        <w:tc>
          <w:tcPr>
            <w:tcW w:w="1340" w:type="dxa"/>
            <w:vAlign w:val="bottom"/>
          </w:tcPr>
          <w:p>
            <w:pPr>
              <w:jc w:val="right"/>
              <w:ind w:right="190"/>
              <w:spacing w:after="0"/>
              <w:rPr>
                <w:sz w:val="20"/>
                <w:szCs w:val="20"/>
                <w:color w:val="auto"/>
              </w:rPr>
            </w:pPr>
            <w:r>
              <w:rPr>
                <w:rFonts w:ascii="Arial" w:cs="Arial" w:eastAsia="Arial" w:hAnsi="Arial"/>
                <w:sz w:val="14"/>
                <w:szCs w:val="14"/>
                <w:color w:val="2D3243"/>
              </w:rPr>
              <w:t>6,363,209</w:t>
            </w:r>
          </w:p>
        </w:tc>
        <w:tc>
          <w:tcPr>
            <w:tcW w:w="980" w:type="dxa"/>
            <w:vAlign w:val="bottom"/>
          </w:tcPr>
          <w:p>
            <w:pPr>
              <w:jc w:val="right"/>
              <w:ind w:right="128"/>
              <w:spacing w:after="0"/>
              <w:rPr>
                <w:sz w:val="20"/>
                <w:szCs w:val="20"/>
                <w:color w:val="auto"/>
              </w:rPr>
            </w:pPr>
            <w:r>
              <w:rPr>
                <w:rFonts w:ascii="Arial" w:cs="Arial" w:eastAsia="Arial" w:hAnsi="Arial"/>
                <w:sz w:val="14"/>
                <w:szCs w:val="14"/>
                <w:color w:val="2D3243"/>
              </w:rPr>
              <w:t>513,965</w:t>
            </w:r>
          </w:p>
        </w:tc>
        <w:tc>
          <w:tcPr>
            <w:tcW w:w="1440" w:type="dxa"/>
            <w:vAlign w:val="bottom"/>
          </w:tcPr>
          <w:p>
            <w:pPr>
              <w:jc w:val="right"/>
              <w:ind w:right="128"/>
              <w:spacing w:after="0"/>
              <w:rPr>
                <w:sz w:val="20"/>
                <w:szCs w:val="20"/>
                <w:color w:val="auto"/>
              </w:rPr>
            </w:pPr>
            <w:r>
              <w:rPr>
                <w:rFonts w:ascii="Arial" w:cs="Arial" w:eastAsia="Arial" w:hAnsi="Arial"/>
                <w:sz w:val="14"/>
                <w:szCs w:val="14"/>
                <w:color w:val="2D3243"/>
              </w:rPr>
              <w:t>224,034</w:t>
            </w:r>
          </w:p>
        </w:tc>
        <w:tc>
          <w:tcPr>
            <w:tcW w:w="1400" w:type="dxa"/>
            <w:vAlign w:val="bottom"/>
          </w:tcPr>
          <w:p>
            <w:pPr>
              <w:jc w:val="right"/>
              <w:ind w:right="128"/>
              <w:spacing w:after="0"/>
              <w:rPr>
                <w:sz w:val="20"/>
                <w:szCs w:val="20"/>
                <w:color w:val="auto"/>
              </w:rPr>
            </w:pPr>
            <w:r>
              <w:rPr>
                <w:rFonts w:ascii="Arial" w:cs="Arial" w:eastAsia="Arial" w:hAnsi="Arial"/>
                <w:sz w:val="14"/>
                <w:szCs w:val="14"/>
                <w:color w:val="2D3243"/>
              </w:rPr>
              <w:t>2,347</w:t>
            </w:r>
          </w:p>
        </w:tc>
        <w:tc>
          <w:tcPr>
            <w:tcW w:w="1260" w:type="dxa"/>
            <w:vAlign w:val="bottom"/>
          </w:tcPr>
          <w:p>
            <w:pPr>
              <w:jc w:val="right"/>
              <w:ind w:right="88"/>
              <w:spacing w:after="0"/>
              <w:rPr>
                <w:sz w:val="20"/>
                <w:szCs w:val="20"/>
                <w:color w:val="auto"/>
              </w:rPr>
            </w:pPr>
            <w:r>
              <w:rPr>
                <w:rFonts w:ascii="Arial" w:cs="Arial" w:eastAsia="Arial" w:hAnsi="Arial"/>
                <w:sz w:val="14"/>
                <w:szCs w:val="14"/>
                <w:color w:val="2D3243"/>
              </w:rPr>
              <w:t>7,482,555</w:t>
            </w:r>
          </w:p>
        </w:tc>
        <w:tc>
          <w:tcPr>
            <w:tcW w:w="0" w:type="dxa"/>
            <w:vAlign w:val="bottom"/>
          </w:tcPr>
          <w:p>
            <w:pPr>
              <w:spacing w:after="0"/>
              <w:rPr>
                <w:sz w:val="1"/>
                <w:szCs w:val="1"/>
                <w:color w:val="auto"/>
              </w:rPr>
            </w:pPr>
          </w:p>
        </w:tc>
      </w:tr>
      <w:tr>
        <w:trPr>
          <w:trHeight w:val="190"/>
        </w:trPr>
        <w:tc>
          <w:tcPr>
            <w:tcW w:w="1920" w:type="dxa"/>
            <w:vAlign w:val="bottom"/>
          </w:tcPr>
          <w:p>
            <w:pPr>
              <w:ind w:left="100"/>
              <w:spacing w:after="0"/>
              <w:rPr>
                <w:sz w:val="20"/>
                <w:szCs w:val="20"/>
                <w:color w:val="auto"/>
              </w:rPr>
            </w:pPr>
            <w:r>
              <w:rPr>
                <w:rFonts w:ascii="Arial" w:cs="Arial" w:eastAsia="Arial" w:hAnsi="Arial"/>
                <w:sz w:val="14"/>
                <w:szCs w:val="14"/>
                <w:color w:val="2D3243"/>
              </w:rPr>
              <w:t>Product Engineering</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0"/>
          <w:szCs w:val="20"/>
          <w:color w:val="auto"/>
        </w:rPr>
      </w:pPr>
    </w:p>
    <w:p>
      <w:pPr>
        <w:ind w:left="340" w:right="60" w:hanging="332"/>
        <w:spacing w:after="0" w:line="330" w:lineRule="auto"/>
        <w:tabs>
          <w:tab w:leader="none" w:pos="338" w:val="left"/>
        </w:tabs>
        <w:numPr>
          <w:ilvl w:val="0"/>
          <w:numId w:val="56"/>
        </w:numPr>
        <w:rPr>
          <w:rFonts w:ascii="Arial" w:cs="Arial" w:eastAsia="Arial" w:hAnsi="Arial"/>
          <w:sz w:val="14"/>
          <w:szCs w:val="14"/>
          <w:color w:val="2D3243"/>
        </w:rPr>
      </w:pPr>
      <w:r>
        <w:rPr>
          <w:rFonts w:ascii="Arial" w:cs="Arial" w:eastAsia="Arial" w:hAnsi="Arial"/>
          <w:sz w:val="14"/>
          <w:szCs w:val="14"/>
          <w:color w:val="2D3243"/>
        </w:rPr>
        <w:t>The aggregate grant date fair value of equity awards reported in this column has been calculated in accordance with FASB ASC Topic 718, and such fair values differ from the target award values for the NEOs due to the Company using a multi-day average closing price to determine unit amounts and due to the additional value assigned to PRSUs with a relative TSR performance condition under the Monte Carlo Simulation model. See Note 7 of the notes to our consolidated financial statements in our Annual Report on Form 10-K for the year ended December 31, 2023, filed with the Securities and Exchange Commission on February 22, 2024, for a discussion of assumptions made in determining the grant date fair value of equity awards. These amounts do not correspond to the actual value, if any, that our NEOs will recognize from these awards. Our NEOs will only realize compensation from these awards to the extent they meet the vesting requirements under the awards.</w:t>
      </w:r>
    </w:p>
    <w:p>
      <w:pPr>
        <w:spacing w:after="0" w:line="21" w:lineRule="exact"/>
        <w:rPr>
          <w:rFonts w:ascii="Arial" w:cs="Arial" w:eastAsia="Arial" w:hAnsi="Arial"/>
          <w:sz w:val="14"/>
          <w:szCs w:val="14"/>
          <w:color w:val="2D3243"/>
        </w:rPr>
      </w:pPr>
    </w:p>
    <w:p>
      <w:pPr>
        <w:ind w:left="340" w:right="40" w:hanging="332"/>
        <w:spacing w:after="0" w:line="326" w:lineRule="auto"/>
        <w:tabs>
          <w:tab w:leader="none" w:pos="338" w:val="left"/>
        </w:tabs>
        <w:numPr>
          <w:ilvl w:val="0"/>
          <w:numId w:val="56"/>
        </w:numPr>
        <w:rPr>
          <w:rFonts w:ascii="Arial" w:cs="Arial" w:eastAsia="Arial" w:hAnsi="Arial"/>
          <w:sz w:val="14"/>
          <w:szCs w:val="14"/>
          <w:color w:val="2D3243"/>
        </w:rPr>
      </w:pPr>
      <w:r>
        <w:rPr>
          <w:rFonts w:ascii="Arial" w:cs="Arial" w:eastAsia="Arial" w:hAnsi="Arial"/>
          <w:sz w:val="14"/>
          <w:szCs w:val="14"/>
          <w:color w:val="2D3243"/>
        </w:rPr>
        <w:t>For our CEO, the amounts reported in this column for 2022 include a grant of RSU awards of 2,132 shares and aggregate grant date fair value of $0.2 million received under his independent contractor agreement for his services as Chairman prior to November 28, 2022, as well as RSUs and PRSUs granted in connection with his appointment as our CEO, effective as of November 28, 2022, with a total grant date fair value of approximately $37.8 million. For Mr. Zwarenstein, the amounts reported in this column for 2022 include both (i) annual RSU awards granted in February 2022 and (ii) retention-based RSU awards granted in November 2022, and the number of shares and aggregate grant date fair values are (i) 21,136 shares and $2.3 million for the RSUs, 7,045 shares and $1.0 million for the PRSUs and (ii) 35,306 shares and $2.1 million for the RSUs, respectively. For Daniel Burkland, the amounts reported in this column for 2022 include (a) annual RSU and PRSU awards granted in February 2022, (b) retention-based RSU and PRSU awards granted in June 2022 and (c) additional retention-based RSU awards granted in November 2022, and the number of shares and aggregate grant date fair value was (a) 24,156 shares and $2.7 million for the RSUs, and 8,052 shares and $1.1 million for the PRSUs, (b) 20,321 shares and $2.1 million for the RSUs and 60,963 shares and $6.3 million for the PRSUs, and (c) 32,883 shares and $2.0 million for the RSUs, respectively. For Mr. Kozanian, the amounts reported in this column for 2022 include (x) annual RSU and stock option awards granted in February 2022, (y) promotion-based RSU awards granted in August 2022, and (z) additional retention-based RSU awards granted in November 2022, and the number of shares and aggregate grant date fair value was (x) 15,097 shares and $1.7 million for the RSUs and 10,218 shares and $0.5 million for the stock options, (y) 22,011 shares and $2.6 million for the RSUs, and (z) 35,133 shares and $2.1 million for the RSUs,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59</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7" w:name="page68"/>
    <w:bookmarkEnd w:id="67"/>
    <w:p>
      <w:pPr>
        <w:ind w:left="12"/>
        <w:spacing w:after="0"/>
        <w:tabs>
          <w:tab w:leader="none" w:pos="10072"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2" w:hanging="332"/>
        <w:spacing w:after="0" w:line="336" w:lineRule="auto"/>
        <w:tabs>
          <w:tab w:leader="none" w:pos="330" w:val="left"/>
        </w:tabs>
        <w:numPr>
          <w:ilvl w:val="0"/>
          <w:numId w:val="57"/>
        </w:numPr>
        <w:rPr>
          <w:rFonts w:ascii="Arial" w:cs="Arial" w:eastAsia="Arial" w:hAnsi="Arial"/>
          <w:sz w:val="14"/>
          <w:szCs w:val="14"/>
          <w:color w:val="2D3243"/>
        </w:rPr>
      </w:pPr>
      <w:r>
        <w:rPr>
          <w:rFonts w:ascii="Arial" w:cs="Arial" w:eastAsia="Arial" w:hAnsi="Arial"/>
          <w:sz w:val="14"/>
          <w:szCs w:val="14"/>
          <w:color w:val="2D3243"/>
        </w:rPr>
        <w:t>For Messrs. Zwarenstein and Daniel Burkland, the amounts reported in this column for 2021 include retention-based RSU awards granted in August 2021 that were conditioned upon the close of our then-proposed Merger and that were subsequently cancelled on September 30, 2021 upon the termination of the Merger Agreement. The number of shares and aggregate grant date fair value of the cancelled RSU awards was 3,670 shares and $699,869, and 3,891 shares and $742,014, for Messrs. Zwarenstein and Daniel Burkland, respectively.</w:t>
      </w:r>
    </w:p>
    <w:p>
      <w:pPr>
        <w:spacing w:after="0" w:line="16" w:lineRule="exact"/>
        <w:rPr>
          <w:rFonts w:ascii="Arial" w:cs="Arial" w:eastAsia="Arial" w:hAnsi="Arial"/>
          <w:sz w:val="14"/>
          <w:szCs w:val="14"/>
          <w:color w:val="2D3243"/>
        </w:rPr>
      </w:pPr>
    </w:p>
    <w:p>
      <w:pPr>
        <w:ind w:left="332" w:right="100" w:hanging="332"/>
        <w:spacing w:after="0" w:line="330" w:lineRule="auto"/>
        <w:tabs>
          <w:tab w:leader="none" w:pos="330" w:val="left"/>
        </w:tabs>
        <w:numPr>
          <w:ilvl w:val="0"/>
          <w:numId w:val="57"/>
        </w:numPr>
        <w:rPr>
          <w:rFonts w:ascii="Arial" w:cs="Arial" w:eastAsia="Arial" w:hAnsi="Arial"/>
          <w:sz w:val="14"/>
          <w:szCs w:val="14"/>
          <w:color w:val="2D3243"/>
        </w:rPr>
      </w:pPr>
      <w:r>
        <w:rPr>
          <w:rFonts w:ascii="Arial" w:cs="Arial" w:eastAsia="Arial" w:hAnsi="Arial"/>
          <w:sz w:val="14"/>
          <w:szCs w:val="14"/>
          <w:color w:val="2D3243"/>
        </w:rPr>
        <w:t>The amounts reported in this column includes grant date fair value of PRSU awards based upon the probable outcome of such conditions at the time of their grant. For 2023, the values of the PRSU awards assuming the highest level of performance conditions, along with the related fair value amount based on achievement at the target level included in this column, were as follows: Mr. Zwarenstein (target - $778,205, maximum - $1,556,410), Daniel Burkland (target - $852,148, maximum - $1,704,296), and Mr. Kozanian (target - $817,664, maximum - $1,635,328). For 2022, the values of the PRSU awards assuming the highest level of performance conditions, along with the related fair value amount based on achievement at the target level included in this column, were as follows: Michael Burkland (target - $22,330,303, maximum - $44,660,606), Mr. Zwarenstein (target - $979,356, maximum - $1,958,711), and Daniel Burkland (target - $7,433,166, maximum - $8,552,394).</w:t>
      </w:r>
    </w:p>
    <w:p>
      <w:pPr>
        <w:spacing w:after="0" w:line="21" w:lineRule="exact"/>
        <w:rPr>
          <w:rFonts w:ascii="Arial" w:cs="Arial" w:eastAsia="Arial" w:hAnsi="Arial"/>
          <w:sz w:val="14"/>
          <w:szCs w:val="14"/>
          <w:color w:val="2D3243"/>
        </w:rPr>
      </w:pPr>
    </w:p>
    <w:p>
      <w:pPr>
        <w:ind w:left="332" w:right="80" w:hanging="332"/>
        <w:spacing w:after="0" w:line="330" w:lineRule="auto"/>
        <w:tabs>
          <w:tab w:leader="none" w:pos="330" w:val="left"/>
        </w:tabs>
        <w:numPr>
          <w:ilvl w:val="0"/>
          <w:numId w:val="57"/>
        </w:numPr>
        <w:rPr>
          <w:rFonts w:ascii="Arial" w:cs="Arial" w:eastAsia="Arial" w:hAnsi="Arial"/>
          <w:sz w:val="14"/>
          <w:szCs w:val="14"/>
          <w:color w:val="2D3243"/>
        </w:rPr>
      </w:pPr>
      <w:r>
        <w:rPr>
          <w:rFonts w:ascii="Arial" w:cs="Arial" w:eastAsia="Arial" w:hAnsi="Arial"/>
          <w:sz w:val="14"/>
          <w:szCs w:val="14"/>
          <w:color w:val="2D3243"/>
        </w:rPr>
        <w:t>The amounts reported in this column represent amounts earned under our 2023, 2022 and 2021 Bonus Programs based on the achievement of Company and individual performance goals. As discussed in the section above entitled “Compensation Discussion and Analysis - Key Elements of Our 2023 Executive Compensation Program,” the total payments for Messrs. Michael Burkland, Zwarenstein, Daniel Burkland, Dignan and Kozanian, as of the end of 2023 were 104%, 103%, 97%, 94% and 99% of each NEO’s annual target annual cash bonus opportunities, respectively. Michael Burkland's bonus amount earned for 2022 was from his appointment as CEO, effective November 28, 2022. The amounts reported for 2022 also includes a special incentive bonus of $50,000 payable to each of the NEOs (other than Michael Burkland) due to fully achieving the earn-out contingent consideration related to the acquisition of Inference Solutions, Inc.</w:t>
      </w:r>
    </w:p>
    <w:p>
      <w:pPr>
        <w:spacing w:after="0" w:line="21" w:lineRule="exact"/>
        <w:rPr>
          <w:rFonts w:ascii="Arial" w:cs="Arial" w:eastAsia="Arial" w:hAnsi="Arial"/>
          <w:sz w:val="14"/>
          <w:szCs w:val="14"/>
          <w:color w:val="2D3243"/>
        </w:rPr>
      </w:pPr>
    </w:p>
    <w:p>
      <w:pPr>
        <w:ind w:left="332" w:right="60" w:hanging="332"/>
        <w:spacing w:after="0" w:line="336" w:lineRule="auto"/>
        <w:tabs>
          <w:tab w:leader="none" w:pos="330" w:val="left"/>
        </w:tabs>
        <w:numPr>
          <w:ilvl w:val="0"/>
          <w:numId w:val="57"/>
        </w:numPr>
        <w:rPr>
          <w:rFonts w:ascii="Arial" w:cs="Arial" w:eastAsia="Arial" w:hAnsi="Arial"/>
          <w:sz w:val="14"/>
          <w:szCs w:val="14"/>
          <w:color w:val="2D3243"/>
        </w:rPr>
      </w:pPr>
      <w:r>
        <w:rPr>
          <w:rFonts w:ascii="Arial" w:cs="Arial" w:eastAsia="Arial" w:hAnsi="Arial"/>
          <w:sz w:val="14"/>
          <w:szCs w:val="14"/>
          <w:color w:val="2D3243"/>
        </w:rPr>
        <w:t>The amounts reported for 2023, 2022 and 2021 represent disability insurance paid by us for the NEOs (other than Michael Burkland) and Company matching contributions under the Section 401(k) plan. For Michael Burkland, the amounts reported for 2022 include cash compensation of $95,584 and continued healthcare benefits of $35,245 pursuant to his Chairman independent contractor agreement, in consideration of his service as our Chairman, prior to his appointment as our CEO effective as of November 28, 2022.</w:t>
      </w:r>
    </w:p>
    <w:p>
      <w:pPr>
        <w:spacing w:after="0" w:line="16" w:lineRule="exact"/>
        <w:rPr>
          <w:rFonts w:ascii="Arial" w:cs="Arial" w:eastAsia="Arial" w:hAnsi="Arial"/>
          <w:sz w:val="14"/>
          <w:szCs w:val="14"/>
          <w:color w:val="2D3243"/>
        </w:rPr>
      </w:pPr>
    </w:p>
    <w:p>
      <w:pPr>
        <w:ind w:left="332" w:right="560" w:hanging="332"/>
        <w:spacing w:after="0" w:line="365" w:lineRule="auto"/>
        <w:tabs>
          <w:tab w:leader="none" w:pos="330" w:val="left"/>
        </w:tabs>
        <w:numPr>
          <w:ilvl w:val="0"/>
          <w:numId w:val="57"/>
        </w:numPr>
        <w:rPr>
          <w:rFonts w:ascii="Arial" w:cs="Arial" w:eastAsia="Arial" w:hAnsi="Arial"/>
          <w:sz w:val="14"/>
          <w:szCs w:val="14"/>
          <w:color w:val="2D3243"/>
        </w:rPr>
      </w:pPr>
      <w:r>
        <w:rPr>
          <w:rFonts w:ascii="Arial" w:cs="Arial" w:eastAsia="Arial" w:hAnsi="Arial"/>
          <w:sz w:val="14"/>
          <w:szCs w:val="14"/>
          <w:color w:val="2D3243"/>
        </w:rPr>
        <w:t>Mr. Dignan's 2023 base salary was $410,000 from January 1, 2023 through November 8, 2023, and was $446,000 from his appointment as an executive officer on November 9, 2023 through December 31,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92"/>
        <w:spacing w:after="0"/>
        <w:tabs>
          <w:tab w:leader="none" w:pos="5512" w:val="left"/>
          <w:tab w:leader="none" w:pos="6012"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60</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84" w:right="359" w:bottom="1440" w:gutter="0" w:footer="0" w:header="0"/>
        </w:sectPr>
      </w:pPr>
    </w:p>
    <w:bookmarkStart w:id="68" w:name="page69"/>
    <w:bookmarkEnd w:id="68"/>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2023 Grants of Plan-Based Awards Table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presents information regarding grants of non-equity incentive and equity incentive awards to our NEOs during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shd w:val="clear" w:color="auto" w:fill="0336FF"/>
          </w:tcPr>
          <w:p>
            <w:pPr>
              <w:spacing w:after="0"/>
              <w:rPr>
                <w:sz w:val="14"/>
                <w:szCs w:val="14"/>
                <w:color w:val="auto"/>
              </w:rPr>
            </w:pPr>
          </w:p>
        </w:tc>
        <w:tc>
          <w:tcPr>
            <w:tcW w:w="760" w:type="dxa"/>
            <w:vAlign w:val="bottom"/>
            <w:shd w:val="clear" w:color="auto" w:fill="0336FF"/>
          </w:tcPr>
          <w:p>
            <w:pPr>
              <w:spacing w:after="0"/>
              <w:rPr>
                <w:sz w:val="14"/>
                <w:szCs w:val="14"/>
                <w:color w:val="auto"/>
              </w:rPr>
            </w:pPr>
          </w:p>
        </w:tc>
        <w:tc>
          <w:tcPr>
            <w:tcW w:w="780" w:type="dxa"/>
            <w:vAlign w:val="bottom"/>
            <w:shd w:val="clear" w:color="auto" w:fill="0336FF"/>
          </w:tcPr>
          <w:p>
            <w:pPr>
              <w:spacing w:after="0"/>
              <w:rPr>
                <w:sz w:val="14"/>
                <w:szCs w:val="14"/>
                <w:color w:val="auto"/>
              </w:rPr>
            </w:pPr>
          </w:p>
        </w:tc>
        <w:tc>
          <w:tcPr>
            <w:tcW w:w="540" w:type="dxa"/>
            <w:vAlign w:val="bottom"/>
            <w:shd w:val="clear" w:color="auto" w:fill="0336FF"/>
          </w:tcPr>
          <w:p>
            <w:pPr>
              <w:spacing w:after="0"/>
              <w:rPr>
                <w:sz w:val="14"/>
                <w:szCs w:val="14"/>
                <w:color w:val="auto"/>
              </w:rPr>
            </w:pPr>
          </w:p>
        </w:tc>
        <w:tc>
          <w:tcPr>
            <w:tcW w:w="96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Estimated</w:t>
            </w:r>
          </w:p>
        </w:tc>
        <w:tc>
          <w:tcPr>
            <w:tcW w:w="92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rPr>
              <w:t>Estimated</w:t>
            </w: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Estimated</w:t>
            </w: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Estimated</w:t>
            </w:r>
          </w:p>
        </w:tc>
        <w:tc>
          <w:tcPr>
            <w:tcW w:w="1000" w:type="dxa"/>
            <w:vAlign w:val="bottom"/>
            <w:vMerge w:val="restart"/>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Estimated</w:t>
            </w:r>
          </w:p>
        </w:tc>
        <w:tc>
          <w:tcPr>
            <w:tcW w:w="860" w:type="dxa"/>
            <w:vAlign w:val="bottom"/>
            <w:vMerge w:val="restart"/>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All Other</w:t>
            </w:r>
          </w:p>
        </w:tc>
        <w:tc>
          <w:tcPr>
            <w:tcW w:w="8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All Other</w:t>
            </w:r>
          </w:p>
        </w:tc>
        <w:tc>
          <w:tcPr>
            <w:tcW w:w="780" w:type="dxa"/>
            <w:vAlign w:val="bottom"/>
            <w:shd w:val="clear" w:color="auto" w:fill="0336FF"/>
          </w:tcPr>
          <w:p>
            <w:pPr>
              <w:spacing w:after="0"/>
              <w:rPr>
                <w:sz w:val="14"/>
                <w:szCs w:val="14"/>
                <w:color w:val="auto"/>
              </w:rPr>
            </w:pPr>
          </w:p>
        </w:tc>
        <w:tc>
          <w:tcPr>
            <w:tcW w:w="940" w:type="dxa"/>
            <w:vAlign w:val="bottom"/>
            <w:shd w:val="clear" w:color="auto" w:fill="0336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40" w:type="dxa"/>
            <w:vAlign w:val="bottom"/>
            <w:shd w:val="clear" w:color="auto" w:fill="0336FF"/>
          </w:tcPr>
          <w:p>
            <w:pPr>
              <w:spacing w:after="0"/>
              <w:rPr>
                <w:sz w:val="4"/>
                <w:szCs w:val="4"/>
                <w:color w:val="auto"/>
              </w:rPr>
            </w:pPr>
          </w:p>
        </w:tc>
        <w:tc>
          <w:tcPr>
            <w:tcW w:w="760" w:type="dxa"/>
            <w:vAlign w:val="bottom"/>
            <w:shd w:val="clear" w:color="auto" w:fill="0336FF"/>
          </w:tcPr>
          <w:p>
            <w:pPr>
              <w:spacing w:after="0"/>
              <w:rPr>
                <w:sz w:val="4"/>
                <w:szCs w:val="4"/>
                <w:color w:val="auto"/>
              </w:rPr>
            </w:pPr>
          </w:p>
        </w:tc>
        <w:tc>
          <w:tcPr>
            <w:tcW w:w="780" w:type="dxa"/>
            <w:vAlign w:val="bottom"/>
            <w:shd w:val="clear" w:color="auto" w:fill="0336FF"/>
          </w:tcPr>
          <w:p>
            <w:pPr>
              <w:spacing w:after="0"/>
              <w:rPr>
                <w:sz w:val="4"/>
                <w:szCs w:val="4"/>
                <w:color w:val="auto"/>
              </w:rPr>
            </w:pPr>
          </w:p>
        </w:tc>
        <w:tc>
          <w:tcPr>
            <w:tcW w:w="540" w:type="dxa"/>
            <w:vAlign w:val="bottom"/>
            <w:shd w:val="clear" w:color="auto" w:fill="0336FF"/>
          </w:tcPr>
          <w:p>
            <w:pPr>
              <w:spacing w:after="0"/>
              <w:rPr>
                <w:sz w:val="4"/>
                <w:szCs w:val="4"/>
                <w:color w:val="auto"/>
              </w:rPr>
            </w:pPr>
          </w:p>
        </w:tc>
        <w:tc>
          <w:tcPr>
            <w:tcW w:w="960" w:type="dxa"/>
            <w:vAlign w:val="bottom"/>
            <w:vMerge w:val="continue"/>
            <w:shd w:val="clear" w:color="auto" w:fill="0336FF"/>
          </w:tcPr>
          <w:p>
            <w:pPr>
              <w:spacing w:after="0"/>
              <w:rPr>
                <w:sz w:val="4"/>
                <w:szCs w:val="4"/>
                <w:color w:val="auto"/>
              </w:rPr>
            </w:pP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Possible</w:t>
            </w:r>
          </w:p>
        </w:tc>
        <w:tc>
          <w:tcPr>
            <w:tcW w:w="920" w:type="dxa"/>
            <w:vAlign w:val="bottom"/>
            <w:vMerge w:val="continue"/>
            <w:shd w:val="clear" w:color="auto" w:fill="0336FF"/>
          </w:tcPr>
          <w:p>
            <w:pPr>
              <w:spacing w:after="0"/>
              <w:rPr>
                <w:sz w:val="4"/>
                <w:szCs w:val="4"/>
                <w:color w:val="auto"/>
              </w:rPr>
            </w:pPr>
          </w:p>
        </w:tc>
        <w:tc>
          <w:tcPr>
            <w:tcW w:w="920" w:type="dxa"/>
            <w:vAlign w:val="bottom"/>
            <w:vMerge w:val="continue"/>
            <w:shd w:val="clear" w:color="auto" w:fill="0336FF"/>
          </w:tcPr>
          <w:p>
            <w:pPr>
              <w:spacing w:after="0"/>
              <w:rPr>
                <w:sz w:val="4"/>
                <w:szCs w:val="4"/>
                <w:color w:val="auto"/>
              </w:rPr>
            </w:pPr>
          </w:p>
        </w:tc>
        <w:tc>
          <w:tcPr>
            <w:tcW w:w="1000" w:type="dxa"/>
            <w:vAlign w:val="bottom"/>
            <w:vMerge w:val="continue"/>
            <w:shd w:val="clear" w:color="auto" w:fill="0336FF"/>
          </w:tcPr>
          <w:p>
            <w:pPr>
              <w:spacing w:after="0"/>
              <w:rPr>
                <w:sz w:val="4"/>
                <w:szCs w:val="4"/>
                <w:color w:val="auto"/>
              </w:rPr>
            </w:pPr>
          </w:p>
        </w:tc>
        <w:tc>
          <w:tcPr>
            <w:tcW w:w="860" w:type="dxa"/>
            <w:vAlign w:val="bottom"/>
            <w:vMerge w:val="continue"/>
            <w:shd w:val="clear" w:color="auto" w:fill="0336FF"/>
          </w:tcPr>
          <w:p>
            <w:pPr>
              <w:spacing w:after="0"/>
              <w:rPr>
                <w:sz w:val="4"/>
                <w:szCs w:val="4"/>
                <w:color w:val="auto"/>
              </w:rPr>
            </w:pPr>
          </w:p>
        </w:tc>
        <w:tc>
          <w:tcPr>
            <w:tcW w:w="820" w:type="dxa"/>
            <w:vAlign w:val="bottom"/>
            <w:vMerge w:val="continue"/>
            <w:shd w:val="clear" w:color="auto" w:fill="0336FF"/>
          </w:tcPr>
          <w:p>
            <w:pPr>
              <w:spacing w:after="0"/>
              <w:rPr>
                <w:sz w:val="4"/>
                <w:szCs w:val="4"/>
                <w:color w:val="auto"/>
              </w:rPr>
            </w:pPr>
          </w:p>
        </w:tc>
        <w:tc>
          <w:tcPr>
            <w:tcW w:w="780" w:type="dxa"/>
            <w:vAlign w:val="bottom"/>
            <w:shd w:val="clear" w:color="auto" w:fill="0336FF"/>
          </w:tcPr>
          <w:p>
            <w:pPr>
              <w:spacing w:after="0"/>
              <w:rPr>
                <w:sz w:val="4"/>
                <w:szCs w:val="4"/>
                <w:color w:val="auto"/>
              </w:rPr>
            </w:pPr>
          </w:p>
        </w:tc>
        <w:tc>
          <w:tcPr>
            <w:tcW w:w="940" w:type="dxa"/>
            <w:vAlign w:val="bottom"/>
            <w:shd w:val="clear" w:color="auto" w:fill="0336FF"/>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040" w:type="dxa"/>
            <w:vAlign w:val="bottom"/>
            <w:shd w:val="clear" w:color="auto" w:fill="0336FF"/>
          </w:tcPr>
          <w:p>
            <w:pPr>
              <w:spacing w:after="0"/>
              <w:rPr>
                <w:sz w:val="8"/>
                <w:szCs w:val="8"/>
                <w:color w:val="auto"/>
              </w:rPr>
            </w:pPr>
          </w:p>
        </w:tc>
        <w:tc>
          <w:tcPr>
            <w:tcW w:w="760" w:type="dxa"/>
            <w:vAlign w:val="bottom"/>
            <w:shd w:val="clear" w:color="auto" w:fill="0336FF"/>
          </w:tcPr>
          <w:p>
            <w:pPr>
              <w:spacing w:after="0"/>
              <w:rPr>
                <w:sz w:val="8"/>
                <w:szCs w:val="8"/>
                <w:color w:val="auto"/>
              </w:rPr>
            </w:pPr>
          </w:p>
        </w:tc>
        <w:tc>
          <w:tcPr>
            <w:tcW w:w="780" w:type="dxa"/>
            <w:vAlign w:val="bottom"/>
            <w:shd w:val="clear" w:color="auto" w:fill="0336FF"/>
          </w:tcPr>
          <w:p>
            <w:pPr>
              <w:spacing w:after="0"/>
              <w:rPr>
                <w:sz w:val="8"/>
                <w:szCs w:val="8"/>
                <w:color w:val="auto"/>
              </w:rPr>
            </w:pPr>
          </w:p>
        </w:tc>
        <w:tc>
          <w:tcPr>
            <w:tcW w:w="540" w:type="dxa"/>
            <w:vAlign w:val="bottom"/>
            <w:shd w:val="clear" w:color="auto" w:fill="0336FF"/>
          </w:tcPr>
          <w:p>
            <w:pPr>
              <w:spacing w:after="0"/>
              <w:rPr>
                <w:sz w:val="8"/>
                <w:szCs w:val="8"/>
                <w:color w:val="auto"/>
              </w:rPr>
            </w:pPr>
          </w:p>
        </w:tc>
        <w:tc>
          <w:tcPr>
            <w:tcW w:w="96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Possible</w:t>
            </w:r>
          </w:p>
        </w:tc>
        <w:tc>
          <w:tcPr>
            <w:tcW w:w="920" w:type="dxa"/>
            <w:vAlign w:val="bottom"/>
            <w:vMerge w:val="continue"/>
            <w:shd w:val="clear" w:color="auto" w:fill="0336FF"/>
          </w:tcPr>
          <w:p>
            <w:pPr>
              <w:spacing w:after="0"/>
              <w:rPr>
                <w:sz w:val="8"/>
                <w:szCs w:val="8"/>
                <w:color w:val="auto"/>
              </w:rPr>
            </w:pPr>
          </w:p>
        </w:tc>
        <w:tc>
          <w:tcPr>
            <w:tcW w:w="920" w:type="dxa"/>
            <w:vAlign w:val="bottom"/>
            <w:vMerge w:val="continue"/>
            <w:shd w:val="clear" w:color="auto" w:fill="0336FF"/>
          </w:tcPr>
          <w:p>
            <w:pPr>
              <w:spacing w:after="0"/>
              <w:rPr>
                <w:sz w:val="8"/>
                <w:szCs w:val="8"/>
                <w:color w:val="auto"/>
              </w:rPr>
            </w:pPr>
          </w:p>
        </w:tc>
        <w:tc>
          <w:tcPr>
            <w:tcW w:w="920" w:type="dxa"/>
            <w:vAlign w:val="bottom"/>
            <w:vMerge w:val="continue"/>
            <w:shd w:val="clear" w:color="auto" w:fill="0336FF"/>
          </w:tcPr>
          <w:p>
            <w:pPr>
              <w:spacing w:after="0"/>
              <w:rPr>
                <w:sz w:val="8"/>
                <w:szCs w:val="8"/>
                <w:color w:val="auto"/>
              </w:rPr>
            </w:pPr>
          </w:p>
        </w:tc>
        <w:tc>
          <w:tcPr>
            <w:tcW w:w="1000" w:type="dxa"/>
            <w:vAlign w:val="bottom"/>
            <w:vMerge w:val="continue"/>
            <w:shd w:val="clear" w:color="auto" w:fill="0336FF"/>
          </w:tcPr>
          <w:p>
            <w:pPr>
              <w:spacing w:after="0"/>
              <w:rPr>
                <w:sz w:val="8"/>
                <w:szCs w:val="8"/>
                <w:color w:val="auto"/>
              </w:rPr>
            </w:pPr>
          </w:p>
        </w:tc>
        <w:tc>
          <w:tcPr>
            <w:tcW w:w="860" w:type="dxa"/>
            <w:vAlign w:val="bottom"/>
            <w:vMerge w:val="continue"/>
            <w:shd w:val="clear" w:color="auto" w:fill="0336FF"/>
          </w:tcPr>
          <w:p>
            <w:pPr>
              <w:spacing w:after="0"/>
              <w:rPr>
                <w:sz w:val="8"/>
                <w:szCs w:val="8"/>
                <w:color w:val="auto"/>
              </w:rPr>
            </w:pPr>
          </w:p>
        </w:tc>
        <w:tc>
          <w:tcPr>
            <w:tcW w:w="820" w:type="dxa"/>
            <w:vAlign w:val="bottom"/>
            <w:vMerge w:val="continue"/>
            <w:shd w:val="clear" w:color="auto" w:fill="0336FF"/>
          </w:tcPr>
          <w:p>
            <w:pPr>
              <w:spacing w:after="0"/>
              <w:rPr>
                <w:sz w:val="8"/>
                <w:szCs w:val="8"/>
                <w:color w:val="auto"/>
              </w:rPr>
            </w:pPr>
          </w:p>
        </w:tc>
        <w:tc>
          <w:tcPr>
            <w:tcW w:w="780" w:type="dxa"/>
            <w:vAlign w:val="bottom"/>
            <w:shd w:val="clear" w:color="auto" w:fill="0336FF"/>
          </w:tcPr>
          <w:p>
            <w:pPr>
              <w:spacing w:after="0"/>
              <w:rPr>
                <w:sz w:val="8"/>
                <w:szCs w:val="8"/>
                <w:color w:val="auto"/>
              </w:rPr>
            </w:pPr>
          </w:p>
        </w:tc>
        <w:tc>
          <w:tcPr>
            <w:tcW w:w="940" w:type="dxa"/>
            <w:vAlign w:val="bottom"/>
            <w:shd w:val="clear" w:color="auto" w:fill="0336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40" w:type="dxa"/>
            <w:vAlign w:val="bottom"/>
            <w:shd w:val="clear" w:color="auto" w:fill="0336FF"/>
          </w:tcPr>
          <w:p>
            <w:pPr>
              <w:spacing w:after="0"/>
              <w:rPr>
                <w:sz w:val="4"/>
                <w:szCs w:val="4"/>
                <w:color w:val="auto"/>
              </w:rPr>
            </w:pPr>
          </w:p>
        </w:tc>
        <w:tc>
          <w:tcPr>
            <w:tcW w:w="760" w:type="dxa"/>
            <w:vAlign w:val="bottom"/>
            <w:shd w:val="clear" w:color="auto" w:fill="0336FF"/>
          </w:tcPr>
          <w:p>
            <w:pPr>
              <w:spacing w:after="0"/>
              <w:rPr>
                <w:sz w:val="4"/>
                <w:szCs w:val="4"/>
                <w:color w:val="auto"/>
              </w:rPr>
            </w:pPr>
          </w:p>
        </w:tc>
        <w:tc>
          <w:tcPr>
            <w:tcW w:w="780" w:type="dxa"/>
            <w:vAlign w:val="bottom"/>
            <w:shd w:val="clear" w:color="auto" w:fill="0336FF"/>
          </w:tcPr>
          <w:p>
            <w:pPr>
              <w:spacing w:after="0"/>
              <w:rPr>
                <w:sz w:val="4"/>
                <w:szCs w:val="4"/>
                <w:color w:val="auto"/>
              </w:rPr>
            </w:pPr>
          </w:p>
        </w:tc>
        <w:tc>
          <w:tcPr>
            <w:tcW w:w="540" w:type="dxa"/>
            <w:vAlign w:val="bottom"/>
            <w:shd w:val="clear" w:color="auto" w:fill="0336FF"/>
          </w:tcPr>
          <w:p>
            <w:pPr>
              <w:spacing w:after="0"/>
              <w:rPr>
                <w:sz w:val="4"/>
                <w:szCs w:val="4"/>
                <w:color w:val="auto"/>
              </w:rPr>
            </w:pPr>
          </w:p>
        </w:tc>
        <w:tc>
          <w:tcPr>
            <w:tcW w:w="960" w:type="dxa"/>
            <w:vAlign w:val="bottom"/>
            <w:vMerge w:val="continue"/>
            <w:shd w:val="clear" w:color="auto" w:fill="0336FF"/>
          </w:tcPr>
          <w:p>
            <w:pPr>
              <w:spacing w:after="0"/>
              <w:rPr>
                <w:sz w:val="4"/>
                <w:szCs w:val="4"/>
                <w:color w:val="auto"/>
              </w:rPr>
            </w:pP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Payouts</w:t>
            </w: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Possible</w:t>
            </w: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Possible</w:t>
            </w:r>
          </w:p>
        </w:tc>
        <w:tc>
          <w:tcPr>
            <w:tcW w:w="1000" w:type="dxa"/>
            <w:vAlign w:val="bottom"/>
            <w:vMerge w:val="restart"/>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Possible</w:t>
            </w:r>
          </w:p>
        </w:tc>
        <w:tc>
          <w:tcPr>
            <w:tcW w:w="860" w:type="dxa"/>
            <w:vAlign w:val="bottom"/>
            <w:vMerge w:val="restart"/>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Stock</w:t>
            </w:r>
          </w:p>
        </w:tc>
        <w:tc>
          <w:tcPr>
            <w:tcW w:w="8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Option</w:t>
            </w:r>
          </w:p>
        </w:tc>
        <w:tc>
          <w:tcPr>
            <w:tcW w:w="780" w:type="dxa"/>
            <w:vAlign w:val="bottom"/>
            <w:shd w:val="clear" w:color="auto" w:fill="0336FF"/>
          </w:tcPr>
          <w:p>
            <w:pPr>
              <w:spacing w:after="0"/>
              <w:rPr>
                <w:sz w:val="4"/>
                <w:szCs w:val="4"/>
                <w:color w:val="auto"/>
              </w:rPr>
            </w:pPr>
          </w:p>
        </w:tc>
        <w:tc>
          <w:tcPr>
            <w:tcW w:w="940" w:type="dxa"/>
            <w:vAlign w:val="bottom"/>
            <w:shd w:val="clear" w:color="auto" w:fill="0336FF"/>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040" w:type="dxa"/>
            <w:vAlign w:val="bottom"/>
            <w:shd w:val="clear" w:color="auto" w:fill="0336FF"/>
          </w:tcPr>
          <w:p>
            <w:pPr>
              <w:spacing w:after="0"/>
              <w:rPr>
                <w:sz w:val="8"/>
                <w:szCs w:val="8"/>
                <w:color w:val="auto"/>
              </w:rPr>
            </w:pPr>
          </w:p>
        </w:tc>
        <w:tc>
          <w:tcPr>
            <w:tcW w:w="760" w:type="dxa"/>
            <w:vAlign w:val="bottom"/>
            <w:shd w:val="clear" w:color="auto" w:fill="0336FF"/>
          </w:tcPr>
          <w:p>
            <w:pPr>
              <w:spacing w:after="0"/>
              <w:rPr>
                <w:sz w:val="8"/>
                <w:szCs w:val="8"/>
                <w:color w:val="auto"/>
              </w:rPr>
            </w:pPr>
          </w:p>
        </w:tc>
        <w:tc>
          <w:tcPr>
            <w:tcW w:w="780" w:type="dxa"/>
            <w:vAlign w:val="bottom"/>
            <w:shd w:val="clear" w:color="auto" w:fill="0336FF"/>
          </w:tcPr>
          <w:p>
            <w:pPr>
              <w:spacing w:after="0"/>
              <w:rPr>
                <w:sz w:val="8"/>
                <w:szCs w:val="8"/>
                <w:color w:val="auto"/>
              </w:rPr>
            </w:pPr>
          </w:p>
        </w:tc>
        <w:tc>
          <w:tcPr>
            <w:tcW w:w="540" w:type="dxa"/>
            <w:vAlign w:val="bottom"/>
            <w:shd w:val="clear" w:color="auto" w:fill="0336FF"/>
          </w:tcPr>
          <w:p>
            <w:pPr>
              <w:spacing w:after="0"/>
              <w:rPr>
                <w:sz w:val="8"/>
                <w:szCs w:val="8"/>
                <w:color w:val="auto"/>
              </w:rPr>
            </w:pPr>
          </w:p>
        </w:tc>
        <w:tc>
          <w:tcPr>
            <w:tcW w:w="96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Payouts</w:t>
            </w:r>
          </w:p>
        </w:tc>
        <w:tc>
          <w:tcPr>
            <w:tcW w:w="920" w:type="dxa"/>
            <w:vAlign w:val="bottom"/>
            <w:vMerge w:val="continue"/>
            <w:shd w:val="clear" w:color="auto" w:fill="0336FF"/>
          </w:tcPr>
          <w:p>
            <w:pPr>
              <w:spacing w:after="0"/>
              <w:rPr>
                <w:sz w:val="8"/>
                <w:szCs w:val="8"/>
                <w:color w:val="auto"/>
              </w:rPr>
            </w:pPr>
          </w:p>
        </w:tc>
        <w:tc>
          <w:tcPr>
            <w:tcW w:w="920" w:type="dxa"/>
            <w:vAlign w:val="bottom"/>
            <w:vMerge w:val="continue"/>
            <w:shd w:val="clear" w:color="auto" w:fill="0336FF"/>
          </w:tcPr>
          <w:p>
            <w:pPr>
              <w:spacing w:after="0"/>
              <w:rPr>
                <w:sz w:val="8"/>
                <w:szCs w:val="8"/>
                <w:color w:val="auto"/>
              </w:rPr>
            </w:pPr>
          </w:p>
        </w:tc>
        <w:tc>
          <w:tcPr>
            <w:tcW w:w="920" w:type="dxa"/>
            <w:vAlign w:val="bottom"/>
            <w:vMerge w:val="continue"/>
            <w:shd w:val="clear" w:color="auto" w:fill="0336FF"/>
          </w:tcPr>
          <w:p>
            <w:pPr>
              <w:spacing w:after="0"/>
              <w:rPr>
                <w:sz w:val="8"/>
                <w:szCs w:val="8"/>
                <w:color w:val="auto"/>
              </w:rPr>
            </w:pPr>
          </w:p>
        </w:tc>
        <w:tc>
          <w:tcPr>
            <w:tcW w:w="1000" w:type="dxa"/>
            <w:vAlign w:val="bottom"/>
            <w:vMerge w:val="continue"/>
            <w:shd w:val="clear" w:color="auto" w:fill="0336FF"/>
          </w:tcPr>
          <w:p>
            <w:pPr>
              <w:spacing w:after="0"/>
              <w:rPr>
                <w:sz w:val="8"/>
                <w:szCs w:val="8"/>
                <w:color w:val="auto"/>
              </w:rPr>
            </w:pPr>
          </w:p>
        </w:tc>
        <w:tc>
          <w:tcPr>
            <w:tcW w:w="860" w:type="dxa"/>
            <w:vAlign w:val="bottom"/>
            <w:vMerge w:val="continue"/>
            <w:shd w:val="clear" w:color="auto" w:fill="0336FF"/>
          </w:tcPr>
          <w:p>
            <w:pPr>
              <w:spacing w:after="0"/>
              <w:rPr>
                <w:sz w:val="8"/>
                <w:szCs w:val="8"/>
                <w:color w:val="auto"/>
              </w:rPr>
            </w:pPr>
          </w:p>
        </w:tc>
        <w:tc>
          <w:tcPr>
            <w:tcW w:w="820" w:type="dxa"/>
            <w:vAlign w:val="bottom"/>
            <w:vMerge w:val="continue"/>
            <w:shd w:val="clear" w:color="auto" w:fill="0336FF"/>
          </w:tcPr>
          <w:p>
            <w:pPr>
              <w:spacing w:after="0"/>
              <w:rPr>
                <w:sz w:val="8"/>
                <w:szCs w:val="8"/>
                <w:color w:val="auto"/>
              </w:rPr>
            </w:pPr>
          </w:p>
        </w:tc>
        <w:tc>
          <w:tcPr>
            <w:tcW w:w="780" w:type="dxa"/>
            <w:vAlign w:val="bottom"/>
            <w:shd w:val="clear" w:color="auto" w:fill="0336FF"/>
          </w:tcPr>
          <w:p>
            <w:pPr>
              <w:spacing w:after="0"/>
              <w:rPr>
                <w:sz w:val="8"/>
                <w:szCs w:val="8"/>
                <w:color w:val="auto"/>
              </w:rPr>
            </w:pPr>
          </w:p>
        </w:tc>
        <w:tc>
          <w:tcPr>
            <w:tcW w:w="940" w:type="dxa"/>
            <w:vAlign w:val="bottom"/>
            <w:shd w:val="clear" w:color="auto" w:fill="0336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40" w:type="dxa"/>
            <w:vAlign w:val="bottom"/>
            <w:shd w:val="clear" w:color="auto" w:fill="0336FF"/>
          </w:tcPr>
          <w:p>
            <w:pPr>
              <w:spacing w:after="0"/>
              <w:rPr>
                <w:sz w:val="4"/>
                <w:szCs w:val="4"/>
                <w:color w:val="auto"/>
              </w:rPr>
            </w:pPr>
          </w:p>
        </w:tc>
        <w:tc>
          <w:tcPr>
            <w:tcW w:w="760" w:type="dxa"/>
            <w:vAlign w:val="bottom"/>
            <w:shd w:val="clear" w:color="auto" w:fill="0336FF"/>
          </w:tcPr>
          <w:p>
            <w:pPr>
              <w:spacing w:after="0"/>
              <w:rPr>
                <w:sz w:val="4"/>
                <w:szCs w:val="4"/>
                <w:color w:val="auto"/>
              </w:rPr>
            </w:pPr>
          </w:p>
        </w:tc>
        <w:tc>
          <w:tcPr>
            <w:tcW w:w="780" w:type="dxa"/>
            <w:vAlign w:val="bottom"/>
            <w:shd w:val="clear" w:color="auto" w:fill="0336FF"/>
          </w:tcPr>
          <w:p>
            <w:pPr>
              <w:spacing w:after="0"/>
              <w:rPr>
                <w:sz w:val="4"/>
                <w:szCs w:val="4"/>
                <w:color w:val="auto"/>
              </w:rPr>
            </w:pPr>
          </w:p>
        </w:tc>
        <w:tc>
          <w:tcPr>
            <w:tcW w:w="540" w:type="dxa"/>
            <w:vAlign w:val="bottom"/>
            <w:shd w:val="clear" w:color="auto" w:fill="0336FF"/>
          </w:tcPr>
          <w:p>
            <w:pPr>
              <w:spacing w:after="0"/>
              <w:rPr>
                <w:sz w:val="4"/>
                <w:szCs w:val="4"/>
                <w:color w:val="auto"/>
              </w:rPr>
            </w:pPr>
          </w:p>
        </w:tc>
        <w:tc>
          <w:tcPr>
            <w:tcW w:w="960" w:type="dxa"/>
            <w:vAlign w:val="bottom"/>
            <w:vMerge w:val="continue"/>
            <w:shd w:val="clear" w:color="auto" w:fill="0336FF"/>
          </w:tcPr>
          <w:p>
            <w:pPr>
              <w:spacing w:after="0"/>
              <w:rPr>
                <w:sz w:val="4"/>
                <w:szCs w:val="4"/>
                <w:color w:val="auto"/>
              </w:rPr>
            </w:pP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Under Non-</w:t>
            </w: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Payouts</w:t>
            </w: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Payouts</w:t>
            </w:r>
          </w:p>
        </w:tc>
        <w:tc>
          <w:tcPr>
            <w:tcW w:w="1000" w:type="dxa"/>
            <w:vAlign w:val="bottom"/>
            <w:vMerge w:val="restart"/>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Payouts</w:t>
            </w:r>
          </w:p>
        </w:tc>
        <w:tc>
          <w:tcPr>
            <w:tcW w:w="860" w:type="dxa"/>
            <w:vAlign w:val="bottom"/>
            <w:vMerge w:val="restart"/>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Awards:</w:t>
            </w:r>
          </w:p>
        </w:tc>
        <w:tc>
          <w:tcPr>
            <w:tcW w:w="8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Awards:</w:t>
            </w:r>
          </w:p>
        </w:tc>
        <w:tc>
          <w:tcPr>
            <w:tcW w:w="780" w:type="dxa"/>
            <w:vAlign w:val="bottom"/>
            <w:shd w:val="clear" w:color="auto" w:fill="0336FF"/>
          </w:tcPr>
          <w:p>
            <w:pPr>
              <w:spacing w:after="0"/>
              <w:rPr>
                <w:sz w:val="4"/>
                <w:szCs w:val="4"/>
                <w:color w:val="auto"/>
              </w:rPr>
            </w:pPr>
          </w:p>
        </w:tc>
        <w:tc>
          <w:tcPr>
            <w:tcW w:w="940" w:type="dxa"/>
            <w:vAlign w:val="bottom"/>
            <w:vMerge w:val="restart"/>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94"/>
        </w:trPr>
        <w:tc>
          <w:tcPr>
            <w:tcW w:w="1040" w:type="dxa"/>
            <w:vAlign w:val="bottom"/>
            <w:shd w:val="clear" w:color="auto" w:fill="0336FF"/>
          </w:tcPr>
          <w:p>
            <w:pPr>
              <w:spacing w:after="0"/>
              <w:rPr>
                <w:sz w:val="8"/>
                <w:szCs w:val="8"/>
                <w:color w:val="auto"/>
              </w:rPr>
            </w:pPr>
          </w:p>
        </w:tc>
        <w:tc>
          <w:tcPr>
            <w:tcW w:w="760" w:type="dxa"/>
            <w:vAlign w:val="bottom"/>
            <w:shd w:val="clear" w:color="auto" w:fill="0336FF"/>
          </w:tcPr>
          <w:p>
            <w:pPr>
              <w:spacing w:after="0"/>
              <w:rPr>
                <w:sz w:val="8"/>
                <w:szCs w:val="8"/>
                <w:color w:val="auto"/>
              </w:rPr>
            </w:pPr>
          </w:p>
        </w:tc>
        <w:tc>
          <w:tcPr>
            <w:tcW w:w="780" w:type="dxa"/>
            <w:vAlign w:val="bottom"/>
            <w:shd w:val="clear" w:color="auto" w:fill="0336FF"/>
          </w:tcPr>
          <w:p>
            <w:pPr>
              <w:spacing w:after="0"/>
              <w:rPr>
                <w:sz w:val="8"/>
                <w:szCs w:val="8"/>
                <w:color w:val="auto"/>
              </w:rPr>
            </w:pPr>
          </w:p>
        </w:tc>
        <w:tc>
          <w:tcPr>
            <w:tcW w:w="540" w:type="dxa"/>
            <w:vAlign w:val="bottom"/>
            <w:shd w:val="clear" w:color="auto" w:fill="0336FF"/>
          </w:tcPr>
          <w:p>
            <w:pPr>
              <w:spacing w:after="0"/>
              <w:rPr>
                <w:sz w:val="8"/>
                <w:szCs w:val="8"/>
                <w:color w:val="auto"/>
              </w:rPr>
            </w:pPr>
          </w:p>
        </w:tc>
        <w:tc>
          <w:tcPr>
            <w:tcW w:w="96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Under Non-</w:t>
            </w:r>
          </w:p>
        </w:tc>
        <w:tc>
          <w:tcPr>
            <w:tcW w:w="920" w:type="dxa"/>
            <w:vAlign w:val="bottom"/>
            <w:vMerge w:val="continue"/>
            <w:shd w:val="clear" w:color="auto" w:fill="0336FF"/>
          </w:tcPr>
          <w:p>
            <w:pPr>
              <w:spacing w:after="0"/>
              <w:rPr>
                <w:sz w:val="8"/>
                <w:szCs w:val="8"/>
                <w:color w:val="auto"/>
              </w:rPr>
            </w:pPr>
          </w:p>
        </w:tc>
        <w:tc>
          <w:tcPr>
            <w:tcW w:w="920" w:type="dxa"/>
            <w:vAlign w:val="bottom"/>
            <w:vMerge w:val="continue"/>
            <w:shd w:val="clear" w:color="auto" w:fill="0336FF"/>
          </w:tcPr>
          <w:p>
            <w:pPr>
              <w:spacing w:after="0"/>
              <w:rPr>
                <w:sz w:val="8"/>
                <w:szCs w:val="8"/>
                <w:color w:val="auto"/>
              </w:rPr>
            </w:pPr>
          </w:p>
        </w:tc>
        <w:tc>
          <w:tcPr>
            <w:tcW w:w="920" w:type="dxa"/>
            <w:vAlign w:val="bottom"/>
            <w:vMerge w:val="continue"/>
            <w:shd w:val="clear" w:color="auto" w:fill="0336FF"/>
          </w:tcPr>
          <w:p>
            <w:pPr>
              <w:spacing w:after="0"/>
              <w:rPr>
                <w:sz w:val="8"/>
                <w:szCs w:val="8"/>
                <w:color w:val="auto"/>
              </w:rPr>
            </w:pPr>
          </w:p>
        </w:tc>
        <w:tc>
          <w:tcPr>
            <w:tcW w:w="1000" w:type="dxa"/>
            <w:vAlign w:val="bottom"/>
            <w:vMerge w:val="continue"/>
            <w:shd w:val="clear" w:color="auto" w:fill="0336FF"/>
          </w:tcPr>
          <w:p>
            <w:pPr>
              <w:spacing w:after="0"/>
              <w:rPr>
                <w:sz w:val="8"/>
                <w:szCs w:val="8"/>
                <w:color w:val="auto"/>
              </w:rPr>
            </w:pPr>
          </w:p>
        </w:tc>
        <w:tc>
          <w:tcPr>
            <w:tcW w:w="860" w:type="dxa"/>
            <w:vAlign w:val="bottom"/>
            <w:vMerge w:val="continue"/>
            <w:shd w:val="clear" w:color="auto" w:fill="0336FF"/>
          </w:tcPr>
          <w:p>
            <w:pPr>
              <w:spacing w:after="0"/>
              <w:rPr>
                <w:sz w:val="8"/>
                <w:szCs w:val="8"/>
                <w:color w:val="auto"/>
              </w:rPr>
            </w:pPr>
          </w:p>
        </w:tc>
        <w:tc>
          <w:tcPr>
            <w:tcW w:w="820" w:type="dxa"/>
            <w:vAlign w:val="bottom"/>
            <w:vMerge w:val="continue"/>
            <w:shd w:val="clear" w:color="auto" w:fill="0336FF"/>
          </w:tcPr>
          <w:p>
            <w:pPr>
              <w:spacing w:after="0"/>
              <w:rPr>
                <w:sz w:val="8"/>
                <w:szCs w:val="8"/>
                <w:color w:val="auto"/>
              </w:rPr>
            </w:pPr>
          </w:p>
        </w:tc>
        <w:tc>
          <w:tcPr>
            <w:tcW w:w="780" w:type="dxa"/>
            <w:vAlign w:val="bottom"/>
            <w:shd w:val="clear" w:color="auto" w:fill="0336FF"/>
          </w:tcPr>
          <w:p>
            <w:pPr>
              <w:spacing w:after="0"/>
              <w:rPr>
                <w:sz w:val="8"/>
                <w:szCs w:val="8"/>
                <w:color w:val="auto"/>
              </w:rPr>
            </w:pPr>
          </w:p>
        </w:tc>
        <w:tc>
          <w:tcPr>
            <w:tcW w:w="940" w:type="dxa"/>
            <w:vAlign w:val="bottom"/>
            <w:vMerge w:val="continue"/>
            <w:shd w:val="clear" w:color="auto" w:fill="0336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40" w:type="dxa"/>
            <w:vAlign w:val="bottom"/>
            <w:shd w:val="clear" w:color="auto" w:fill="0336FF"/>
          </w:tcPr>
          <w:p>
            <w:pPr>
              <w:spacing w:after="0"/>
              <w:rPr>
                <w:sz w:val="4"/>
                <w:szCs w:val="4"/>
                <w:color w:val="auto"/>
              </w:rPr>
            </w:pPr>
          </w:p>
        </w:tc>
        <w:tc>
          <w:tcPr>
            <w:tcW w:w="760" w:type="dxa"/>
            <w:vAlign w:val="bottom"/>
            <w:shd w:val="clear" w:color="auto" w:fill="0336FF"/>
          </w:tcPr>
          <w:p>
            <w:pPr>
              <w:spacing w:after="0"/>
              <w:rPr>
                <w:sz w:val="4"/>
                <w:szCs w:val="4"/>
                <w:color w:val="auto"/>
              </w:rPr>
            </w:pPr>
          </w:p>
        </w:tc>
        <w:tc>
          <w:tcPr>
            <w:tcW w:w="780" w:type="dxa"/>
            <w:vAlign w:val="bottom"/>
            <w:shd w:val="clear" w:color="auto" w:fill="0336FF"/>
          </w:tcPr>
          <w:p>
            <w:pPr>
              <w:spacing w:after="0"/>
              <w:rPr>
                <w:sz w:val="4"/>
                <w:szCs w:val="4"/>
                <w:color w:val="auto"/>
              </w:rPr>
            </w:pPr>
          </w:p>
        </w:tc>
        <w:tc>
          <w:tcPr>
            <w:tcW w:w="540" w:type="dxa"/>
            <w:vAlign w:val="bottom"/>
            <w:shd w:val="clear" w:color="auto" w:fill="0336FF"/>
          </w:tcPr>
          <w:p>
            <w:pPr>
              <w:spacing w:after="0"/>
              <w:rPr>
                <w:sz w:val="4"/>
                <w:szCs w:val="4"/>
                <w:color w:val="auto"/>
              </w:rPr>
            </w:pPr>
          </w:p>
        </w:tc>
        <w:tc>
          <w:tcPr>
            <w:tcW w:w="960" w:type="dxa"/>
            <w:vAlign w:val="bottom"/>
            <w:vMerge w:val="continue"/>
            <w:shd w:val="clear" w:color="auto" w:fill="0336FF"/>
          </w:tcPr>
          <w:p>
            <w:pPr>
              <w:spacing w:after="0"/>
              <w:rPr>
                <w:sz w:val="4"/>
                <w:szCs w:val="4"/>
                <w:color w:val="auto"/>
              </w:rPr>
            </w:pP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Equity</w:t>
            </w: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Under Equity</w:t>
            </w:r>
          </w:p>
        </w:tc>
        <w:tc>
          <w:tcPr>
            <w:tcW w:w="920" w:type="dxa"/>
            <w:vAlign w:val="bottom"/>
            <w:vMerge w:val="restart"/>
            <w:shd w:val="clear" w:color="auto" w:fill="0336FF"/>
          </w:tcPr>
          <w:p>
            <w:pPr>
              <w:jc w:val="right"/>
              <w:spacing w:after="0"/>
              <w:rPr>
                <w:sz w:val="20"/>
                <w:szCs w:val="20"/>
                <w:color w:val="auto"/>
              </w:rPr>
            </w:pPr>
            <w:r>
              <w:rPr>
                <w:rFonts w:ascii="Arial" w:cs="Arial" w:eastAsia="Arial" w:hAnsi="Arial"/>
                <w:sz w:val="13"/>
                <w:szCs w:val="13"/>
                <w:b w:val="1"/>
                <w:bCs w:val="1"/>
                <w:color w:val="FFFFFF"/>
              </w:rPr>
              <w:t>Under Equity</w:t>
            </w:r>
          </w:p>
        </w:tc>
        <w:tc>
          <w:tcPr>
            <w:tcW w:w="1000" w:type="dxa"/>
            <w:vAlign w:val="bottom"/>
            <w:vMerge w:val="restart"/>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Under Equity</w:t>
            </w:r>
          </w:p>
        </w:tc>
        <w:tc>
          <w:tcPr>
            <w:tcW w:w="860" w:type="dxa"/>
            <w:vAlign w:val="bottom"/>
            <w:vMerge w:val="restart"/>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Number of</w:t>
            </w:r>
          </w:p>
        </w:tc>
        <w:tc>
          <w:tcPr>
            <w:tcW w:w="1600" w:type="dxa"/>
            <w:vAlign w:val="bottom"/>
            <w:gridSpan w:val="2"/>
            <w:vMerge w:val="restart"/>
            <w:shd w:val="clear" w:color="auto" w:fill="0336FF"/>
          </w:tcPr>
          <w:p>
            <w:pPr>
              <w:jc w:val="right"/>
              <w:ind w:right="37"/>
              <w:spacing w:after="0"/>
              <w:rPr>
                <w:sz w:val="20"/>
                <w:szCs w:val="20"/>
                <w:color w:val="auto"/>
              </w:rPr>
            </w:pPr>
            <w:r>
              <w:rPr>
                <w:rFonts w:ascii="Arial" w:cs="Arial" w:eastAsia="Arial" w:hAnsi="Arial"/>
                <w:sz w:val="13"/>
                <w:szCs w:val="13"/>
                <w:b w:val="1"/>
                <w:bCs w:val="1"/>
                <w:color w:val="FFFFFF"/>
              </w:rPr>
              <w:t>Number of Exercise or</w:t>
            </w:r>
          </w:p>
        </w:tc>
        <w:tc>
          <w:tcPr>
            <w:tcW w:w="940" w:type="dxa"/>
            <w:vAlign w:val="bottom"/>
            <w:vMerge w:val="restart"/>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Fair Value of</w:t>
            </w:r>
          </w:p>
        </w:tc>
        <w:tc>
          <w:tcPr>
            <w:tcW w:w="0" w:type="dxa"/>
            <w:vAlign w:val="bottom"/>
          </w:tcPr>
          <w:p>
            <w:pPr>
              <w:spacing w:after="0"/>
              <w:rPr>
                <w:sz w:val="1"/>
                <w:szCs w:val="1"/>
                <w:color w:val="auto"/>
              </w:rPr>
            </w:pPr>
          </w:p>
        </w:tc>
      </w:tr>
      <w:tr>
        <w:trPr>
          <w:trHeight w:val="126"/>
        </w:trPr>
        <w:tc>
          <w:tcPr>
            <w:tcW w:w="1040" w:type="dxa"/>
            <w:vAlign w:val="bottom"/>
            <w:shd w:val="clear" w:color="auto" w:fill="0336FF"/>
          </w:tcPr>
          <w:p>
            <w:pPr>
              <w:spacing w:after="0"/>
              <w:rPr>
                <w:sz w:val="10"/>
                <w:szCs w:val="10"/>
                <w:color w:val="auto"/>
              </w:rPr>
            </w:pPr>
          </w:p>
        </w:tc>
        <w:tc>
          <w:tcPr>
            <w:tcW w:w="760" w:type="dxa"/>
            <w:vAlign w:val="bottom"/>
            <w:shd w:val="clear" w:color="auto" w:fill="0336FF"/>
          </w:tcPr>
          <w:p>
            <w:pPr>
              <w:spacing w:after="0"/>
              <w:rPr>
                <w:sz w:val="10"/>
                <w:szCs w:val="10"/>
                <w:color w:val="auto"/>
              </w:rPr>
            </w:pPr>
          </w:p>
        </w:tc>
        <w:tc>
          <w:tcPr>
            <w:tcW w:w="780" w:type="dxa"/>
            <w:vAlign w:val="bottom"/>
            <w:shd w:val="clear" w:color="auto" w:fill="0336FF"/>
          </w:tcPr>
          <w:p>
            <w:pPr>
              <w:spacing w:after="0"/>
              <w:rPr>
                <w:sz w:val="10"/>
                <w:szCs w:val="10"/>
                <w:color w:val="auto"/>
              </w:rPr>
            </w:pPr>
          </w:p>
        </w:tc>
        <w:tc>
          <w:tcPr>
            <w:tcW w:w="540" w:type="dxa"/>
            <w:vAlign w:val="bottom"/>
            <w:shd w:val="clear" w:color="auto" w:fill="0336FF"/>
          </w:tcPr>
          <w:p>
            <w:pPr>
              <w:spacing w:after="0"/>
              <w:rPr>
                <w:sz w:val="10"/>
                <w:szCs w:val="10"/>
                <w:color w:val="auto"/>
              </w:rPr>
            </w:pPr>
          </w:p>
        </w:tc>
        <w:tc>
          <w:tcPr>
            <w:tcW w:w="960" w:type="dxa"/>
            <w:vAlign w:val="bottom"/>
            <w:shd w:val="clear" w:color="auto" w:fill="0336FF"/>
          </w:tcPr>
          <w:p>
            <w:pPr>
              <w:jc w:val="right"/>
              <w:spacing w:after="0" w:line="126" w:lineRule="exact"/>
              <w:rPr>
                <w:sz w:val="20"/>
                <w:szCs w:val="20"/>
                <w:color w:val="auto"/>
              </w:rPr>
            </w:pPr>
            <w:r>
              <w:rPr>
                <w:rFonts w:ascii="Arial" w:cs="Arial" w:eastAsia="Arial" w:hAnsi="Arial"/>
                <w:sz w:val="13"/>
                <w:szCs w:val="13"/>
                <w:b w:val="1"/>
                <w:bCs w:val="1"/>
                <w:color w:val="FFFFFF"/>
              </w:rPr>
              <w:t>Equity</w:t>
            </w:r>
          </w:p>
        </w:tc>
        <w:tc>
          <w:tcPr>
            <w:tcW w:w="920" w:type="dxa"/>
            <w:vAlign w:val="bottom"/>
            <w:vMerge w:val="continue"/>
            <w:shd w:val="clear" w:color="auto" w:fill="0336FF"/>
          </w:tcPr>
          <w:p>
            <w:pPr>
              <w:spacing w:after="0"/>
              <w:rPr>
                <w:sz w:val="10"/>
                <w:szCs w:val="10"/>
                <w:color w:val="auto"/>
              </w:rPr>
            </w:pPr>
          </w:p>
        </w:tc>
        <w:tc>
          <w:tcPr>
            <w:tcW w:w="920" w:type="dxa"/>
            <w:vAlign w:val="bottom"/>
            <w:vMerge w:val="continue"/>
            <w:shd w:val="clear" w:color="auto" w:fill="0336FF"/>
          </w:tcPr>
          <w:p>
            <w:pPr>
              <w:spacing w:after="0"/>
              <w:rPr>
                <w:sz w:val="10"/>
                <w:szCs w:val="10"/>
                <w:color w:val="auto"/>
              </w:rPr>
            </w:pPr>
          </w:p>
        </w:tc>
        <w:tc>
          <w:tcPr>
            <w:tcW w:w="920" w:type="dxa"/>
            <w:vAlign w:val="bottom"/>
            <w:vMerge w:val="continue"/>
            <w:shd w:val="clear" w:color="auto" w:fill="0336FF"/>
          </w:tcPr>
          <w:p>
            <w:pPr>
              <w:spacing w:after="0"/>
              <w:rPr>
                <w:sz w:val="10"/>
                <w:szCs w:val="10"/>
                <w:color w:val="auto"/>
              </w:rPr>
            </w:pPr>
          </w:p>
        </w:tc>
        <w:tc>
          <w:tcPr>
            <w:tcW w:w="1000" w:type="dxa"/>
            <w:vAlign w:val="bottom"/>
            <w:vMerge w:val="continue"/>
            <w:shd w:val="clear" w:color="auto" w:fill="0336FF"/>
          </w:tcPr>
          <w:p>
            <w:pPr>
              <w:spacing w:after="0"/>
              <w:rPr>
                <w:sz w:val="10"/>
                <w:szCs w:val="10"/>
                <w:color w:val="auto"/>
              </w:rPr>
            </w:pPr>
          </w:p>
        </w:tc>
        <w:tc>
          <w:tcPr>
            <w:tcW w:w="860" w:type="dxa"/>
            <w:vAlign w:val="bottom"/>
            <w:vMerge w:val="continue"/>
            <w:shd w:val="clear" w:color="auto" w:fill="0336FF"/>
          </w:tcPr>
          <w:p>
            <w:pPr>
              <w:spacing w:after="0"/>
              <w:rPr>
                <w:sz w:val="10"/>
                <w:szCs w:val="10"/>
                <w:color w:val="auto"/>
              </w:rPr>
            </w:pPr>
          </w:p>
        </w:tc>
        <w:tc>
          <w:tcPr>
            <w:tcW w:w="1600" w:type="dxa"/>
            <w:vAlign w:val="bottom"/>
            <w:gridSpan w:val="2"/>
            <w:vMerge w:val="continue"/>
            <w:shd w:val="clear" w:color="auto" w:fill="0336FF"/>
          </w:tcPr>
          <w:p>
            <w:pPr>
              <w:spacing w:after="0"/>
              <w:rPr>
                <w:sz w:val="10"/>
                <w:szCs w:val="10"/>
                <w:color w:val="auto"/>
              </w:rPr>
            </w:pPr>
          </w:p>
        </w:tc>
        <w:tc>
          <w:tcPr>
            <w:tcW w:w="940" w:type="dxa"/>
            <w:vAlign w:val="bottom"/>
            <w:vMerge w:val="continue"/>
            <w:shd w:val="clear" w:color="auto" w:fill="0336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0336FF"/>
          </w:tcPr>
          <w:p>
            <w:pPr>
              <w:spacing w:after="0"/>
              <w:rPr>
                <w:sz w:val="12"/>
                <w:szCs w:val="12"/>
                <w:color w:val="auto"/>
              </w:rPr>
            </w:pPr>
          </w:p>
        </w:tc>
        <w:tc>
          <w:tcPr>
            <w:tcW w:w="760" w:type="dxa"/>
            <w:vAlign w:val="bottom"/>
            <w:shd w:val="clear" w:color="auto" w:fill="0336FF"/>
          </w:tcPr>
          <w:p>
            <w:pPr>
              <w:spacing w:after="0"/>
              <w:rPr>
                <w:sz w:val="12"/>
                <w:szCs w:val="12"/>
                <w:color w:val="auto"/>
              </w:rPr>
            </w:pPr>
          </w:p>
        </w:tc>
        <w:tc>
          <w:tcPr>
            <w:tcW w:w="780" w:type="dxa"/>
            <w:vAlign w:val="bottom"/>
            <w:vMerge w:val="restart"/>
            <w:shd w:val="clear" w:color="auto" w:fill="0336FF"/>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540" w:type="dxa"/>
            <w:vAlign w:val="bottom"/>
            <w:shd w:val="clear" w:color="auto" w:fill="0336FF"/>
          </w:tcPr>
          <w:p>
            <w:pPr>
              <w:spacing w:after="0"/>
              <w:rPr>
                <w:sz w:val="12"/>
                <w:szCs w:val="12"/>
                <w:color w:val="auto"/>
              </w:rPr>
            </w:pPr>
          </w:p>
        </w:tc>
        <w:tc>
          <w:tcPr>
            <w:tcW w:w="96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rPr>
              <w:t>Incentive Plan</w:t>
            </w:r>
          </w:p>
        </w:tc>
        <w:tc>
          <w:tcPr>
            <w:tcW w:w="92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rPr>
              <w:t>Incentive Plan</w:t>
            </w:r>
          </w:p>
        </w:tc>
        <w:tc>
          <w:tcPr>
            <w:tcW w:w="92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w w:val="98"/>
              </w:rPr>
              <w:t>Incentive Plan</w:t>
            </w:r>
          </w:p>
        </w:tc>
        <w:tc>
          <w:tcPr>
            <w:tcW w:w="92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w w:val="98"/>
              </w:rPr>
              <w:t>Incentive Plan</w:t>
            </w:r>
          </w:p>
        </w:tc>
        <w:tc>
          <w:tcPr>
            <w:tcW w:w="1000" w:type="dxa"/>
            <w:vAlign w:val="bottom"/>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w w:val="98"/>
              </w:rPr>
              <w:t>Incentive Plan</w:t>
            </w:r>
          </w:p>
        </w:tc>
        <w:tc>
          <w:tcPr>
            <w:tcW w:w="860" w:type="dxa"/>
            <w:vAlign w:val="bottom"/>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Shares of</w:t>
            </w:r>
          </w:p>
        </w:tc>
        <w:tc>
          <w:tcPr>
            <w:tcW w:w="82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rPr>
              <w:t>Securities</w:t>
            </w:r>
          </w:p>
        </w:tc>
        <w:tc>
          <w:tcPr>
            <w:tcW w:w="780" w:type="dxa"/>
            <w:vAlign w:val="bottom"/>
            <w:shd w:val="clear" w:color="auto" w:fill="0336FF"/>
          </w:tcPr>
          <w:p>
            <w:pPr>
              <w:jc w:val="right"/>
              <w:ind w:right="37"/>
              <w:spacing w:after="0"/>
              <w:rPr>
                <w:sz w:val="20"/>
                <w:szCs w:val="20"/>
                <w:color w:val="auto"/>
              </w:rPr>
            </w:pPr>
            <w:r>
              <w:rPr>
                <w:rFonts w:ascii="Arial" w:cs="Arial" w:eastAsia="Arial" w:hAnsi="Arial"/>
                <w:sz w:val="13"/>
                <w:szCs w:val="13"/>
                <w:b w:val="1"/>
                <w:bCs w:val="1"/>
                <w:color w:val="FFFFFF"/>
                <w:w w:val="99"/>
              </w:rPr>
              <w:t>Base Price</w:t>
            </w:r>
          </w:p>
        </w:tc>
        <w:tc>
          <w:tcPr>
            <w:tcW w:w="940" w:type="dxa"/>
            <w:vAlign w:val="bottom"/>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Stock and</w:t>
            </w:r>
          </w:p>
        </w:tc>
        <w:tc>
          <w:tcPr>
            <w:tcW w:w="0" w:type="dxa"/>
            <w:vAlign w:val="bottom"/>
          </w:tcPr>
          <w:p>
            <w:pPr>
              <w:spacing w:after="0"/>
              <w:rPr>
                <w:sz w:val="1"/>
                <w:szCs w:val="1"/>
                <w:color w:val="auto"/>
              </w:rPr>
            </w:pPr>
          </w:p>
        </w:tc>
      </w:tr>
      <w:tr>
        <w:trPr>
          <w:trHeight w:val="128"/>
        </w:trPr>
        <w:tc>
          <w:tcPr>
            <w:tcW w:w="1040" w:type="dxa"/>
            <w:vAlign w:val="bottom"/>
            <w:shd w:val="clear" w:color="auto" w:fill="0336FF"/>
          </w:tcPr>
          <w:p>
            <w:pPr>
              <w:spacing w:after="0"/>
              <w:rPr>
                <w:sz w:val="11"/>
                <w:szCs w:val="11"/>
                <w:color w:val="auto"/>
              </w:rPr>
            </w:pPr>
          </w:p>
        </w:tc>
        <w:tc>
          <w:tcPr>
            <w:tcW w:w="760" w:type="dxa"/>
            <w:vAlign w:val="bottom"/>
            <w:vMerge w:val="restart"/>
            <w:shd w:val="clear" w:color="auto" w:fill="0336FF"/>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780" w:type="dxa"/>
            <w:vAlign w:val="bottom"/>
            <w:vMerge w:val="continue"/>
            <w:shd w:val="clear" w:color="auto" w:fill="0336FF"/>
          </w:tcPr>
          <w:p>
            <w:pPr>
              <w:spacing w:after="0"/>
              <w:rPr>
                <w:sz w:val="11"/>
                <w:szCs w:val="11"/>
                <w:color w:val="auto"/>
              </w:rPr>
            </w:pPr>
          </w:p>
        </w:tc>
        <w:tc>
          <w:tcPr>
            <w:tcW w:w="540" w:type="dxa"/>
            <w:vAlign w:val="bottom"/>
            <w:vMerge w:val="restart"/>
            <w:shd w:val="clear" w:color="auto" w:fill="0336FF"/>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960" w:type="dxa"/>
            <w:vAlign w:val="bottom"/>
            <w:shd w:val="clear" w:color="auto" w:fill="0336FF"/>
          </w:tcPr>
          <w:p>
            <w:pPr>
              <w:jc w:val="right"/>
              <w:spacing w:after="0" w:line="129" w:lineRule="exact"/>
              <w:rPr>
                <w:sz w:val="20"/>
                <w:szCs w:val="20"/>
                <w:color w:val="auto"/>
              </w:rPr>
            </w:pPr>
            <w:r>
              <w:rPr>
                <w:rFonts w:ascii="Arial" w:cs="Arial" w:eastAsia="Arial" w:hAnsi="Arial"/>
                <w:sz w:val="13"/>
                <w:szCs w:val="13"/>
                <w:b w:val="1"/>
                <w:bCs w:val="1"/>
                <w:color w:val="FFFFFF"/>
              </w:rPr>
              <w:t>Awards Target</w:t>
            </w:r>
          </w:p>
        </w:tc>
        <w:tc>
          <w:tcPr>
            <w:tcW w:w="920" w:type="dxa"/>
            <w:vAlign w:val="bottom"/>
            <w:shd w:val="clear" w:color="auto" w:fill="0336FF"/>
          </w:tcPr>
          <w:p>
            <w:pPr>
              <w:jc w:val="right"/>
              <w:spacing w:after="0" w:line="129" w:lineRule="exact"/>
              <w:rPr>
                <w:sz w:val="20"/>
                <w:szCs w:val="20"/>
                <w:color w:val="auto"/>
              </w:rPr>
            </w:pPr>
            <w:r>
              <w:rPr>
                <w:rFonts w:ascii="Arial" w:cs="Arial" w:eastAsia="Arial" w:hAnsi="Arial"/>
                <w:sz w:val="13"/>
                <w:szCs w:val="13"/>
                <w:b w:val="1"/>
                <w:bCs w:val="1"/>
                <w:color w:val="FFFFFF"/>
              </w:rPr>
              <w:t>Awards</w:t>
            </w:r>
          </w:p>
        </w:tc>
        <w:tc>
          <w:tcPr>
            <w:tcW w:w="920" w:type="dxa"/>
            <w:vAlign w:val="bottom"/>
            <w:shd w:val="clear" w:color="auto" w:fill="0336FF"/>
          </w:tcPr>
          <w:p>
            <w:pPr>
              <w:jc w:val="right"/>
              <w:spacing w:after="0" w:line="129" w:lineRule="exact"/>
              <w:rPr>
                <w:sz w:val="20"/>
                <w:szCs w:val="20"/>
                <w:color w:val="auto"/>
              </w:rPr>
            </w:pPr>
            <w:r>
              <w:rPr>
                <w:rFonts w:ascii="Arial" w:cs="Arial" w:eastAsia="Arial" w:hAnsi="Arial"/>
                <w:sz w:val="13"/>
                <w:szCs w:val="13"/>
                <w:b w:val="1"/>
                <w:bCs w:val="1"/>
                <w:color w:val="FFFFFF"/>
              </w:rPr>
              <w:t>Awards</w:t>
            </w:r>
          </w:p>
        </w:tc>
        <w:tc>
          <w:tcPr>
            <w:tcW w:w="920" w:type="dxa"/>
            <w:vAlign w:val="bottom"/>
            <w:shd w:val="clear" w:color="auto" w:fill="0336FF"/>
          </w:tcPr>
          <w:p>
            <w:pPr>
              <w:jc w:val="right"/>
              <w:spacing w:after="0" w:line="129" w:lineRule="exact"/>
              <w:rPr>
                <w:sz w:val="20"/>
                <w:szCs w:val="20"/>
                <w:color w:val="auto"/>
              </w:rPr>
            </w:pPr>
            <w:r>
              <w:rPr>
                <w:rFonts w:ascii="Arial" w:cs="Arial" w:eastAsia="Arial" w:hAnsi="Arial"/>
                <w:sz w:val="13"/>
                <w:szCs w:val="13"/>
                <w:b w:val="1"/>
                <w:bCs w:val="1"/>
                <w:color w:val="FFFFFF"/>
              </w:rPr>
              <w:t>Awards</w:t>
            </w:r>
          </w:p>
        </w:tc>
        <w:tc>
          <w:tcPr>
            <w:tcW w:w="1000" w:type="dxa"/>
            <w:vAlign w:val="bottom"/>
            <w:shd w:val="clear" w:color="auto" w:fill="0336FF"/>
          </w:tcPr>
          <w:p>
            <w:pPr>
              <w:jc w:val="right"/>
              <w:ind w:right="57"/>
              <w:spacing w:after="0" w:line="129" w:lineRule="exact"/>
              <w:rPr>
                <w:sz w:val="20"/>
                <w:szCs w:val="20"/>
                <w:color w:val="auto"/>
              </w:rPr>
            </w:pPr>
            <w:r>
              <w:rPr>
                <w:rFonts w:ascii="Arial" w:cs="Arial" w:eastAsia="Arial" w:hAnsi="Arial"/>
                <w:sz w:val="13"/>
                <w:szCs w:val="13"/>
                <w:b w:val="1"/>
                <w:bCs w:val="1"/>
                <w:color w:val="FFFFFF"/>
              </w:rPr>
              <w:t>Awards</w:t>
            </w:r>
          </w:p>
        </w:tc>
        <w:tc>
          <w:tcPr>
            <w:tcW w:w="860" w:type="dxa"/>
            <w:vAlign w:val="bottom"/>
            <w:shd w:val="clear" w:color="auto" w:fill="0336FF"/>
          </w:tcPr>
          <w:p>
            <w:pPr>
              <w:jc w:val="right"/>
              <w:ind w:right="57"/>
              <w:spacing w:after="0" w:line="129" w:lineRule="exact"/>
              <w:rPr>
                <w:sz w:val="20"/>
                <w:szCs w:val="20"/>
                <w:color w:val="auto"/>
              </w:rPr>
            </w:pPr>
            <w:r>
              <w:rPr>
                <w:rFonts w:ascii="Arial" w:cs="Arial" w:eastAsia="Arial" w:hAnsi="Arial"/>
                <w:sz w:val="13"/>
                <w:szCs w:val="13"/>
                <w:b w:val="1"/>
                <w:bCs w:val="1"/>
                <w:color w:val="FFFFFF"/>
              </w:rPr>
              <w:t>Stock or</w:t>
            </w:r>
          </w:p>
        </w:tc>
        <w:tc>
          <w:tcPr>
            <w:tcW w:w="820" w:type="dxa"/>
            <w:vAlign w:val="bottom"/>
            <w:shd w:val="clear" w:color="auto" w:fill="0336FF"/>
          </w:tcPr>
          <w:p>
            <w:pPr>
              <w:jc w:val="right"/>
              <w:spacing w:after="0" w:line="129" w:lineRule="exact"/>
              <w:rPr>
                <w:sz w:val="20"/>
                <w:szCs w:val="20"/>
                <w:color w:val="auto"/>
              </w:rPr>
            </w:pPr>
            <w:r>
              <w:rPr>
                <w:rFonts w:ascii="Arial" w:cs="Arial" w:eastAsia="Arial" w:hAnsi="Arial"/>
                <w:sz w:val="13"/>
                <w:szCs w:val="13"/>
                <w:b w:val="1"/>
                <w:bCs w:val="1"/>
                <w:color w:val="FFFFFF"/>
              </w:rPr>
              <w:t>Underlying</w:t>
            </w:r>
          </w:p>
        </w:tc>
        <w:tc>
          <w:tcPr>
            <w:tcW w:w="780" w:type="dxa"/>
            <w:vAlign w:val="bottom"/>
            <w:shd w:val="clear" w:color="auto" w:fill="0336FF"/>
          </w:tcPr>
          <w:p>
            <w:pPr>
              <w:jc w:val="right"/>
              <w:ind w:right="37"/>
              <w:spacing w:after="0" w:line="129" w:lineRule="exact"/>
              <w:rPr>
                <w:sz w:val="20"/>
                <w:szCs w:val="20"/>
                <w:color w:val="auto"/>
              </w:rPr>
            </w:pPr>
            <w:r>
              <w:rPr>
                <w:rFonts w:ascii="Arial" w:cs="Arial" w:eastAsia="Arial" w:hAnsi="Arial"/>
                <w:sz w:val="13"/>
                <w:szCs w:val="13"/>
                <w:b w:val="1"/>
                <w:bCs w:val="1"/>
                <w:color w:val="FFFFFF"/>
              </w:rPr>
              <w:t>of Option</w:t>
            </w:r>
          </w:p>
        </w:tc>
        <w:tc>
          <w:tcPr>
            <w:tcW w:w="940" w:type="dxa"/>
            <w:vAlign w:val="bottom"/>
            <w:shd w:val="clear" w:color="auto" w:fill="0336FF"/>
          </w:tcPr>
          <w:p>
            <w:pPr>
              <w:jc w:val="right"/>
              <w:ind w:right="57"/>
              <w:spacing w:after="0" w:line="129" w:lineRule="exact"/>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151"/>
        </w:trPr>
        <w:tc>
          <w:tcPr>
            <w:tcW w:w="1040" w:type="dxa"/>
            <w:vAlign w:val="bottom"/>
            <w:shd w:val="clear" w:color="auto" w:fill="0336FF"/>
          </w:tcPr>
          <w:p>
            <w:pPr>
              <w:spacing w:after="0"/>
              <w:rPr>
                <w:sz w:val="13"/>
                <w:szCs w:val="13"/>
                <w:color w:val="auto"/>
              </w:rPr>
            </w:pPr>
          </w:p>
        </w:tc>
        <w:tc>
          <w:tcPr>
            <w:tcW w:w="760" w:type="dxa"/>
            <w:vAlign w:val="bottom"/>
            <w:vMerge w:val="continue"/>
            <w:shd w:val="clear" w:color="auto" w:fill="0336FF"/>
          </w:tcPr>
          <w:p>
            <w:pPr>
              <w:spacing w:after="0"/>
              <w:rPr>
                <w:sz w:val="13"/>
                <w:szCs w:val="13"/>
                <w:color w:val="auto"/>
              </w:rPr>
            </w:pPr>
          </w:p>
        </w:tc>
        <w:tc>
          <w:tcPr>
            <w:tcW w:w="780" w:type="dxa"/>
            <w:vAlign w:val="bottom"/>
            <w:shd w:val="clear" w:color="auto" w:fill="0336FF"/>
          </w:tcPr>
          <w:p>
            <w:pPr>
              <w:jc w:val="center"/>
              <w:spacing w:after="0"/>
              <w:rPr>
                <w:sz w:val="20"/>
                <w:szCs w:val="20"/>
                <w:color w:val="auto"/>
              </w:rPr>
            </w:pPr>
            <w:r>
              <w:rPr>
                <w:rFonts w:ascii="Arial" w:cs="Arial" w:eastAsia="Arial" w:hAnsi="Arial"/>
                <w:sz w:val="13"/>
                <w:szCs w:val="13"/>
                <w:b w:val="1"/>
                <w:bCs w:val="1"/>
                <w:color w:val="FFFFFF"/>
                <w:w w:val="95"/>
              </w:rPr>
              <w:t>Approval</w:t>
            </w:r>
          </w:p>
        </w:tc>
        <w:tc>
          <w:tcPr>
            <w:tcW w:w="540" w:type="dxa"/>
            <w:vAlign w:val="bottom"/>
            <w:vMerge w:val="continue"/>
            <w:shd w:val="clear" w:color="auto" w:fill="0336FF"/>
          </w:tcPr>
          <w:p>
            <w:pPr>
              <w:spacing w:after="0"/>
              <w:rPr>
                <w:sz w:val="13"/>
                <w:szCs w:val="13"/>
                <w:color w:val="auto"/>
              </w:rPr>
            </w:pPr>
          </w:p>
        </w:tc>
        <w:tc>
          <w:tcPr>
            <w:tcW w:w="960" w:type="dxa"/>
            <w:vAlign w:val="bottom"/>
            <w:shd w:val="clear" w:color="auto" w:fill="0336FF"/>
          </w:tcPr>
          <w:p>
            <w:pPr>
              <w:jc w:val="right"/>
              <w:spacing w:after="0"/>
              <w:rPr>
                <w:sz w:val="20"/>
                <w:szCs w:val="20"/>
                <w:color w:val="auto"/>
              </w:rPr>
            </w:pPr>
            <w:r>
              <w:rPr>
                <w:rFonts w:ascii="Arial" w:cs="Arial" w:eastAsia="Arial" w:hAnsi="Arial"/>
                <w:sz w:val="8"/>
                <w:szCs w:val="8"/>
                <w:b w:val="1"/>
                <w:bCs w:val="1"/>
                <w:color w:val="FFFFFF"/>
              </w:rPr>
              <w:t>(1)</w:t>
            </w:r>
          </w:p>
        </w:tc>
        <w:tc>
          <w:tcPr>
            <w:tcW w:w="920" w:type="dxa"/>
            <w:vAlign w:val="bottom"/>
            <w:shd w:val="clear" w:color="auto" w:fill="0336FF"/>
          </w:tcPr>
          <w:p>
            <w:pPr>
              <w:jc w:val="right"/>
              <w:spacing w:after="0" w:line="151" w:lineRule="exact"/>
              <w:rPr>
                <w:sz w:val="20"/>
                <w:szCs w:val="20"/>
                <w:color w:val="auto"/>
              </w:rPr>
            </w:pPr>
            <w:r>
              <w:rPr>
                <w:rFonts w:ascii="Arial" w:cs="Arial" w:eastAsia="Arial" w:hAnsi="Arial"/>
                <w:sz w:val="13"/>
                <w:szCs w:val="13"/>
                <w:b w:val="1"/>
                <w:bCs w:val="1"/>
                <w:color w:val="FFFFFF"/>
              </w:rPr>
              <w:t xml:space="preserve">Maximum </w:t>
            </w:r>
            <w:r>
              <w:rPr>
                <w:rFonts w:ascii="Arial" w:cs="Arial" w:eastAsia="Arial" w:hAnsi="Arial"/>
                <w:sz w:val="16"/>
                <w:szCs w:val="16"/>
                <w:b w:val="1"/>
                <w:bCs w:val="1"/>
                <w:color w:val="FFFFFF"/>
                <w:vertAlign w:val="superscript"/>
              </w:rPr>
              <w:t>(1)</w:t>
            </w:r>
          </w:p>
        </w:tc>
        <w:tc>
          <w:tcPr>
            <w:tcW w:w="920" w:type="dxa"/>
            <w:vAlign w:val="bottom"/>
            <w:shd w:val="clear" w:color="auto" w:fill="0336FF"/>
          </w:tcPr>
          <w:p>
            <w:pPr>
              <w:jc w:val="right"/>
              <w:spacing w:after="0" w:line="151" w:lineRule="exact"/>
              <w:rPr>
                <w:sz w:val="20"/>
                <w:szCs w:val="20"/>
                <w:color w:val="auto"/>
              </w:rPr>
            </w:pPr>
            <w:r>
              <w:rPr>
                <w:rFonts w:ascii="Arial" w:cs="Arial" w:eastAsia="Arial" w:hAnsi="Arial"/>
                <w:sz w:val="13"/>
                <w:szCs w:val="13"/>
                <w:b w:val="1"/>
                <w:bCs w:val="1"/>
                <w:color w:val="FFFFFF"/>
              </w:rPr>
              <w:t>Threshold</w:t>
            </w:r>
            <w:r>
              <w:rPr>
                <w:rFonts w:ascii="Arial" w:cs="Arial" w:eastAsia="Arial" w:hAnsi="Arial"/>
                <w:sz w:val="16"/>
                <w:szCs w:val="16"/>
                <w:b w:val="1"/>
                <w:bCs w:val="1"/>
                <w:color w:val="FFFFFF"/>
                <w:vertAlign w:val="superscript"/>
              </w:rPr>
              <w:t>(2)</w:t>
            </w:r>
          </w:p>
        </w:tc>
        <w:tc>
          <w:tcPr>
            <w:tcW w:w="920" w:type="dxa"/>
            <w:vAlign w:val="bottom"/>
            <w:shd w:val="clear" w:color="auto" w:fill="0336FF"/>
          </w:tcPr>
          <w:p>
            <w:pPr>
              <w:jc w:val="right"/>
              <w:spacing w:after="0" w:line="151" w:lineRule="exact"/>
              <w:rPr>
                <w:sz w:val="20"/>
                <w:szCs w:val="20"/>
                <w:color w:val="auto"/>
              </w:rPr>
            </w:pPr>
            <w:r>
              <w:rPr>
                <w:rFonts w:ascii="Arial" w:cs="Arial" w:eastAsia="Arial" w:hAnsi="Arial"/>
                <w:sz w:val="13"/>
                <w:szCs w:val="13"/>
                <w:b w:val="1"/>
                <w:bCs w:val="1"/>
                <w:color w:val="FFFFFF"/>
              </w:rPr>
              <w:t>Target</w:t>
            </w:r>
            <w:r>
              <w:rPr>
                <w:rFonts w:ascii="Arial" w:cs="Arial" w:eastAsia="Arial" w:hAnsi="Arial"/>
                <w:sz w:val="16"/>
                <w:szCs w:val="16"/>
                <w:b w:val="1"/>
                <w:bCs w:val="1"/>
                <w:color w:val="FFFFFF"/>
                <w:vertAlign w:val="superscript"/>
              </w:rPr>
              <w:t>(2)</w:t>
            </w:r>
          </w:p>
        </w:tc>
        <w:tc>
          <w:tcPr>
            <w:tcW w:w="1000" w:type="dxa"/>
            <w:vAlign w:val="bottom"/>
            <w:shd w:val="clear" w:color="auto" w:fill="0336FF"/>
          </w:tcPr>
          <w:p>
            <w:pPr>
              <w:jc w:val="right"/>
              <w:ind w:right="57"/>
              <w:spacing w:after="0" w:line="151" w:lineRule="exact"/>
              <w:rPr>
                <w:sz w:val="20"/>
                <w:szCs w:val="20"/>
                <w:color w:val="auto"/>
              </w:rPr>
            </w:pPr>
            <w:r>
              <w:rPr>
                <w:rFonts w:ascii="Arial" w:cs="Arial" w:eastAsia="Arial" w:hAnsi="Arial"/>
                <w:sz w:val="13"/>
                <w:szCs w:val="13"/>
                <w:b w:val="1"/>
                <w:bCs w:val="1"/>
                <w:color w:val="FFFFFF"/>
              </w:rPr>
              <w:t>Maximum</w:t>
            </w:r>
            <w:r>
              <w:rPr>
                <w:rFonts w:ascii="Arial" w:cs="Arial" w:eastAsia="Arial" w:hAnsi="Arial"/>
                <w:sz w:val="16"/>
                <w:szCs w:val="16"/>
                <w:b w:val="1"/>
                <w:bCs w:val="1"/>
                <w:color w:val="FFFFFF"/>
                <w:vertAlign w:val="superscript"/>
              </w:rPr>
              <w:t>(2)</w:t>
            </w:r>
          </w:p>
        </w:tc>
        <w:tc>
          <w:tcPr>
            <w:tcW w:w="860" w:type="dxa"/>
            <w:vAlign w:val="bottom"/>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Units</w:t>
            </w:r>
          </w:p>
        </w:tc>
        <w:tc>
          <w:tcPr>
            <w:tcW w:w="82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rPr>
              <w:t>Options</w:t>
            </w:r>
          </w:p>
        </w:tc>
        <w:tc>
          <w:tcPr>
            <w:tcW w:w="780" w:type="dxa"/>
            <w:vAlign w:val="bottom"/>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Awards</w:t>
            </w:r>
          </w:p>
        </w:tc>
        <w:tc>
          <w:tcPr>
            <w:tcW w:w="940" w:type="dxa"/>
            <w:vAlign w:val="bottom"/>
            <w:shd w:val="clear" w:color="auto" w:fill="0336FF"/>
          </w:tcPr>
          <w:p>
            <w:pPr>
              <w:jc w:val="right"/>
              <w:ind w:right="57"/>
              <w:spacing w:after="0" w:line="151" w:lineRule="exact"/>
              <w:rPr>
                <w:sz w:val="20"/>
                <w:szCs w:val="20"/>
                <w:color w:val="auto"/>
              </w:rPr>
            </w:pPr>
            <w:r>
              <w:rPr>
                <w:rFonts w:ascii="Arial" w:cs="Arial" w:eastAsia="Arial" w:hAnsi="Arial"/>
                <w:sz w:val="13"/>
                <w:szCs w:val="13"/>
                <w:b w:val="1"/>
                <w:bCs w:val="1"/>
                <w:color w:val="FFFFFF"/>
              </w:rPr>
              <w:t xml:space="preserve">Awards </w:t>
            </w:r>
            <w:r>
              <w:rPr>
                <w:rFonts w:ascii="Arial" w:cs="Arial" w:eastAsia="Arial" w:hAnsi="Arial"/>
                <w:sz w:val="16"/>
                <w:szCs w:val="16"/>
                <w:b w:val="1"/>
                <w:bCs w:val="1"/>
                <w:color w:val="FFFFFF"/>
                <w:vertAlign w:val="superscript"/>
              </w:rPr>
              <w:t>(3)</w:t>
            </w:r>
          </w:p>
        </w:tc>
        <w:tc>
          <w:tcPr>
            <w:tcW w:w="0" w:type="dxa"/>
            <w:vAlign w:val="bottom"/>
          </w:tcPr>
          <w:p>
            <w:pPr>
              <w:spacing w:after="0"/>
              <w:rPr>
                <w:sz w:val="1"/>
                <w:szCs w:val="1"/>
                <w:color w:val="auto"/>
              </w:rPr>
            </w:pPr>
          </w:p>
        </w:tc>
      </w:tr>
      <w:tr>
        <w:trPr>
          <w:trHeight w:val="193"/>
        </w:trPr>
        <w:tc>
          <w:tcPr>
            <w:tcW w:w="1040" w:type="dxa"/>
            <w:vAlign w:val="bottom"/>
            <w:shd w:val="clear" w:color="auto" w:fill="0336FF"/>
          </w:tcPr>
          <w:p>
            <w:pPr>
              <w:ind w:left="100"/>
              <w:spacing w:after="0"/>
              <w:rPr>
                <w:sz w:val="20"/>
                <w:szCs w:val="20"/>
                <w:color w:val="auto"/>
              </w:rPr>
            </w:pPr>
            <w:r>
              <w:rPr>
                <w:rFonts w:ascii="Arial" w:cs="Arial" w:eastAsia="Arial" w:hAnsi="Arial"/>
                <w:sz w:val="13"/>
                <w:szCs w:val="13"/>
                <w:b w:val="1"/>
                <w:bCs w:val="1"/>
                <w:color w:val="FFFFFF"/>
              </w:rPr>
              <w:t>Name</w:t>
            </w:r>
          </w:p>
        </w:tc>
        <w:tc>
          <w:tcPr>
            <w:tcW w:w="760" w:type="dxa"/>
            <w:vAlign w:val="bottom"/>
            <w:shd w:val="clear" w:color="auto" w:fill="0336FF"/>
          </w:tcPr>
          <w:p>
            <w:pPr>
              <w:jc w:val="center"/>
              <w:spacing w:after="0"/>
              <w:rPr>
                <w:sz w:val="20"/>
                <w:szCs w:val="20"/>
                <w:color w:val="auto"/>
              </w:rPr>
            </w:pPr>
            <w:r>
              <w:rPr>
                <w:rFonts w:ascii="Arial" w:cs="Arial" w:eastAsia="Arial" w:hAnsi="Arial"/>
                <w:sz w:val="13"/>
                <w:szCs w:val="13"/>
                <w:b w:val="1"/>
                <w:bCs w:val="1"/>
                <w:color w:val="FFFFFF"/>
                <w:w w:val="99"/>
              </w:rPr>
              <w:t>Date</w:t>
            </w:r>
          </w:p>
        </w:tc>
        <w:tc>
          <w:tcPr>
            <w:tcW w:w="780" w:type="dxa"/>
            <w:vAlign w:val="bottom"/>
            <w:shd w:val="clear" w:color="auto" w:fill="0336FF"/>
          </w:tcPr>
          <w:p>
            <w:pPr>
              <w:jc w:val="center"/>
              <w:spacing w:after="0"/>
              <w:rPr>
                <w:sz w:val="20"/>
                <w:szCs w:val="20"/>
                <w:color w:val="auto"/>
              </w:rPr>
            </w:pPr>
            <w:r>
              <w:rPr>
                <w:rFonts w:ascii="Arial" w:cs="Arial" w:eastAsia="Arial" w:hAnsi="Arial"/>
                <w:sz w:val="13"/>
                <w:szCs w:val="13"/>
                <w:b w:val="1"/>
                <w:bCs w:val="1"/>
                <w:color w:val="FFFFFF"/>
                <w:w w:val="92"/>
              </w:rPr>
              <w:t>Date</w:t>
            </w:r>
          </w:p>
        </w:tc>
        <w:tc>
          <w:tcPr>
            <w:tcW w:w="540" w:type="dxa"/>
            <w:vAlign w:val="bottom"/>
            <w:shd w:val="clear" w:color="auto" w:fill="0336FF"/>
          </w:tcPr>
          <w:p>
            <w:pPr>
              <w:jc w:val="center"/>
              <w:spacing w:after="0"/>
              <w:rPr>
                <w:sz w:val="20"/>
                <w:szCs w:val="20"/>
                <w:color w:val="auto"/>
              </w:rPr>
            </w:pPr>
            <w:r>
              <w:rPr>
                <w:rFonts w:ascii="Arial" w:cs="Arial" w:eastAsia="Arial" w:hAnsi="Arial"/>
                <w:sz w:val="13"/>
                <w:szCs w:val="13"/>
                <w:b w:val="1"/>
                <w:bCs w:val="1"/>
                <w:color w:val="FFFFFF"/>
                <w:w w:val="92"/>
              </w:rPr>
              <w:t>Type</w:t>
            </w:r>
          </w:p>
        </w:tc>
        <w:tc>
          <w:tcPr>
            <w:tcW w:w="96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0336FF"/>
          </w:tcPr>
          <w:p>
            <w:pPr>
              <w:jc w:val="right"/>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0336FF"/>
          </w:tcPr>
          <w:p>
            <w:pPr>
              <w:jc w:val="right"/>
              <w:ind w:right="37"/>
              <w:spacing w:after="0"/>
              <w:rPr>
                <w:sz w:val="20"/>
                <w:szCs w:val="20"/>
                <w:color w:val="auto"/>
              </w:rPr>
            </w:pPr>
            <w:r>
              <w:rPr>
                <w:rFonts w:ascii="Arial" w:cs="Arial" w:eastAsia="Arial" w:hAnsi="Arial"/>
                <w:sz w:val="13"/>
                <w:szCs w:val="13"/>
                <w:b w:val="1"/>
                <w:bCs w:val="1"/>
                <w:color w:val="FFFFFF"/>
              </w:rPr>
              <w:t>($/share)</w:t>
            </w:r>
          </w:p>
        </w:tc>
        <w:tc>
          <w:tcPr>
            <w:tcW w:w="940" w:type="dxa"/>
            <w:vAlign w:val="bottom"/>
            <w:shd w:val="clear" w:color="auto" w:fill="0336FF"/>
          </w:tcPr>
          <w:p>
            <w:pPr>
              <w:jc w:val="right"/>
              <w:ind w:right="5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29"/>
        </w:trPr>
        <w:tc>
          <w:tcPr>
            <w:tcW w:w="1040" w:type="dxa"/>
            <w:vAlign w:val="bottom"/>
            <w:vMerge w:val="restart"/>
          </w:tcPr>
          <w:p>
            <w:pPr>
              <w:ind w:left="100"/>
              <w:spacing w:after="0"/>
              <w:rPr>
                <w:sz w:val="20"/>
                <w:szCs w:val="20"/>
                <w:color w:val="auto"/>
              </w:rPr>
            </w:pPr>
            <w:r>
              <w:rPr>
                <w:rFonts w:ascii="Arial" w:cs="Arial" w:eastAsia="Arial" w:hAnsi="Arial"/>
                <w:sz w:val="13"/>
                <w:szCs w:val="13"/>
                <w:b w:val="1"/>
                <w:bCs w:val="1"/>
                <w:color w:val="2D3243"/>
              </w:rPr>
              <w:t>Michael</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3"/>
                <w:szCs w:val="13"/>
                <w:color w:val="2D3243"/>
              </w:rPr>
              <w:t>585,000</w:t>
            </w:r>
          </w:p>
        </w:tc>
        <w:tc>
          <w:tcPr>
            <w:tcW w:w="920" w:type="dxa"/>
            <w:vAlign w:val="bottom"/>
          </w:tcPr>
          <w:p>
            <w:pPr>
              <w:jc w:val="right"/>
              <w:ind w:right="17"/>
              <w:spacing w:after="0"/>
              <w:rPr>
                <w:sz w:val="20"/>
                <w:szCs w:val="20"/>
                <w:color w:val="auto"/>
              </w:rPr>
            </w:pPr>
            <w:r>
              <w:rPr>
                <w:rFonts w:ascii="Arial" w:cs="Arial" w:eastAsia="Arial" w:hAnsi="Arial"/>
                <w:sz w:val="13"/>
                <w:szCs w:val="13"/>
                <w:color w:val="2D3243"/>
              </w:rPr>
              <w:t>877,500</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10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040" w:type="dxa"/>
            <w:vAlign w:val="bottom"/>
          </w:tcPr>
          <w:p>
            <w:pPr>
              <w:ind w:left="100"/>
              <w:spacing w:after="0"/>
              <w:rPr>
                <w:sz w:val="20"/>
                <w:szCs w:val="20"/>
                <w:color w:val="auto"/>
              </w:rPr>
            </w:pPr>
            <w:r>
              <w:rPr>
                <w:rFonts w:ascii="Arial" w:cs="Arial" w:eastAsia="Arial" w:hAnsi="Arial"/>
                <w:sz w:val="13"/>
                <w:szCs w:val="13"/>
                <w:b w:val="1"/>
                <w:bCs w:val="1"/>
                <w:color w:val="2D3243"/>
              </w:rPr>
              <w:t>Burkland</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040" w:type="dxa"/>
            <w:vAlign w:val="bottom"/>
            <w:shd w:val="clear" w:color="auto" w:fill="F0F1F2"/>
          </w:tcPr>
          <w:p>
            <w:pPr>
              <w:spacing w:after="0"/>
              <w:rPr>
                <w:sz w:val="19"/>
                <w:szCs w:val="19"/>
                <w:color w:val="auto"/>
              </w:rPr>
            </w:pPr>
          </w:p>
        </w:tc>
        <w:tc>
          <w:tcPr>
            <w:tcW w:w="760" w:type="dxa"/>
            <w:vAlign w:val="bottom"/>
            <w:shd w:val="clear" w:color="auto" w:fill="F0F1F2"/>
          </w:tcPr>
          <w:p>
            <w:pPr>
              <w:spacing w:after="0"/>
              <w:rPr>
                <w:sz w:val="19"/>
                <w:szCs w:val="19"/>
                <w:color w:val="auto"/>
              </w:rPr>
            </w:pPr>
          </w:p>
        </w:tc>
        <w:tc>
          <w:tcPr>
            <w:tcW w:w="780" w:type="dxa"/>
            <w:vAlign w:val="bottom"/>
            <w:shd w:val="clear" w:color="auto" w:fill="F0F1F2"/>
          </w:tcPr>
          <w:p>
            <w:pPr>
              <w:spacing w:after="0"/>
              <w:rPr>
                <w:sz w:val="19"/>
                <w:szCs w:val="19"/>
                <w:color w:val="auto"/>
              </w:rPr>
            </w:pPr>
          </w:p>
        </w:tc>
        <w:tc>
          <w:tcPr>
            <w:tcW w:w="540" w:type="dxa"/>
            <w:vAlign w:val="bottom"/>
            <w:shd w:val="clear" w:color="auto" w:fill="F0F1F2"/>
          </w:tcPr>
          <w:p>
            <w:pPr>
              <w:spacing w:after="0"/>
              <w:rPr>
                <w:sz w:val="19"/>
                <w:szCs w:val="19"/>
                <w:color w:val="auto"/>
              </w:rPr>
            </w:pPr>
          </w:p>
        </w:tc>
        <w:tc>
          <w:tcPr>
            <w:tcW w:w="960" w:type="dxa"/>
            <w:vAlign w:val="bottom"/>
            <w:shd w:val="clear" w:color="auto" w:fill="F0F1F2"/>
          </w:tcPr>
          <w:p>
            <w:pPr>
              <w:jc w:val="right"/>
              <w:ind w:right="19"/>
              <w:spacing w:after="0"/>
              <w:rPr>
                <w:sz w:val="20"/>
                <w:szCs w:val="20"/>
                <w:color w:val="auto"/>
              </w:rPr>
            </w:pPr>
            <w:r>
              <w:rPr>
                <w:rFonts w:ascii="Arial" w:cs="Arial" w:eastAsia="Arial" w:hAnsi="Arial"/>
                <w:sz w:val="13"/>
                <w:szCs w:val="13"/>
                <w:color w:val="2D3243"/>
              </w:rPr>
              <w:t>322,500</w:t>
            </w: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451,500</w:t>
            </w:r>
          </w:p>
        </w:tc>
        <w:tc>
          <w:tcPr>
            <w:tcW w:w="920" w:type="dxa"/>
            <w:vAlign w:val="bottom"/>
            <w:shd w:val="clear" w:color="auto" w:fill="F0F1F2"/>
          </w:tcPr>
          <w:p>
            <w:pPr>
              <w:spacing w:after="0"/>
              <w:rPr>
                <w:sz w:val="19"/>
                <w:szCs w:val="19"/>
                <w:color w:val="auto"/>
              </w:rPr>
            </w:pPr>
          </w:p>
        </w:tc>
        <w:tc>
          <w:tcPr>
            <w:tcW w:w="920" w:type="dxa"/>
            <w:vAlign w:val="bottom"/>
            <w:shd w:val="clear" w:color="auto" w:fill="F0F1F2"/>
          </w:tcPr>
          <w:p>
            <w:pPr>
              <w:spacing w:after="0"/>
              <w:rPr>
                <w:sz w:val="19"/>
                <w:szCs w:val="19"/>
                <w:color w:val="auto"/>
              </w:rPr>
            </w:pPr>
          </w:p>
        </w:tc>
        <w:tc>
          <w:tcPr>
            <w:tcW w:w="1000" w:type="dxa"/>
            <w:vAlign w:val="bottom"/>
            <w:shd w:val="clear" w:color="auto" w:fill="F0F1F2"/>
          </w:tcPr>
          <w:p>
            <w:pPr>
              <w:spacing w:after="0"/>
              <w:rPr>
                <w:sz w:val="19"/>
                <w:szCs w:val="19"/>
                <w:color w:val="auto"/>
              </w:rPr>
            </w:pPr>
          </w:p>
        </w:tc>
        <w:tc>
          <w:tcPr>
            <w:tcW w:w="860" w:type="dxa"/>
            <w:vAlign w:val="bottom"/>
            <w:shd w:val="clear" w:color="auto" w:fill="F0F1F2"/>
          </w:tcPr>
          <w:p>
            <w:pPr>
              <w:spacing w:after="0"/>
              <w:rPr>
                <w:sz w:val="19"/>
                <w:szCs w:val="19"/>
                <w:color w:val="auto"/>
              </w:rPr>
            </w:pPr>
          </w:p>
        </w:tc>
        <w:tc>
          <w:tcPr>
            <w:tcW w:w="820" w:type="dxa"/>
            <w:vAlign w:val="bottom"/>
            <w:shd w:val="clear" w:color="auto" w:fill="F0F1F2"/>
          </w:tcPr>
          <w:p>
            <w:pPr>
              <w:spacing w:after="0"/>
              <w:rPr>
                <w:sz w:val="19"/>
                <w:szCs w:val="19"/>
                <w:color w:val="auto"/>
              </w:rPr>
            </w:pPr>
          </w:p>
        </w:tc>
        <w:tc>
          <w:tcPr>
            <w:tcW w:w="780" w:type="dxa"/>
            <w:vAlign w:val="bottom"/>
            <w:shd w:val="clear" w:color="auto" w:fill="F0F1F2"/>
          </w:tcPr>
          <w:p>
            <w:pPr>
              <w:spacing w:after="0"/>
              <w:rPr>
                <w:sz w:val="19"/>
                <w:szCs w:val="19"/>
                <w:color w:val="auto"/>
              </w:rPr>
            </w:pPr>
          </w:p>
        </w:tc>
        <w:tc>
          <w:tcPr>
            <w:tcW w:w="940" w:type="dxa"/>
            <w:vAlign w:val="bottom"/>
            <w:shd w:val="clear" w:color="auto" w:fill="F0F1F2"/>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040" w:type="dxa"/>
            <w:vAlign w:val="bottom"/>
            <w:shd w:val="clear" w:color="auto" w:fill="F0F1F2"/>
          </w:tcPr>
          <w:p>
            <w:pPr>
              <w:ind w:left="100"/>
              <w:spacing w:after="0"/>
              <w:rPr>
                <w:sz w:val="20"/>
                <w:szCs w:val="20"/>
                <w:color w:val="auto"/>
              </w:rPr>
            </w:pPr>
            <w:r>
              <w:rPr>
                <w:rFonts w:ascii="Arial" w:cs="Arial" w:eastAsia="Arial" w:hAnsi="Arial"/>
                <w:sz w:val="13"/>
                <w:szCs w:val="13"/>
                <w:b w:val="1"/>
                <w:bCs w:val="1"/>
                <w:color w:val="2D3243"/>
              </w:rPr>
              <w:t>Barry</w:t>
            </w:r>
          </w:p>
        </w:tc>
        <w:tc>
          <w:tcPr>
            <w:tcW w:w="760" w:type="dxa"/>
            <w:vAlign w:val="bottom"/>
            <w:vMerge w:val="restart"/>
            <w:shd w:val="clear" w:color="auto" w:fill="F0F1F2"/>
          </w:tcPr>
          <w:p>
            <w:pPr>
              <w:jc w:val="center"/>
              <w:spacing w:after="0"/>
              <w:rPr>
                <w:sz w:val="20"/>
                <w:szCs w:val="20"/>
                <w:color w:val="auto"/>
              </w:rPr>
            </w:pPr>
            <w:r>
              <w:rPr>
                <w:rFonts w:ascii="Arial" w:cs="Arial" w:eastAsia="Arial" w:hAnsi="Arial"/>
                <w:sz w:val="13"/>
                <w:szCs w:val="13"/>
                <w:color w:val="2D3243"/>
                <w:w w:val="96"/>
              </w:rPr>
              <w:t>2/27/23</w:t>
            </w:r>
          </w:p>
        </w:tc>
        <w:tc>
          <w:tcPr>
            <w:tcW w:w="780" w:type="dxa"/>
            <w:vAlign w:val="bottom"/>
            <w:vMerge w:val="restart"/>
            <w:shd w:val="clear" w:color="auto" w:fill="F0F1F2"/>
          </w:tcPr>
          <w:p>
            <w:pPr>
              <w:jc w:val="center"/>
              <w:spacing w:after="0"/>
              <w:rPr>
                <w:sz w:val="20"/>
                <w:szCs w:val="20"/>
                <w:color w:val="auto"/>
              </w:rPr>
            </w:pPr>
            <w:r>
              <w:rPr>
                <w:rFonts w:ascii="Arial" w:cs="Arial" w:eastAsia="Arial" w:hAnsi="Arial"/>
                <w:sz w:val="13"/>
                <w:szCs w:val="13"/>
                <w:color w:val="2D3243"/>
                <w:w w:val="96"/>
              </w:rPr>
              <w:t>2/13/23</w:t>
            </w:r>
          </w:p>
        </w:tc>
        <w:tc>
          <w:tcPr>
            <w:tcW w:w="540" w:type="dxa"/>
            <w:vAlign w:val="bottom"/>
            <w:vMerge w:val="restart"/>
            <w:shd w:val="clear" w:color="auto" w:fill="F0F1F2"/>
          </w:tcPr>
          <w:p>
            <w:pPr>
              <w:jc w:val="center"/>
              <w:spacing w:after="0"/>
              <w:rPr>
                <w:sz w:val="20"/>
                <w:szCs w:val="20"/>
                <w:color w:val="auto"/>
              </w:rPr>
            </w:pPr>
            <w:r>
              <w:rPr>
                <w:rFonts w:ascii="Arial" w:cs="Arial" w:eastAsia="Arial" w:hAnsi="Arial"/>
                <w:sz w:val="13"/>
                <w:szCs w:val="13"/>
                <w:color w:val="2D3243"/>
                <w:w w:val="94"/>
              </w:rPr>
              <w:t>RSU</w:t>
            </w:r>
          </w:p>
        </w:tc>
        <w:tc>
          <w:tcPr>
            <w:tcW w:w="960" w:type="dxa"/>
            <w:vAlign w:val="bottom"/>
            <w:shd w:val="clear" w:color="auto" w:fill="F0F1F2"/>
          </w:tcPr>
          <w:p>
            <w:pPr>
              <w:spacing w:after="0"/>
              <w:rPr>
                <w:sz w:val="21"/>
                <w:szCs w:val="21"/>
                <w:color w:val="auto"/>
              </w:rPr>
            </w:pPr>
          </w:p>
        </w:tc>
        <w:tc>
          <w:tcPr>
            <w:tcW w:w="920" w:type="dxa"/>
            <w:vAlign w:val="bottom"/>
            <w:shd w:val="clear" w:color="auto" w:fill="F0F1F2"/>
          </w:tcPr>
          <w:p>
            <w:pPr>
              <w:spacing w:after="0"/>
              <w:rPr>
                <w:sz w:val="21"/>
                <w:szCs w:val="21"/>
                <w:color w:val="auto"/>
              </w:rPr>
            </w:pPr>
          </w:p>
        </w:tc>
        <w:tc>
          <w:tcPr>
            <w:tcW w:w="920" w:type="dxa"/>
            <w:vAlign w:val="bottom"/>
            <w:shd w:val="clear" w:color="auto" w:fill="F0F1F2"/>
          </w:tcPr>
          <w:p>
            <w:pPr>
              <w:spacing w:after="0"/>
              <w:rPr>
                <w:sz w:val="21"/>
                <w:szCs w:val="21"/>
                <w:color w:val="auto"/>
              </w:rPr>
            </w:pPr>
          </w:p>
        </w:tc>
        <w:tc>
          <w:tcPr>
            <w:tcW w:w="920" w:type="dxa"/>
            <w:vAlign w:val="bottom"/>
            <w:shd w:val="clear" w:color="auto" w:fill="F0F1F2"/>
          </w:tcPr>
          <w:p>
            <w:pPr>
              <w:spacing w:after="0"/>
              <w:rPr>
                <w:sz w:val="21"/>
                <w:szCs w:val="21"/>
                <w:color w:val="auto"/>
              </w:rPr>
            </w:pPr>
          </w:p>
        </w:tc>
        <w:tc>
          <w:tcPr>
            <w:tcW w:w="1000" w:type="dxa"/>
            <w:vAlign w:val="bottom"/>
            <w:shd w:val="clear" w:color="auto" w:fill="F0F1F2"/>
          </w:tcPr>
          <w:p>
            <w:pPr>
              <w:spacing w:after="0"/>
              <w:rPr>
                <w:sz w:val="21"/>
                <w:szCs w:val="21"/>
                <w:color w:val="auto"/>
              </w:rPr>
            </w:pPr>
          </w:p>
        </w:tc>
        <w:tc>
          <w:tcPr>
            <w:tcW w:w="860" w:type="dxa"/>
            <w:vAlign w:val="bottom"/>
            <w:vMerge w:val="restart"/>
            <w:shd w:val="clear" w:color="auto" w:fill="F0F1F2"/>
          </w:tcPr>
          <w:p>
            <w:pPr>
              <w:jc w:val="right"/>
              <w:ind w:right="97"/>
              <w:spacing w:after="0"/>
              <w:rPr>
                <w:sz w:val="20"/>
                <w:szCs w:val="20"/>
                <w:color w:val="auto"/>
              </w:rPr>
            </w:pPr>
            <w:r>
              <w:rPr>
                <w:rFonts w:ascii="Arial" w:cs="Arial" w:eastAsia="Arial" w:hAnsi="Arial"/>
                <w:sz w:val="13"/>
                <w:szCs w:val="13"/>
                <w:color w:val="2D3243"/>
              </w:rPr>
              <w:t>34,259</w:t>
            </w:r>
          </w:p>
        </w:tc>
        <w:tc>
          <w:tcPr>
            <w:tcW w:w="820" w:type="dxa"/>
            <w:vAlign w:val="bottom"/>
            <w:shd w:val="clear" w:color="auto" w:fill="F0F1F2"/>
          </w:tcPr>
          <w:p>
            <w:pPr>
              <w:spacing w:after="0"/>
              <w:rPr>
                <w:sz w:val="21"/>
                <w:szCs w:val="21"/>
                <w:color w:val="auto"/>
              </w:rPr>
            </w:pPr>
          </w:p>
        </w:tc>
        <w:tc>
          <w:tcPr>
            <w:tcW w:w="780" w:type="dxa"/>
            <w:vAlign w:val="bottom"/>
            <w:shd w:val="clear" w:color="auto" w:fill="F0F1F2"/>
          </w:tcPr>
          <w:p>
            <w:pPr>
              <w:spacing w:after="0"/>
              <w:rPr>
                <w:sz w:val="21"/>
                <w:szCs w:val="21"/>
                <w:color w:val="auto"/>
              </w:rPr>
            </w:pPr>
          </w:p>
        </w:tc>
        <w:tc>
          <w:tcPr>
            <w:tcW w:w="940" w:type="dxa"/>
            <w:vAlign w:val="bottom"/>
            <w:vMerge w:val="restart"/>
            <w:shd w:val="clear" w:color="auto" w:fill="F0F1F2"/>
          </w:tcPr>
          <w:p>
            <w:pPr>
              <w:jc w:val="right"/>
              <w:ind w:right="97"/>
              <w:spacing w:after="0"/>
              <w:rPr>
                <w:sz w:val="20"/>
                <w:szCs w:val="20"/>
                <w:color w:val="auto"/>
              </w:rPr>
            </w:pPr>
            <w:r>
              <w:rPr>
                <w:rFonts w:ascii="Arial" w:cs="Arial" w:eastAsia="Arial" w:hAnsi="Arial"/>
                <w:sz w:val="13"/>
                <w:szCs w:val="13"/>
                <w:color w:val="2D3243"/>
              </w:rPr>
              <w:t>2,334,751</w:t>
            </w:r>
          </w:p>
        </w:tc>
        <w:tc>
          <w:tcPr>
            <w:tcW w:w="0" w:type="dxa"/>
            <w:vAlign w:val="bottom"/>
          </w:tcPr>
          <w:p>
            <w:pPr>
              <w:spacing w:after="0"/>
              <w:rPr>
                <w:sz w:val="1"/>
                <w:szCs w:val="1"/>
                <w:color w:val="auto"/>
              </w:rPr>
            </w:pPr>
          </w:p>
        </w:tc>
      </w:tr>
      <w:tr>
        <w:trPr>
          <w:trHeight w:val="71"/>
        </w:trPr>
        <w:tc>
          <w:tcPr>
            <w:tcW w:w="1040" w:type="dxa"/>
            <w:vAlign w:val="bottom"/>
            <w:vMerge w:val="restart"/>
            <w:shd w:val="clear" w:color="auto" w:fill="F0F1F2"/>
          </w:tcPr>
          <w:p>
            <w:pPr>
              <w:ind w:left="100"/>
              <w:spacing w:after="0"/>
              <w:rPr>
                <w:sz w:val="20"/>
                <w:szCs w:val="20"/>
                <w:color w:val="auto"/>
              </w:rPr>
            </w:pPr>
            <w:r>
              <w:rPr>
                <w:rFonts w:ascii="Arial" w:cs="Arial" w:eastAsia="Arial" w:hAnsi="Arial"/>
                <w:sz w:val="13"/>
                <w:szCs w:val="13"/>
                <w:b w:val="1"/>
                <w:bCs w:val="1"/>
                <w:color w:val="2D3243"/>
              </w:rPr>
              <w:t>Zwarenstein</w:t>
            </w:r>
          </w:p>
        </w:tc>
        <w:tc>
          <w:tcPr>
            <w:tcW w:w="760" w:type="dxa"/>
            <w:vAlign w:val="bottom"/>
            <w:vMerge w:val="continue"/>
            <w:shd w:val="clear" w:color="auto" w:fill="F0F1F2"/>
          </w:tcPr>
          <w:p>
            <w:pPr>
              <w:spacing w:after="0"/>
              <w:rPr>
                <w:sz w:val="6"/>
                <w:szCs w:val="6"/>
                <w:color w:val="auto"/>
              </w:rPr>
            </w:pPr>
          </w:p>
        </w:tc>
        <w:tc>
          <w:tcPr>
            <w:tcW w:w="780" w:type="dxa"/>
            <w:vAlign w:val="bottom"/>
            <w:vMerge w:val="continue"/>
            <w:shd w:val="clear" w:color="auto" w:fill="F0F1F2"/>
          </w:tcPr>
          <w:p>
            <w:pPr>
              <w:spacing w:after="0"/>
              <w:rPr>
                <w:sz w:val="6"/>
                <w:szCs w:val="6"/>
                <w:color w:val="auto"/>
              </w:rPr>
            </w:pPr>
          </w:p>
        </w:tc>
        <w:tc>
          <w:tcPr>
            <w:tcW w:w="540" w:type="dxa"/>
            <w:vAlign w:val="bottom"/>
            <w:vMerge w:val="continue"/>
            <w:shd w:val="clear" w:color="auto" w:fill="F0F1F2"/>
          </w:tcPr>
          <w:p>
            <w:pPr>
              <w:spacing w:after="0"/>
              <w:rPr>
                <w:sz w:val="6"/>
                <w:szCs w:val="6"/>
                <w:color w:val="auto"/>
              </w:rPr>
            </w:pPr>
          </w:p>
        </w:tc>
        <w:tc>
          <w:tcPr>
            <w:tcW w:w="960" w:type="dxa"/>
            <w:vAlign w:val="bottom"/>
            <w:shd w:val="clear" w:color="auto" w:fill="F0F1F2"/>
          </w:tcPr>
          <w:p>
            <w:pPr>
              <w:spacing w:after="0"/>
              <w:rPr>
                <w:sz w:val="6"/>
                <w:szCs w:val="6"/>
                <w:color w:val="auto"/>
              </w:rPr>
            </w:pPr>
          </w:p>
        </w:tc>
        <w:tc>
          <w:tcPr>
            <w:tcW w:w="920" w:type="dxa"/>
            <w:vAlign w:val="bottom"/>
            <w:shd w:val="clear" w:color="auto" w:fill="F0F1F2"/>
          </w:tcPr>
          <w:p>
            <w:pPr>
              <w:spacing w:after="0"/>
              <w:rPr>
                <w:sz w:val="6"/>
                <w:szCs w:val="6"/>
                <w:color w:val="auto"/>
              </w:rPr>
            </w:pPr>
          </w:p>
        </w:tc>
        <w:tc>
          <w:tcPr>
            <w:tcW w:w="920" w:type="dxa"/>
            <w:vAlign w:val="bottom"/>
            <w:shd w:val="clear" w:color="auto" w:fill="F0F1F2"/>
          </w:tcPr>
          <w:p>
            <w:pPr>
              <w:spacing w:after="0"/>
              <w:rPr>
                <w:sz w:val="6"/>
                <w:szCs w:val="6"/>
                <w:color w:val="auto"/>
              </w:rPr>
            </w:pPr>
          </w:p>
        </w:tc>
        <w:tc>
          <w:tcPr>
            <w:tcW w:w="920" w:type="dxa"/>
            <w:vAlign w:val="bottom"/>
            <w:shd w:val="clear" w:color="auto" w:fill="F0F1F2"/>
          </w:tcPr>
          <w:p>
            <w:pPr>
              <w:spacing w:after="0"/>
              <w:rPr>
                <w:sz w:val="6"/>
                <w:szCs w:val="6"/>
                <w:color w:val="auto"/>
              </w:rPr>
            </w:pPr>
          </w:p>
        </w:tc>
        <w:tc>
          <w:tcPr>
            <w:tcW w:w="1000" w:type="dxa"/>
            <w:vAlign w:val="bottom"/>
            <w:shd w:val="clear" w:color="auto" w:fill="F0F1F2"/>
          </w:tcPr>
          <w:p>
            <w:pPr>
              <w:spacing w:after="0"/>
              <w:rPr>
                <w:sz w:val="6"/>
                <w:szCs w:val="6"/>
                <w:color w:val="auto"/>
              </w:rPr>
            </w:pPr>
          </w:p>
        </w:tc>
        <w:tc>
          <w:tcPr>
            <w:tcW w:w="860" w:type="dxa"/>
            <w:vAlign w:val="bottom"/>
            <w:vMerge w:val="continue"/>
            <w:shd w:val="clear" w:color="auto" w:fill="F0F1F2"/>
          </w:tcPr>
          <w:p>
            <w:pPr>
              <w:spacing w:after="0"/>
              <w:rPr>
                <w:sz w:val="6"/>
                <w:szCs w:val="6"/>
                <w:color w:val="auto"/>
              </w:rPr>
            </w:pPr>
          </w:p>
        </w:tc>
        <w:tc>
          <w:tcPr>
            <w:tcW w:w="820" w:type="dxa"/>
            <w:vAlign w:val="bottom"/>
            <w:shd w:val="clear" w:color="auto" w:fill="F0F1F2"/>
          </w:tcPr>
          <w:p>
            <w:pPr>
              <w:spacing w:after="0"/>
              <w:rPr>
                <w:sz w:val="6"/>
                <w:szCs w:val="6"/>
                <w:color w:val="auto"/>
              </w:rPr>
            </w:pPr>
          </w:p>
        </w:tc>
        <w:tc>
          <w:tcPr>
            <w:tcW w:w="780" w:type="dxa"/>
            <w:vAlign w:val="bottom"/>
            <w:shd w:val="clear" w:color="auto" w:fill="F0F1F2"/>
          </w:tcPr>
          <w:p>
            <w:pPr>
              <w:spacing w:after="0"/>
              <w:rPr>
                <w:sz w:val="6"/>
                <w:szCs w:val="6"/>
                <w:color w:val="auto"/>
              </w:rPr>
            </w:pPr>
          </w:p>
        </w:tc>
        <w:tc>
          <w:tcPr>
            <w:tcW w:w="940" w:type="dxa"/>
            <w:vAlign w:val="bottom"/>
            <w:vMerge w:val="continue"/>
            <w:shd w:val="clear" w:color="auto" w:fill="F0F1F2"/>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040" w:type="dxa"/>
            <w:vAlign w:val="bottom"/>
            <w:vMerge w:val="continue"/>
            <w:shd w:val="clear" w:color="auto" w:fill="F0F1F2"/>
          </w:tcPr>
          <w:p>
            <w:pPr>
              <w:spacing w:after="0"/>
              <w:rPr>
                <w:sz w:val="8"/>
                <w:szCs w:val="8"/>
                <w:color w:val="auto"/>
              </w:rPr>
            </w:pPr>
          </w:p>
        </w:tc>
        <w:tc>
          <w:tcPr>
            <w:tcW w:w="760" w:type="dxa"/>
            <w:vAlign w:val="bottom"/>
            <w:shd w:val="clear" w:color="auto" w:fill="F0F1F2"/>
          </w:tcPr>
          <w:p>
            <w:pPr>
              <w:spacing w:after="0"/>
              <w:rPr>
                <w:sz w:val="8"/>
                <w:szCs w:val="8"/>
                <w:color w:val="auto"/>
              </w:rPr>
            </w:pPr>
          </w:p>
        </w:tc>
        <w:tc>
          <w:tcPr>
            <w:tcW w:w="780" w:type="dxa"/>
            <w:vAlign w:val="bottom"/>
            <w:shd w:val="clear" w:color="auto" w:fill="F0F1F2"/>
          </w:tcPr>
          <w:p>
            <w:pPr>
              <w:spacing w:after="0"/>
              <w:rPr>
                <w:sz w:val="8"/>
                <w:szCs w:val="8"/>
                <w:color w:val="auto"/>
              </w:rPr>
            </w:pPr>
          </w:p>
        </w:tc>
        <w:tc>
          <w:tcPr>
            <w:tcW w:w="540" w:type="dxa"/>
            <w:vAlign w:val="bottom"/>
            <w:shd w:val="clear" w:color="auto" w:fill="F0F1F2"/>
          </w:tcPr>
          <w:p>
            <w:pPr>
              <w:spacing w:after="0"/>
              <w:rPr>
                <w:sz w:val="8"/>
                <w:szCs w:val="8"/>
                <w:color w:val="auto"/>
              </w:rPr>
            </w:pPr>
          </w:p>
        </w:tc>
        <w:tc>
          <w:tcPr>
            <w:tcW w:w="96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1000" w:type="dxa"/>
            <w:vAlign w:val="bottom"/>
            <w:shd w:val="clear" w:color="auto" w:fill="F0F1F2"/>
          </w:tcPr>
          <w:p>
            <w:pPr>
              <w:spacing w:after="0"/>
              <w:rPr>
                <w:sz w:val="8"/>
                <w:szCs w:val="8"/>
                <w:color w:val="auto"/>
              </w:rPr>
            </w:pPr>
          </w:p>
        </w:tc>
        <w:tc>
          <w:tcPr>
            <w:tcW w:w="860" w:type="dxa"/>
            <w:vAlign w:val="bottom"/>
            <w:shd w:val="clear" w:color="auto" w:fill="F0F1F2"/>
          </w:tcPr>
          <w:p>
            <w:pPr>
              <w:spacing w:after="0"/>
              <w:rPr>
                <w:sz w:val="8"/>
                <w:szCs w:val="8"/>
                <w:color w:val="auto"/>
              </w:rPr>
            </w:pPr>
          </w:p>
        </w:tc>
        <w:tc>
          <w:tcPr>
            <w:tcW w:w="820" w:type="dxa"/>
            <w:vAlign w:val="bottom"/>
            <w:shd w:val="clear" w:color="auto" w:fill="F0F1F2"/>
          </w:tcPr>
          <w:p>
            <w:pPr>
              <w:spacing w:after="0"/>
              <w:rPr>
                <w:sz w:val="8"/>
                <w:szCs w:val="8"/>
                <w:color w:val="auto"/>
              </w:rPr>
            </w:pPr>
          </w:p>
        </w:tc>
        <w:tc>
          <w:tcPr>
            <w:tcW w:w="780" w:type="dxa"/>
            <w:vAlign w:val="bottom"/>
            <w:shd w:val="clear" w:color="auto" w:fill="F0F1F2"/>
          </w:tcPr>
          <w:p>
            <w:pPr>
              <w:spacing w:after="0"/>
              <w:rPr>
                <w:sz w:val="8"/>
                <w:szCs w:val="8"/>
                <w:color w:val="auto"/>
              </w:rPr>
            </w:pPr>
          </w:p>
        </w:tc>
        <w:tc>
          <w:tcPr>
            <w:tcW w:w="940" w:type="dxa"/>
            <w:vAlign w:val="bottom"/>
            <w:shd w:val="clear" w:color="auto" w:fill="F0F1F2"/>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040" w:type="dxa"/>
            <w:vAlign w:val="bottom"/>
            <w:shd w:val="clear" w:color="auto" w:fill="F0F1F2"/>
          </w:tcPr>
          <w:p>
            <w:pPr>
              <w:spacing w:after="0"/>
              <w:rPr>
                <w:sz w:val="19"/>
                <w:szCs w:val="19"/>
                <w:color w:val="auto"/>
              </w:rPr>
            </w:pPr>
          </w:p>
        </w:tc>
        <w:tc>
          <w:tcPr>
            <w:tcW w:w="76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2/27/23</w:t>
            </w:r>
          </w:p>
        </w:tc>
        <w:tc>
          <w:tcPr>
            <w:tcW w:w="7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2/13/23</w:t>
            </w:r>
          </w:p>
        </w:tc>
        <w:tc>
          <w:tcPr>
            <w:tcW w:w="54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9"/>
              </w:rPr>
              <w:t>PRSU</w:t>
            </w:r>
          </w:p>
        </w:tc>
        <w:tc>
          <w:tcPr>
            <w:tcW w:w="960" w:type="dxa"/>
            <w:vAlign w:val="bottom"/>
            <w:shd w:val="clear" w:color="auto" w:fill="F0F1F2"/>
          </w:tcPr>
          <w:p>
            <w:pPr>
              <w:spacing w:after="0"/>
              <w:rPr>
                <w:sz w:val="19"/>
                <w:szCs w:val="19"/>
                <w:color w:val="auto"/>
              </w:rPr>
            </w:pPr>
          </w:p>
        </w:tc>
        <w:tc>
          <w:tcPr>
            <w:tcW w:w="920" w:type="dxa"/>
            <w:vAlign w:val="bottom"/>
            <w:shd w:val="clear" w:color="auto" w:fill="F0F1F2"/>
          </w:tcPr>
          <w:p>
            <w:pPr>
              <w:spacing w:after="0"/>
              <w:rPr>
                <w:sz w:val="19"/>
                <w:szCs w:val="19"/>
                <w:color w:val="auto"/>
              </w:rPr>
            </w:pP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5,710</w:t>
            </w: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11,419</w:t>
            </w:r>
          </w:p>
        </w:tc>
        <w:tc>
          <w:tcPr>
            <w:tcW w:w="100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22,838</w:t>
            </w:r>
          </w:p>
        </w:tc>
        <w:tc>
          <w:tcPr>
            <w:tcW w:w="86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11,419</w:t>
            </w:r>
          </w:p>
        </w:tc>
        <w:tc>
          <w:tcPr>
            <w:tcW w:w="820" w:type="dxa"/>
            <w:vAlign w:val="bottom"/>
            <w:shd w:val="clear" w:color="auto" w:fill="F0F1F2"/>
          </w:tcPr>
          <w:p>
            <w:pPr>
              <w:spacing w:after="0"/>
              <w:rPr>
                <w:sz w:val="19"/>
                <w:szCs w:val="19"/>
                <w:color w:val="auto"/>
              </w:rPr>
            </w:pPr>
          </w:p>
        </w:tc>
        <w:tc>
          <w:tcPr>
            <w:tcW w:w="780" w:type="dxa"/>
            <w:vAlign w:val="bottom"/>
            <w:shd w:val="clear" w:color="auto" w:fill="F0F1F2"/>
          </w:tcPr>
          <w:p>
            <w:pPr>
              <w:spacing w:after="0"/>
              <w:rPr>
                <w:sz w:val="19"/>
                <w:szCs w:val="19"/>
                <w:color w:val="auto"/>
              </w:rPr>
            </w:pPr>
          </w:p>
        </w:tc>
        <w:tc>
          <w:tcPr>
            <w:tcW w:w="94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778,205</w:t>
            </w:r>
          </w:p>
        </w:tc>
        <w:tc>
          <w:tcPr>
            <w:tcW w:w="0" w:type="dxa"/>
            <w:vAlign w:val="bottom"/>
          </w:tcPr>
          <w:p>
            <w:pPr>
              <w:spacing w:after="0"/>
              <w:rPr>
                <w:sz w:val="1"/>
                <w:szCs w:val="1"/>
                <w:color w:val="auto"/>
              </w:rPr>
            </w:pPr>
          </w:p>
        </w:tc>
      </w:tr>
      <w:tr>
        <w:trPr>
          <w:trHeight w:val="95"/>
        </w:trPr>
        <w:tc>
          <w:tcPr>
            <w:tcW w:w="1040" w:type="dxa"/>
            <w:vAlign w:val="bottom"/>
            <w:shd w:val="clear" w:color="auto" w:fill="F0F1F2"/>
          </w:tcPr>
          <w:p>
            <w:pPr>
              <w:spacing w:after="0"/>
              <w:rPr>
                <w:sz w:val="8"/>
                <w:szCs w:val="8"/>
                <w:color w:val="auto"/>
              </w:rPr>
            </w:pPr>
          </w:p>
        </w:tc>
        <w:tc>
          <w:tcPr>
            <w:tcW w:w="760" w:type="dxa"/>
            <w:vAlign w:val="bottom"/>
            <w:shd w:val="clear" w:color="auto" w:fill="F0F1F2"/>
          </w:tcPr>
          <w:p>
            <w:pPr>
              <w:spacing w:after="0"/>
              <w:rPr>
                <w:sz w:val="8"/>
                <w:szCs w:val="8"/>
                <w:color w:val="auto"/>
              </w:rPr>
            </w:pPr>
          </w:p>
        </w:tc>
        <w:tc>
          <w:tcPr>
            <w:tcW w:w="780" w:type="dxa"/>
            <w:vAlign w:val="bottom"/>
            <w:shd w:val="clear" w:color="auto" w:fill="F0F1F2"/>
          </w:tcPr>
          <w:p>
            <w:pPr>
              <w:spacing w:after="0"/>
              <w:rPr>
                <w:sz w:val="8"/>
                <w:szCs w:val="8"/>
                <w:color w:val="auto"/>
              </w:rPr>
            </w:pPr>
          </w:p>
        </w:tc>
        <w:tc>
          <w:tcPr>
            <w:tcW w:w="540" w:type="dxa"/>
            <w:vAlign w:val="bottom"/>
            <w:shd w:val="clear" w:color="auto" w:fill="F0F1F2"/>
          </w:tcPr>
          <w:p>
            <w:pPr>
              <w:spacing w:after="0"/>
              <w:rPr>
                <w:sz w:val="8"/>
                <w:szCs w:val="8"/>
                <w:color w:val="auto"/>
              </w:rPr>
            </w:pPr>
          </w:p>
        </w:tc>
        <w:tc>
          <w:tcPr>
            <w:tcW w:w="96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1000" w:type="dxa"/>
            <w:vAlign w:val="bottom"/>
            <w:shd w:val="clear" w:color="auto" w:fill="F0F1F2"/>
          </w:tcPr>
          <w:p>
            <w:pPr>
              <w:spacing w:after="0"/>
              <w:rPr>
                <w:sz w:val="8"/>
                <w:szCs w:val="8"/>
                <w:color w:val="auto"/>
              </w:rPr>
            </w:pPr>
          </w:p>
        </w:tc>
        <w:tc>
          <w:tcPr>
            <w:tcW w:w="860" w:type="dxa"/>
            <w:vAlign w:val="bottom"/>
            <w:shd w:val="clear" w:color="auto" w:fill="F0F1F2"/>
          </w:tcPr>
          <w:p>
            <w:pPr>
              <w:spacing w:after="0"/>
              <w:rPr>
                <w:sz w:val="8"/>
                <w:szCs w:val="8"/>
                <w:color w:val="auto"/>
              </w:rPr>
            </w:pPr>
          </w:p>
        </w:tc>
        <w:tc>
          <w:tcPr>
            <w:tcW w:w="820" w:type="dxa"/>
            <w:vAlign w:val="bottom"/>
            <w:shd w:val="clear" w:color="auto" w:fill="F0F1F2"/>
          </w:tcPr>
          <w:p>
            <w:pPr>
              <w:spacing w:after="0"/>
              <w:rPr>
                <w:sz w:val="8"/>
                <w:szCs w:val="8"/>
                <w:color w:val="auto"/>
              </w:rPr>
            </w:pPr>
          </w:p>
        </w:tc>
        <w:tc>
          <w:tcPr>
            <w:tcW w:w="780" w:type="dxa"/>
            <w:vAlign w:val="bottom"/>
            <w:shd w:val="clear" w:color="auto" w:fill="F0F1F2"/>
          </w:tcPr>
          <w:p>
            <w:pPr>
              <w:spacing w:after="0"/>
              <w:rPr>
                <w:sz w:val="8"/>
                <w:szCs w:val="8"/>
                <w:color w:val="auto"/>
              </w:rPr>
            </w:pPr>
          </w:p>
        </w:tc>
        <w:tc>
          <w:tcPr>
            <w:tcW w:w="940" w:type="dxa"/>
            <w:vAlign w:val="bottom"/>
            <w:shd w:val="clear" w:color="auto" w:fill="F0F1F2"/>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3"/>
                <w:szCs w:val="13"/>
                <w:color w:val="2D3243"/>
              </w:rPr>
              <w:t>425,000</w:t>
            </w:r>
          </w:p>
        </w:tc>
        <w:tc>
          <w:tcPr>
            <w:tcW w:w="920" w:type="dxa"/>
            <w:vAlign w:val="bottom"/>
          </w:tcPr>
          <w:p>
            <w:pPr>
              <w:jc w:val="right"/>
              <w:ind w:right="17"/>
              <w:spacing w:after="0"/>
              <w:rPr>
                <w:sz w:val="20"/>
                <w:szCs w:val="20"/>
                <w:color w:val="auto"/>
              </w:rPr>
            </w:pPr>
            <w:r>
              <w:rPr>
                <w:rFonts w:ascii="Arial" w:cs="Arial" w:eastAsia="Arial" w:hAnsi="Arial"/>
                <w:sz w:val="13"/>
                <w:szCs w:val="13"/>
                <w:color w:val="2D3243"/>
              </w:rPr>
              <w:t>—</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040" w:type="dxa"/>
            <w:vAlign w:val="bottom"/>
          </w:tcPr>
          <w:p>
            <w:pPr>
              <w:ind w:left="100"/>
              <w:spacing w:after="0"/>
              <w:rPr>
                <w:sz w:val="20"/>
                <w:szCs w:val="20"/>
                <w:color w:val="auto"/>
              </w:rPr>
            </w:pPr>
            <w:r>
              <w:rPr>
                <w:rFonts w:ascii="Arial" w:cs="Arial" w:eastAsia="Arial" w:hAnsi="Arial"/>
                <w:sz w:val="13"/>
                <w:szCs w:val="13"/>
                <w:b w:val="1"/>
                <w:bCs w:val="1"/>
                <w:color w:val="2D3243"/>
              </w:rPr>
              <w:t>Daniel</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2D3243"/>
                <w:w w:val="96"/>
              </w:rPr>
              <w:t>2/27/23</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2D3243"/>
                <w:w w:val="96"/>
              </w:rPr>
              <w:t>2/13/23</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2D3243"/>
                <w:w w:val="94"/>
              </w:rPr>
              <w:t>RSU</w:t>
            </w: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color w:val="2D3243"/>
              </w:rPr>
              <w:t>37,513</w:t>
            </w: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color w:val="2D3243"/>
              </w:rPr>
              <w:t>2,556,511</w:t>
            </w:r>
          </w:p>
        </w:tc>
        <w:tc>
          <w:tcPr>
            <w:tcW w:w="0" w:type="dxa"/>
            <w:vAlign w:val="bottom"/>
          </w:tcPr>
          <w:p>
            <w:pPr>
              <w:spacing w:after="0"/>
              <w:rPr>
                <w:sz w:val="1"/>
                <w:szCs w:val="1"/>
                <w:color w:val="auto"/>
              </w:rPr>
            </w:pPr>
          </w:p>
        </w:tc>
      </w:tr>
      <w:tr>
        <w:trPr>
          <w:trHeight w:val="71"/>
        </w:trPr>
        <w:tc>
          <w:tcPr>
            <w:tcW w:w="1040" w:type="dxa"/>
            <w:vAlign w:val="bottom"/>
            <w:vMerge w:val="restart"/>
          </w:tcPr>
          <w:p>
            <w:pPr>
              <w:ind w:left="100"/>
              <w:spacing w:after="0"/>
              <w:rPr>
                <w:sz w:val="20"/>
                <w:szCs w:val="20"/>
                <w:color w:val="auto"/>
              </w:rPr>
            </w:pPr>
            <w:r>
              <w:rPr>
                <w:rFonts w:ascii="Arial" w:cs="Arial" w:eastAsia="Arial" w:hAnsi="Arial"/>
                <w:sz w:val="13"/>
                <w:szCs w:val="13"/>
                <w:b w:val="1"/>
                <w:bCs w:val="1"/>
                <w:color w:val="2D3243"/>
              </w:rPr>
              <w:t>Burkland</w:t>
            </w: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0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2D3243"/>
                <w:w w:val="96"/>
              </w:rPr>
              <w:t>2/27/23</w:t>
            </w:r>
          </w:p>
        </w:tc>
        <w:tc>
          <w:tcPr>
            <w:tcW w:w="780" w:type="dxa"/>
            <w:vAlign w:val="bottom"/>
          </w:tcPr>
          <w:p>
            <w:pPr>
              <w:jc w:val="center"/>
              <w:spacing w:after="0"/>
              <w:rPr>
                <w:sz w:val="20"/>
                <w:szCs w:val="20"/>
                <w:color w:val="auto"/>
              </w:rPr>
            </w:pPr>
            <w:r>
              <w:rPr>
                <w:rFonts w:ascii="Arial" w:cs="Arial" w:eastAsia="Arial" w:hAnsi="Arial"/>
                <w:sz w:val="13"/>
                <w:szCs w:val="13"/>
                <w:color w:val="2D3243"/>
                <w:w w:val="96"/>
              </w:rPr>
              <w:t>2/13/23</w:t>
            </w:r>
          </w:p>
        </w:tc>
        <w:tc>
          <w:tcPr>
            <w:tcW w:w="540" w:type="dxa"/>
            <w:vAlign w:val="bottom"/>
          </w:tcPr>
          <w:p>
            <w:pPr>
              <w:jc w:val="center"/>
              <w:spacing w:after="0"/>
              <w:rPr>
                <w:sz w:val="20"/>
                <w:szCs w:val="20"/>
                <w:color w:val="auto"/>
              </w:rPr>
            </w:pPr>
            <w:r>
              <w:rPr>
                <w:rFonts w:ascii="Arial" w:cs="Arial" w:eastAsia="Arial" w:hAnsi="Arial"/>
                <w:sz w:val="13"/>
                <w:szCs w:val="13"/>
                <w:color w:val="2D3243"/>
                <w:w w:val="99"/>
              </w:rPr>
              <w:t>PRSU</w:t>
            </w: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2D3243"/>
              </w:rPr>
              <w:t>6,252</w:t>
            </w:r>
          </w:p>
        </w:tc>
        <w:tc>
          <w:tcPr>
            <w:tcW w:w="920" w:type="dxa"/>
            <w:vAlign w:val="bottom"/>
          </w:tcPr>
          <w:p>
            <w:pPr>
              <w:jc w:val="right"/>
              <w:ind w:right="17"/>
              <w:spacing w:after="0"/>
              <w:rPr>
                <w:sz w:val="20"/>
                <w:szCs w:val="20"/>
                <w:color w:val="auto"/>
              </w:rPr>
            </w:pPr>
            <w:r>
              <w:rPr>
                <w:rFonts w:ascii="Arial" w:cs="Arial" w:eastAsia="Arial" w:hAnsi="Arial"/>
                <w:sz w:val="13"/>
                <w:szCs w:val="13"/>
                <w:color w:val="2D3243"/>
              </w:rPr>
              <w:t>12,504</w:t>
            </w:r>
          </w:p>
        </w:tc>
        <w:tc>
          <w:tcPr>
            <w:tcW w:w="1000" w:type="dxa"/>
            <w:vAlign w:val="bottom"/>
          </w:tcPr>
          <w:p>
            <w:pPr>
              <w:jc w:val="right"/>
              <w:ind w:right="97"/>
              <w:spacing w:after="0"/>
              <w:rPr>
                <w:sz w:val="20"/>
                <w:szCs w:val="20"/>
                <w:color w:val="auto"/>
              </w:rPr>
            </w:pPr>
            <w:r>
              <w:rPr>
                <w:rFonts w:ascii="Arial" w:cs="Arial" w:eastAsia="Arial" w:hAnsi="Arial"/>
                <w:sz w:val="13"/>
                <w:szCs w:val="13"/>
                <w:color w:val="2D3243"/>
              </w:rPr>
              <w:t>25,008</w:t>
            </w:r>
          </w:p>
        </w:tc>
        <w:tc>
          <w:tcPr>
            <w:tcW w:w="860" w:type="dxa"/>
            <w:vAlign w:val="bottom"/>
          </w:tcPr>
          <w:p>
            <w:pPr>
              <w:jc w:val="right"/>
              <w:ind w:right="97"/>
              <w:spacing w:after="0"/>
              <w:rPr>
                <w:sz w:val="20"/>
                <w:szCs w:val="20"/>
                <w:color w:val="auto"/>
              </w:rPr>
            </w:pPr>
            <w:r>
              <w:rPr>
                <w:rFonts w:ascii="Arial" w:cs="Arial" w:eastAsia="Arial" w:hAnsi="Arial"/>
                <w:sz w:val="13"/>
                <w:szCs w:val="13"/>
                <w:color w:val="2D3243"/>
              </w:rPr>
              <w:t>12,504</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2D3243"/>
              </w:rPr>
              <w:t>852,148</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040" w:type="dxa"/>
            <w:vAlign w:val="bottom"/>
            <w:shd w:val="clear" w:color="auto" w:fill="F0F1F2"/>
          </w:tcPr>
          <w:p>
            <w:pPr>
              <w:spacing w:after="0"/>
              <w:rPr>
                <w:sz w:val="19"/>
                <w:szCs w:val="19"/>
                <w:color w:val="auto"/>
              </w:rPr>
            </w:pPr>
          </w:p>
        </w:tc>
        <w:tc>
          <w:tcPr>
            <w:tcW w:w="760" w:type="dxa"/>
            <w:vAlign w:val="bottom"/>
            <w:shd w:val="clear" w:color="auto" w:fill="F0F1F2"/>
          </w:tcPr>
          <w:p>
            <w:pPr>
              <w:spacing w:after="0"/>
              <w:rPr>
                <w:sz w:val="19"/>
                <w:szCs w:val="19"/>
                <w:color w:val="auto"/>
              </w:rPr>
            </w:pPr>
          </w:p>
        </w:tc>
        <w:tc>
          <w:tcPr>
            <w:tcW w:w="780" w:type="dxa"/>
            <w:vAlign w:val="bottom"/>
            <w:shd w:val="clear" w:color="auto" w:fill="F0F1F2"/>
          </w:tcPr>
          <w:p>
            <w:pPr>
              <w:spacing w:after="0"/>
              <w:rPr>
                <w:sz w:val="19"/>
                <w:szCs w:val="19"/>
                <w:color w:val="auto"/>
              </w:rPr>
            </w:pPr>
          </w:p>
        </w:tc>
        <w:tc>
          <w:tcPr>
            <w:tcW w:w="540" w:type="dxa"/>
            <w:vAlign w:val="bottom"/>
            <w:shd w:val="clear" w:color="auto" w:fill="F0F1F2"/>
          </w:tcPr>
          <w:p>
            <w:pPr>
              <w:spacing w:after="0"/>
              <w:rPr>
                <w:sz w:val="19"/>
                <w:szCs w:val="19"/>
                <w:color w:val="auto"/>
              </w:rPr>
            </w:pPr>
          </w:p>
        </w:tc>
        <w:tc>
          <w:tcPr>
            <w:tcW w:w="960" w:type="dxa"/>
            <w:vAlign w:val="bottom"/>
            <w:shd w:val="clear" w:color="auto" w:fill="F0F1F2"/>
          </w:tcPr>
          <w:p>
            <w:pPr>
              <w:jc w:val="right"/>
              <w:ind w:right="19"/>
              <w:spacing w:after="0"/>
              <w:rPr>
                <w:sz w:val="20"/>
                <w:szCs w:val="20"/>
                <w:color w:val="auto"/>
              </w:rPr>
            </w:pPr>
            <w:r>
              <w:rPr>
                <w:rFonts w:ascii="Arial" w:cs="Arial" w:eastAsia="Arial" w:hAnsi="Arial"/>
                <w:sz w:val="13"/>
                <w:szCs w:val="13"/>
                <w:color w:val="2D3243"/>
              </w:rPr>
              <w:t>334,500</w:t>
            </w: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468,300</w:t>
            </w:r>
          </w:p>
        </w:tc>
        <w:tc>
          <w:tcPr>
            <w:tcW w:w="920" w:type="dxa"/>
            <w:vAlign w:val="bottom"/>
            <w:shd w:val="clear" w:color="auto" w:fill="F0F1F2"/>
          </w:tcPr>
          <w:p>
            <w:pPr>
              <w:spacing w:after="0"/>
              <w:rPr>
                <w:sz w:val="19"/>
                <w:szCs w:val="19"/>
                <w:color w:val="auto"/>
              </w:rPr>
            </w:pPr>
          </w:p>
        </w:tc>
        <w:tc>
          <w:tcPr>
            <w:tcW w:w="920" w:type="dxa"/>
            <w:vAlign w:val="bottom"/>
            <w:shd w:val="clear" w:color="auto" w:fill="F0F1F2"/>
          </w:tcPr>
          <w:p>
            <w:pPr>
              <w:spacing w:after="0"/>
              <w:rPr>
                <w:sz w:val="19"/>
                <w:szCs w:val="19"/>
                <w:color w:val="auto"/>
              </w:rPr>
            </w:pPr>
          </w:p>
        </w:tc>
        <w:tc>
          <w:tcPr>
            <w:tcW w:w="1000" w:type="dxa"/>
            <w:vAlign w:val="bottom"/>
            <w:shd w:val="clear" w:color="auto" w:fill="F0F1F2"/>
          </w:tcPr>
          <w:p>
            <w:pPr>
              <w:spacing w:after="0"/>
              <w:rPr>
                <w:sz w:val="19"/>
                <w:szCs w:val="19"/>
                <w:color w:val="auto"/>
              </w:rPr>
            </w:pPr>
          </w:p>
        </w:tc>
        <w:tc>
          <w:tcPr>
            <w:tcW w:w="860" w:type="dxa"/>
            <w:vAlign w:val="bottom"/>
            <w:shd w:val="clear" w:color="auto" w:fill="F0F1F2"/>
          </w:tcPr>
          <w:p>
            <w:pPr>
              <w:spacing w:after="0"/>
              <w:rPr>
                <w:sz w:val="19"/>
                <w:szCs w:val="19"/>
                <w:color w:val="auto"/>
              </w:rPr>
            </w:pPr>
          </w:p>
        </w:tc>
        <w:tc>
          <w:tcPr>
            <w:tcW w:w="820" w:type="dxa"/>
            <w:vAlign w:val="bottom"/>
            <w:shd w:val="clear" w:color="auto" w:fill="F0F1F2"/>
          </w:tcPr>
          <w:p>
            <w:pPr>
              <w:spacing w:after="0"/>
              <w:rPr>
                <w:sz w:val="19"/>
                <w:szCs w:val="19"/>
                <w:color w:val="auto"/>
              </w:rPr>
            </w:pPr>
          </w:p>
        </w:tc>
        <w:tc>
          <w:tcPr>
            <w:tcW w:w="780" w:type="dxa"/>
            <w:vAlign w:val="bottom"/>
            <w:shd w:val="clear" w:color="auto" w:fill="F0F1F2"/>
          </w:tcPr>
          <w:p>
            <w:pPr>
              <w:spacing w:after="0"/>
              <w:rPr>
                <w:sz w:val="19"/>
                <w:szCs w:val="19"/>
                <w:color w:val="auto"/>
              </w:rPr>
            </w:pPr>
          </w:p>
        </w:tc>
        <w:tc>
          <w:tcPr>
            <w:tcW w:w="940" w:type="dxa"/>
            <w:vAlign w:val="bottom"/>
            <w:shd w:val="clear" w:color="auto" w:fill="F0F1F2"/>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040" w:type="dxa"/>
            <w:vAlign w:val="bottom"/>
            <w:shd w:val="clear" w:color="auto" w:fill="F0F1F2"/>
          </w:tcPr>
          <w:p>
            <w:pPr>
              <w:ind w:left="100"/>
              <w:spacing w:after="0"/>
              <w:rPr>
                <w:sz w:val="20"/>
                <w:szCs w:val="20"/>
                <w:color w:val="auto"/>
              </w:rPr>
            </w:pPr>
            <w:r>
              <w:rPr>
                <w:rFonts w:ascii="Arial" w:cs="Arial" w:eastAsia="Arial" w:hAnsi="Arial"/>
                <w:sz w:val="13"/>
                <w:szCs w:val="13"/>
                <w:b w:val="1"/>
                <w:bCs w:val="1"/>
                <w:color w:val="2D3243"/>
              </w:rPr>
              <w:t>Andy</w:t>
            </w:r>
          </w:p>
        </w:tc>
        <w:tc>
          <w:tcPr>
            <w:tcW w:w="760" w:type="dxa"/>
            <w:vAlign w:val="bottom"/>
            <w:vMerge w:val="restart"/>
            <w:shd w:val="clear" w:color="auto" w:fill="F0F1F2"/>
          </w:tcPr>
          <w:p>
            <w:pPr>
              <w:jc w:val="center"/>
              <w:spacing w:after="0"/>
              <w:rPr>
                <w:sz w:val="20"/>
                <w:szCs w:val="20"/>
                <w:color w:val="auto"/>
              </w:rPr>
            </w:pPr>
            <w:r>
              <w:rPr>
                <w:rFonts w:ascii="Arial" w:cs="Arial" w:eastAsia="Arial" w:hAnsi="Arial"/>
                <w:sz w:val="13"/>
                <w:szCs w:val="13"/>
                <w:color w:val="2D3243"/>
                <w:w w:val="96"/>
              </w:rPr>
              <w:t>2/27/23</w:t>
            </w:r>
          </w:p>
        </w:tc>
        <w:tc>
          <w:tcPr>
            <w:tcW w:w="780" w:type="dxa"/>
            <w:vAlign w:val="bottom"/>
            <w:vMerge w:val="restart"/>
            <w:shd w:val="clear" w:color="auto" w:fill="F0F1F2"/>
          </w:tcPr>
          <w:p>
            <w:pPr>
              <w:jc w:val="center"/>
              <w:spacing w:after="0"/>
              <w:rPr>
                <w:sz w:val="20"/>
                <w:szCs w:val="20"/>
                <w:color w:val="auto"/>
              </w:rPr>
            </w:pPr>
            <w:r>
              <w:rPr>
                <w:rFonts w:ascii="Arial" w:cs="Arial" w:eastAsia="Arial" w:hAnsi="Arial"/>
                <w:sz w:val="13"/>
                <w:szCs w:val="13"/>
                <w:color w:val="2D3243"/>
                <w:w w:val="96"/>
              </w:rPr>
              <w:t>2/13/23</w:t>
            </w:r>
          </w:p>
        </w:tc>
        <w:tc>
          <w:tcPr>
            <w:tcW w:w="540" w:type="dxa"/>
            <w:vAlign w:val="bottom"/>
            <w:vMerge w:val="restart"/>
            <w:shd w:val="clear" w:color="auto" w:fill="F0F1F2"/>
          </w:tcPr>
          <w:p>
            <w:pPr>
              <w:jc w:val="center"/>
              <w:spacing w:after="0"/>
              <w:rPr>
                <w:sz w:val="20"/>
                <w:szCs w:val="20"/>
                <w:color w:val="auto"/>
              </w:rPr>
            </w:pPr>
            <w:r>
              <w:rPr>
                <w:rFonts w:ascii="Arial" w:cs="Arial" w:eastAsia="Arial" w:hAnsi="Arial"/>
                <w:sz w:val="13"/>
                <w:szCs w:val="13"/>
                <w:color w:val="2D3243"/>
                <w:w w:val="94"/>
              </w:rPr>
              <w:t>RSU</w:t>
            </w:r>
          </w:p>
        </w:tc>
        <w:tc>
          <w:tcPr>
            <w:tcW w:w="960" w:type="dxa"/>
            <w:vAlign w:val="bottom"/>
            <w:shd w:val="clear" w:color="auto" w:fill="F0F1F2"/>
          </w:tcPr>
          <w:p>
            <w:pPr>
              <w:spacing w:after="0"/>
              <w:rPr>
                <w:sz w:val="21"/>
                <w:szCs w:val="21"/>
                <w:color w:val="auto"/>
              </w:rPr>
            </w:pPr>
          </w:p>
        </w:tc>
        <w:tc>
          <w:tcPr>
            <w:tcW w:w="920" w:type="dxa"/>
            <w:vAlign w:val="bottom"/>
            <w:shd w:val="clear" w:color="auto" w:fill="F0F1F2"/>
          </w:tcPr>
          <w:p>
            <w:pPr>
              <w:spacing w:after="0"/>
              <w:rPr>
                <w:sz w:val="21"/>
                <w:szCs w:val="21"/>
                <w:color w:val="auto"/>
              </w:rPr>
            </w:pPr>
          </w:p>
        </w:tc>
        <w:tc>
          <w:tcPr>
            <w:tcW w:w="920" w:type="dxa"/>
            <w:vAlign w:val="bottom"/>
            <w:shd w:val="clear" w:color="auto" w:fill="F0F1F2"/>
          </w:tcPr>
          <w:p>
            <w:pPr>
              <w:spacing w:after="0"/>
              <w:rPr>
                <w:sz w:val="21"/>
                <w:szCs w:val="21"/>
                <w:color w:val="auto"/>
              </w:rPr>
            </w:pPr>
          </w:p>
        </w:tc>
        <w:tc>
          <w:tcPr>
            <w:tcW w:w="920" w:type="dxa"/>
            <w:vAlign w:val="bottom"/>
            <w:shd w:val="clear" w:color="auto" w:fill="F0F1F2"/>
          </w:tcPr>
          <w:p>
            <w:pPr>
              <w:spacing w:after="0"/>
              <w:rPr>
                <w:sz w:val="21"/>
                <w:szCs w:val="21"/>
                <w:color w:val="auto"/>
              </w:rPr>
            </w:pPr>
          </w:p>
        </w:tc>
        <w:tc>
          <w:tcPr>
            <w:tcW w:w="1000" w:type="dxa"/>
            <w:vAlign w:val="bottom"/>
            <w:shd w:val="clear" w:color="auto" w:fill="F0F1F2"/>
          </w:tcPr>
          <w:p>
            <w:pPr>
              <w:spacing w:after="0"/>
              <w:rPr>
                <w:sz w:val="21"/>
                <w:szCs w:val="21"/>
                <w:color w:val="auto"/>
              </w:rPr>
            </w:pPr>
          </w:p>
        </w:tc>
        <w:tc>
          <w:tcPr>
            <w:tcW w:w="860" w:type="dxa"/>
            <w:vAlign w:val="bottom"/>
            <w:vMerge w:val="restart"/>
            <w:shd w:val="clear" w:color="auto" w:fill="F0F1F2"/>
          </w:tcPr>
          <w:p>
            <w:pPr>
              <w:jc w:val="right"/>
              <w:ind w:right="97"/>
              <w:spacing w:after="0"/>
              <w:rPr>
                <w:sz w:val="20"/>
                <w:szCs w:val="20"/>
                <w:color w:val="auto"/>
              </w:rPr>
            </w:pPr>
            <w:r>
              <w:rPr>
                <w:rFonts w:ascii="Arial" w:cs="Arial" w:eastAsia="Arial" w:hAnsi="Arial"/>
                <w:sz w:val="13"/>
                <w:szCs w:val="13"/>
                <w:color w:val="2D3243"/>
              </w:rPr>
              <w:t>37,299</w:t>
            </w:r>
          </w:p>
        </w:tc>
        <w:tc>
          <w:tcPr>
            <w:tcW w:w="820" w:type="dxa"/>
            <w:vAlign w:val="bottom"/>
            <w:shd w:val="clear" w:color="auto" w:fill="F0F1F2"/>
          </w:tcPr>
          <w:p>
            <w:pPr>
              <w:spacing w:after="0"/>
              <w:rPr>
                <w:sz w:val="21"/>
                <w:szCs w:val="21"/>
                <w:color w:val="auto"/>
              </w:rPr>
            </w:pPr>
          </w:p>
        </w:tc>
        <w:tc>
          <w:tcPr>
            <w:tcW w:w="780" w:type="dxa"/>
            <w:vAlign w:val="bottom"/>
            <w:shd w:val="clear" w:color="auto" w:fill="F0F1F2"/>
          </w:tcPr>
          <w:p>
            <w:pPr>
              <w:spacing w:after="0"/>
              <w:rPr>
                <w:sz w:val="21"/>
                <w:szCs w:val="21"/>
                <w:color w:val="auto"/>
              </w:rPr>
            </w:pPr>
          </w:p>
        </w:tc>
        <w:tc>
          <w:tcPr>
            <w:tcW w:w="940" w:type="dxa"/>
            <w:vAlign w:val="bottom"/>
            <w:vMerge w:val="restart"/>
            <w:shd w:val="clear" w:color="auto" w:fill="F0F1F2"/>
          </w:tcPr>
          <w:p>
            <w:pPr>
              <w:jc w:val="right"/>
              <w:ind w:right="97"/>
              <w:spacing w:after="0"/>
              <w:rPr>
                <w:sz w:val="20"/>
                <w:szCs w:val="20"/>
                <w:color w:val="auto"/>
              </w:rPr>
            </w:pPr>
            <w:r>
              <w:rPr>
                <w:rFonts w:ascii="Arial" w:cs="Arial" w:eastAsia="Arial" w:hAnsi="Arial"/>
                <w:sz w:val="13"/>
                <w:szCs w:val="13"/>
                <w:color w:val="2D3243"/>
              </w:rPr>
              <w:t>2,541,927</w:t>
            </w:r>
          </w:p>
        </w:tc>
        <w:tc>
          <w:tcPr>
            <w:tcW w:w="0" w:type="dxa"/>
            <w:vAlign w:val="bottom"/>
          </w:tcPr>
          <w:p>
            <w:pPr>
              <w:spacing w:after="0"/>
              <w:rPr>
                <w:sz w:val="1"/>
                <w:szCs w:val="1"/>
                <w:color w:val="auto"/>
              </w:rPr>
            </w:pPr>
          </w:p>
        </w:tc>
      </w:tr>
      <w:tr>
        <w:trPr>
          <w:trHeight w:val="71"/>
        </w:trPr>
        <w:tc>
          <w:tcPr>
            <w:tcW w:w="1040" w:type="dxa"/>
            <w:vAlign w:val="bottom"/>
            <w:vMerge w:val="restart"/>
            <w:shd w:val="clear" w:color="auto" w:fill="F0F1F2"/>
          </w:tcPr>
          <w:p>
            <w:pPr>
              <w:ind w:left="100"/>
              <w:spacing w:after="0"/>
              <w:rPr>
                <w:sz w:val="20"/>
                <w:szCs w:val="20"/>
                <w:color w:val="auto"/>
              </w:rPr>
            </w:pPr>
            <w:r>
              <w:rPr>
                <w:rFonts w:ascii="Arial" w:cs="Arial" w:eastAsia="Arial" w:hAnsi="Arial"/>
                <w:sz w:val="13"/>
                <w:szCs w:val="13"/>
                <w:b w:val="1"/>
                <w:bCs w:val="1"/>
                <w:color w:val="2D3243"/>
              </w:rPr>
              <w:t>Dignan</w:t>
            </w:r>
          </w:p>
        </w:tc>
        <w:tc>
          <w:tcPr>
            <w:tcW w:w="760" w:type="dxa"/>
            <w:vAlign w:val="bottom"/>
            <w:vMerge w:val="continue"/>
            <w:shd w:val="clear" w:color="auto" w:fill="F0F1F2"/>
          </w:tcPr>
          <w:p>
            <w:pPr>
              <w:spacing w:after="0"/>
              <w:rPr>
                <w:sz w:val="6"/>
                <w:szCs w:val="6"/>
                <w:color w:val="auto"/>
              </w:rPr>
            </w:pPr>
          </w:p>
        </w:tc>
        <w:tc>
          <w:tcPr>
            <w:tcW w:w="780" w:type="dxa"/>
            <w:vAlign w:val="bottom"/>
            <w:vMerge w:val="continue"/>
            <w:shd w:val="clear" w:color="auto" w:fill="F0F1F2"/>
          </w:tcPr>
          <w:p>
            <w:pPr>
              <w:spacing w:after="0"/>
              <w:rPr>
                <w:sz w:val="6"/>
                <w:szCs w:val="6"/>
                <w:color w:val="auto"/>
              </w:rPr>
            </w:pPr>
          </w:p>
        </w:tc>
        <w:tc>
          <w:tcPr>
            <w:tcW w:w="540" w:type="dxa"/>
            <w:vAlign w:val="bottom"/>
            <w:vMerge w:val="continue"/>
            <w:shd w:val="clear" w:color="auto" w:fill="F0F1F2"/>
          </w:tcPr>
          <w:p>
            <w:pPr>
              <w:spacing w:after="0"/>
              <w:rPr>
                <w:sz w:val="6"/>
                <w:szCs w:val="6"/>
                <w:color w:val="auto"/>
              </w:rPr>
            </w:pPr>
          </w:p>
        </w:tc>
        <w:tc>
          <w:tcPr>
            <w:tcW w:w="960" w:type="dxa"/>
            <w:vAlign w:val="bottom"/>
            <w:shd w:val="clear" w:color="auto" w:fill="F0F1F2"/>
          </w:tcPr>
          <w:p>
            <w:pPr>
              <w:spacing w:after="0"/>
              <w:rPr>
                <w:sz w:val="6"/>
                <w:szCs w:val="6"/>
                <w:color w:val="auto"/>
              </w:rPr>
            </w:pPr>
          </w:p>
        </w:tc>
        <w:tc>
          <w:tcPr>
            <w:tcW w:w="920" w:type="dxa"/>
            <w:vAlign w:val="bottom"/>
            <w:shd w:val="clear" w:color="auto" w:fill="F0F1F2"/>
          </w:tcPr>
          <w:p>
            <w:pPr>
              <w:spacing w:after="0"/>
              <w:rPr>
                <w:sz w:val="6"/>
                <w:szCs w:val="6"/>
                <w:color w:val="auto"/>
              </w:rPr>
            </w:pPr>
          </w:p>
        </w:tc>
        <w:tc>
          <w:tcPr>
            <w:tcW w:w="920" w:type="dxa"/>
            <w:vAlign w:val="bottom"/>
            <w:shd w:val="clear" w:color="auto" w:fill="F0F1F2"/>
          </w:tcPr>
          <w:p>
            <w:pPr>
              <w:spacing w:after="0"/>
              <w:rPr>
                <w:sz w:val="6"/>
                <w:szCs w:val="6"/>
                <w:color w:val="auto"/>
              </w:rPr>
            </w:pPr>
          </w:p>
        </w:tc>
        <w:tc>
          <w:tcPr>
            <w:tcW w:w="920" w:type="dxa"/>
            <w:vAlign w:val="bottom"/>
            <w:shd w:val="clear" w:color="auto" w:fill="F0F1F2"/>
          </w:tcPr>
          <w:p>
            <w:pPr>
              <w:spacing w:after="0"/>
              <w:rPr>
                <w:sz w:val="6"/>
                <w:szCs w:val="6"/>
                <w:color w:val="auto"/>
              </w:rPr>
            </w:pPr>
          </w:p>
        </w:tc>
        <w:tc>
          <w:tcPr>
            <w:tcW w:w="1000" w:type="dxa"/>
            <w:vAlign w:val="bottom"/>
            <w:shd w:val="clear" w:color="auto" w:fill="F0F1F2"/>
          </w:tcPr>
          <w:p>
            <w:pPr>
              <w:spacing w:after="0"/>
              <w:rPr>
                <w:sz w:val="6"/>
                <w:szCs w:val="6"/>
                <w:color w:val="auto"/>
              </w:rPr>
            </w:pPr>
          </w:p>
        </w:tc>
        <w:tc>
          <w:tcPr>
            <w:tcW w:w="860" w:type="dxa"/>
            <w:vAlign w:val="bottom"/>
            <w:vMerge w:val="continue"/>
            <w:shd w:val="clear" w:color="auto" w:fill="F0F1F2"/>
          </w:tcPr>
          <w:p>
            <w:pPr>
              <w:spacing w:after="0"/>
              <w:rPr>
                <w:sz w:val="6"/>
                <w:szCs w:val="6"/>
                <w:color w:val="auto"/>
              </w:rPr>
            </w:pPr>
          </w:p>
        </w:tc>
        <w:tc>
          <w:tcPr>
            <w:tcW w:w="820" w:type="dxa"/>
            <w:vAlign w:val="bottom"/>
            <w:shd w:val="clear" w:color="auto" w:fill="F0F1F2"/>
          </w:tcPr>
          <w:p>
            <w:pPr>
              <w:spacing w:after="0"/>
              <w:rPr>
                <w:sz w:val="6"/>
                <w:szCs w:val="6"/>
                <w:color w:val="auto"/>
              </w:rPr>
            </w:pPr>
          </w:p>
        </w:tc>
        <w:tc>
          <w:tcPr>
            <w:tcW w:w="780" w:type="dxa"/>
            <w:vAlign w:val="bottom"/>
            <w:shd w:val="clear" w:color="auto" w:fill="F0F1F2"/>
          </w:tcPr>
          <w:p>
            <w:pPr>
              <w:spacing w:after="0"/>
              <w:rPr>
                <w:sz w:val="6"/>
                <w:szCs w:val="6"/>
                <w:color w:val="auto"/>
              </w:rPr>
            </w:pPr>
          </w:p>
        </w:tc>
        <w:tc>
          <w:tcPr>
            <w:tcW w:w="940" w:type="dxa"/>
            <w:vAlign w:val="bottom"/>
            <w:vMerge w:val="continue"/>
            <w:shd w:val="clear" w:color="auto" w:fill="F0F1F2"/>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040" w:type="dxa"/>
            <w:vAlign w:val="bottom"/>
            <w:vMerge w:val="continue"/>
            <w:shd w:val="clear" w:color="auto" w:fill="F0F1F2"/>
          </w:tcPr>
          <w:p>
            <w:pPr>
              <w:spacing w:after="0"/>
              <w:rPr>
                <w:sz w:val="8"/>
                <w:szCs w:val="8"/>
                <w:color w:val="auto"/>
              </w:rPr>
            </w:pPr>
          </w:p>
        </w:tc>
        <w:tc>
          <w:tcPr>
            <w:tcW w:w="760" w:type="dxa"/>
            <w:vAlign w:val="bottom"/>
            <w:shd w:val="clear" w:color="auto" w:fill="F0F1F2"/>
          </w:tcPr>
          <w:p>
            <w:pPr>
              <w:spacing w:after="0"/>
              <w:rPr>
                <w:sz w:val="8"/>
                <w:szCs w:val="8"/>
                <w:color w:val="auto"/>
              </w:rPr>
            </w:pPr>
          </w:p>
        </w:tc>
        <w:tc>
          <w:tcPr>
            <w:tcW w:w="780" w:type="dxa"/>
            <w:vAlign w:val="bottom"/>
            <w:shd w:val="clear" w:color="auto" w:fill="F0F1F2"/>
          </w:tcPr>
          <w:p>
            <w:pPr>
              <w:spacing w:after="0"/>
              <w:rPr>
                <w:sz w:val="8"/>
                <w:szCs w:val="8"/>
                <w:color w:val="auto"/>
              </w:rPr>
            </w:pPr>
          </w:p>
        </w:tc>
        <w:tc>
          <w:tcPr>
            <w:tcW w:w="540" w:type="dxa"/>
            <w:vAlign w:val="bottom"/>
            <w:shd w:val="clear" w:color="auto" w:fill="F0F1F2"/>
          </w:tcPr>
          <w:p>
            <w:pPr>
              <w:spacing w:after="0"/>
              <w:rPr>
                <w:sz w:val="8"/>
                <w:szCs w:val="8"/>
                <w:color w:val="auto"/>
              </w:rPr>
            </w:pPr>
          </w:p>
        </w:tc>
        <w:tc>
          <w:tcPr>
            <w:tcW w:w="96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1000" w:type="dxa"/>
            <w:vAlign w:val="bottom"/>
            <w:shd w:val="clear" w:color="auto" w:fill="F0F1F2"/>
          </w:tcPr>
          <w:p>
            <w:pPr>
              <w:spacing w:after="0"/>
              <w:rPr>
                <w:sz w:val="8"/>
                <w:szCs w:val="8"/>
                <w:color w:val="auto"/>
              </w:rPr>
            </w:pPr>
          </w:p>
        </w:tc>
        <w:tc>
          <w:tcPr>
            <w:tcW w:w="860" w:type="dxa"/>
            <w:vAlign w:val="bottom"/>
            <w:shd w:val="clear" w:color="auto" w:fill="F0F1F2"/>
          </w:tcPr>
          <w:p>
            <w:pPr>
              <w:spacing w:after="0"/>
              <w:rPr>
                <w:sz w:val="8"/>
                <w:szCs w:val="8"/>
                <w:color w:val="auto"/>
              </w:rPr>
            </w:pPr>
          </w:p>
        </w:tc>
        <w:tc>
          <w:tcPr>
            <w:tcW w:w="820" w:type="dxa"/>
            <w:vAlign w:val="bottom"/>
            <w:shd w:val="clear" w:color="auto" w:fill="F0F1F2"/>
          </w:tcPr>
          <w:p>
            <w:pPr>
              <w:spacing w:after="0"/>
              <w:rPr>
                <w:sz w:val="8"/>
                <w:szCs w:val="8"/>
                <w:color w:val="auto"/>
              </w:rPr>
            </w:pPr>
          </w:p>
        </w:tc>
        <w:tc>
          <w:tcPr>
            <w:tcW w:w="780" w:type="dxa"/>
            <w:vAlign w:val="bottom"/>
            <w:shd w:val="clear" w:color="auto" w:fill="F0F1F2"/>
          </w:tcPr>
          <w:p>
            <w:pPr>
              <w:spacing w:after="0"/>
              <w:rPr>
                <w:sz w:val="8"/>
                <w:szCs w:val="8"/>
                <w:color w:val="auto"/>
              </w:rPr>
            </w:pPr>
          </w:p>
        </w:tc>
        <w:tc>
          <w:tcPr>
            <w:tcW w:w="940" w:type="dxa"/>
            <w:vAlign w:val="bottom"/>
            <w:shd w:val="clear" w:color="auto" w:fill="F0F1F2"/>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040" w:type="dxa"/>
            <w:vAlign w:val="bottom"/>
            <w:shd w:val="clear" w:color="auto" w:fill="F0F1F2"/>
          </w:tcPr>
          <w:p>
            <w:pPr>
              <w:spacing w:after="0"/>
              <w:rPr>
                <w:sz w:val="19"/>
                <w:szCs w:val="19"/>
                <w:color w:val="auto"/>
              </w:rPr>
            </w:pPr>
          </w:p>
        </w:tc>
        <w:tc>
          <w:tcPr>
            <w:tcW w:w="76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4"/>
              </w:rPr>
              <w:t>11/27/23</w:t>
            </w:r>
          </w:p>
        </w:tc>
        <w:tc>
          <w:tcPr>
            <w:tcW w:w="7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11/9/23</w:t>
            </w:r>
          </w:p>
        </w:tc>
        <w:tc>
          <w:tcPr>
            <w:tcW w:w="54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4"/>
              </w:rPr>
              <w:t>RSU</w:t>
            </w:r>
          </w:p>
        </w:tc>
        <w:tc>
          <w:tcPr>
            <w:tcW w:w="960" w:type="dxa"/>
            <w:vAlign w:val="bottom"/>
            <w:shd w:val="clear" w:color="auto" w:fill="F0F1F2"/>
          </w:tcPr>
          <w:p>
            <w:pPr>
              <w:spacing w:after="0"/>
              <w:rPr>
                <w:sz w:val="19"/>
                <w:szCs w:val="19"/>
                <w:color w:val="auto"/>
              </w:rPr>
            </w:pPr>
          </w:p>
        </w:tc>
        <w:tc>
          <w:tcPr>
            <w:tcW w:w="920" w:type="dxa"/>
            <w:vAlign w:val="bottom"/>
            <w:shd w:val="clear" w:color="auto" w:fill="F0F1F2"/>
          </w:tcPr>
          <w:p>
            <w:pPr>
              <w:spacing w:after="0"/>
              <w:rPr>
                <w:sz w:val="19"/>
                <w:szCs w:val="19"/>
                <w:color w:val="auto"/>
              </w:rPr>
            </w:pPr>
          </w:p>
        </w:tc>
        <w:tc>
          <w:tcPr>
            <w:tcW w:w="920" w:type="dxa"/>
            <w:vAlign w:val="bottom"/>
            <w:shd w:val="clear" w:color="auto" w:fill="F0F1F2"/>
          </w:tcPr>
          <w:p>
            <w:pPr>
              <w:spacing w:after="0"/>
              <w:rPr>
                <w:sz w:val="19"/>
                <w:szCs w:val="19"/>
                <w:color w:val="auto"/>
              </w:rPr>
            </w:pPr>
          </w:p>
        </w:tc>
        <w:tc>
          <w:tcPr>
            <w:tcW w:w="920" w:type="dxa"/>
            <w:vAlign w:val="bottom"/>
            <w:shd w:val="clear" w:color="auto" w:fill="F0F1F2"/>
          </w:tcPr>
          <w:p>
            <w:pPr>
              <w:spacing w:after="0"/>
              <w:rPr>
                <w:sz w:val="19"/>
                <w:szCs w:val="19"/>
                <w:color w:val="auto"/>
              </w:rPr>
            </w:pPr>
          </w:p>
        </w:tc>
        <w:tc>
          <w:tcPr>
            <w:tcW w:w="1000" w:type="dxa"/>
            <w:vAlign w:val="bottom"/>
            <w:shd w:val="clear" w:color="auto" w:fill="F0F1F2"/>
          </w:tcPr>
          <w:p>
            <w:pPr>
              <w:spacing w:after="0"/>
              <w:rPr>
                <w:sz w:val="19"/>
                <w:szCs w:val="19"/>
                <w:color w:val="auto"/>
              </w:rPr>
            </w:pPr>
          </w:p>
        </w:tc>
        <w:tc>
          <w:tcPr>
            <w:tcW w:w="86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27,468</w:t>
            </w:r>
          </w:p>
        </w:tc>
        <w:tc>
          <w:tcPr>
            <w:tcW w:w="820" w:type="dxa"/>
            <w:vAlign w:val="bottom"/>
            <w:shd w:val="clear" w:color="auto" w:fill="F0F1F2"/>
          </w:tcPr>
          <w:p>
            <w:pPr>
              <w:spacing w:after="0"/>
              <w:rPr>
                <w:sz w:val="19"/>
                <w:szCs w:val="19"/>
                <w:color w:val="auto"/>
              </w:rPr>
            </w:pPr>
          </w:p>
        </w:tc>
        <w:tc>
          <w:tcPr>
            <w:tcW w:w="780" w:type="dxa"/>
            <w:vAlign w:val="bottom"/>
            <w:shd w:val="clear" w:color="auto" w:fill="F0F1F2"/>
          </w:tcPr>
          <w:p>
            <w:pPr>
              <w:spacing w:after="0"/>
              <w:rPr>
                <w:sz w:val="19"/>
                <w:szCs w:val="19"/>
                <w:color w:val="auto"/>
              </w:rPr>
            </w:pPr>
          </w:p>
        </w:tc>
        <w:tc>
          <w:tcPr>
            <w:tcW w:w="94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2,040,872</w:t>
            </w:r>
          </w:p>
        </w:tc>
        <w:tc>
          <w:tcPr>
            <w:tcW w:w="0" w:type="dxa"/>
            <w:vAlign w:val="bottom"/>
          </w:tcPr>
          <w:p>
            <w:pPr>
              <w:spacing w:after="0"/>
              <w:rPr>
                <w:sz w:val="1"/>
                <w:szCs w:val="1"/>
                <w:color w:val="auto"/>
              </w:rPr>
            </w:pPr>
          </w:p>
        </w:tc>
      </w:tr>
      <w:tr>
        <w:trPr>
          <w:trHeight w:val="95"/>
        </w:trPr>
        <w:tc>
          <w:tcPr>
            <w:tcW w:w="1040" w:type="dxa"/>
            <w:vAlign w:val="bottom"/>
            <w:shd w:val="clear" w:color="auto" w:fill="F0F1F2"/>
          </w:tcPr>
          <w:p>
            <w:pPr>
              <w:spacing w:after="0"/>
              <w:rPr>
                <w:sz w:val="8"/>
                <w:szCs w:val="8"/>
                <w:color w:val="auto"/>
              </w:rPr>
            </w:pPr>
          </w:p>
        </w:tc>
        <w:tc>
          <w:tcPr>
            <w:tcW w:w="760" w:type="dxa"/>
            <w:vAlign w:val="bottom"/>
            <w:shd w:val="clear" w:color="auto" w:fill="F0F1F2"/>
          </w:tcPr>
          <w:p>
            <w:pPr>
              <w:spacing w:after="0"/>
              <w:rPr>
                <w:sz w:val="8"/>
                <w:szCs w:val="8"/>
                <w:color w:val="auto"/>
              </w:rPr>
            </w:pPr>
          </w:p>
        </w:tc>
        <w:tc>
          <w:tcPr>
            <w:tcW w:w="780" w:type="dxa"/>
            <w:vAlign w:val="bottom"/>
            <w:shd w:val="clear" w:color="auto" w:fill="F0F1F2"/>
          </w:tcPr>
          <w:p>
            <w:pPr>
              <w:spacing w:after="0"/>
              <w:rPr>
                <w:sz w:val="8"/>
                <w:szCs w:val="8"/>
                <w:color w:val="auto"/>
              </w:rPr>
            </w:pPr>
          </w:p>
        </w:tc>
        <w:tc>
          <w:tcPr>
            <w:tcW w:w="540" w:type="dxa"/>
            <w:vAlign w:val="bottom"/>
            <w:shd w:val="clear" w:color="auto" w:fill="F0F1F2"/>
          </w:tcPr>
          <w:p>
            <w:pPr>
              <w:spacing w:after="0"/>
              <w:rPr>
                <w:sz w:val="8"/>
                <w:szCs w:val="8"/>
                <w:color w:val="auto"/>
              </w:rPr>
            </w:pPr>
          </w:p>
        </w:tc>
        <w:tc>
          <w:tcPr>
            <w:tcW w:w="96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1000" w:type="dxa"/>
            <w:vAlign w:val="bottom"/>
            <w:shd w:val="clear" w:color="auto" w:fill="F0F1F2"/>
          </w:tcPr>
          <w:p>
            <w:pPr>
              <w:spacing w:after="0"/>
              <w:rPr>
                <w:sz w:val="8"/>
                <w:szCs w:val="8"/>
                <w:color w:val="auto"/>
              </w:rPr>
            </w:pPr>
          </w:p>
        </w:tc>
        <w:tc>
          <w:tcPr>
            <w:tcW w:w="860" w:type="dxa"/>
            <w:vAlign w:val="bottom"/>
            <w:shd w:val="clear" w:color="auto" w:fill="F0F1F2"/>
          </w:tcPr>
          <w:p>
            <w:pPr>
              <w:spacing w:after="0"/>
              <w:rPr>
                <w:sz w:val="8"/>
                <w:szCs w:val="8"/>
                <w:color w:val="auto"/>
              </w:rPr>
            </w:pPr>
          </w:p>
        </w:tc>
        <w:tc>
          <w:tcPr>
            <w:tcW w:w="820" w:type="dxa"/>
            <w:vAlign w:val="bottom"/>
            <w:shd w:val="clear" w:color="auto" w:fill="F0F1F2"/>
          </w:tcPr>
          <w:p>
            <w:pPr>
              <w:spacing w:after="0"/>
              <w:rPr>
                <w:sz w:val="8"/>
                <w:szCs w:val="8"/>
                <w:color w:val="auto"/>
              </w:rPr>
            </w:pPr>
          </w:p>
        </w:tc>
        <w:tc>
          <w:tcPr>
            <w:tcW w:w="780" w:type="dxa"/>
            <w:vAlign w:val="bottom"/>
            <w:shd w:val="clear" w:color="auto" w:fill="F0F1F2"/>
          </w:tcPr>
          <w:p>
            <w:pPr>
              <w:spacing w:after="0"/>
              <w:rPr>
                <w:sz w:val="8"/>
                <w:szCs w:val="8"/>
                <w:color w:val="auto"/>
              </w:rPr>
            </w:pPr>
          </w:p>
        </w:tc>
        <w:tc>
          <w:tcPr>
            <w:tcW w:w="940" w:type="dxa"/>
            <w:vAlign w:val="bottom"/>
            <w:shd w:val="clear" w:color="auto" w:fill="F0F1F2"/>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3"/>
                <w:szCs w:val="13"/>
                <w:color w:val="2D3243"/>
              </w:rPr>
              <w:t>292,500</w:t>
            </w:r>
          </w:p>
        </w:tc>
        <w:tc>
          <w:tcPr>
            <w:tcW w:w="920" w:type="dxa"/>
            <w:vAlign w:val="bottom"/>
          </w:tcPr>
          <w:p>
            <w:pPr>
              <w:jc w:val="right"/>
              <w:ind w:right="17"/>
              <w:spacing w:after="0"/>
              <w:rPr>
                <w:sz w:val="20"/>
                <w:szCs w:val="20"/>
                <w:color w:val="auto"/>
              </w:rPr>
            </w:pPr>
            <w:r>
              <w:rPr>
                <w:rFonts w:ascii="Arial" w:cs="Arial" w:eastAsia="Arial" w:hAnsi="Arial"/>
                <w:sz w:val="13"/>
                <w:szCs w:val="13"/>
                <w:color w:val="2D3243"/>
              </w:rPr>
              <w:t>409,500</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040" w:type="dxa"/>
            <w:vAlign w:val="bottom"/>
          </w:tcPr>
          <w:p>
            <w:pPr>
              <w:ind w:left="100"/>
              <w:spacing w:after="0"/>
              <w:rPr>
                <w:sz w:val="20"/>
                <w:szCs w:val="20"/>
                <w:color w:val="auto"/>
              </w:rPr>
            </w:pPr>
            <w:r>
              <w:rPr>
                <w:rFonts w:ascii="Arial" w:cs="Arial" w:eastAsia="Arial" w:hAnsi="Arial"/>
                <w:sz w:val="13"/>
                <w:szCs w:val="13"/>
                <w:b w:val="1"/>
                <w:bCs w:val="1"/>
                <w:color w:val="2D3243"/>
              </w:rPr>
              <w:t>Panos</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2D3243"/>
                <w:w w:val="96"/>
              </w:rPr>
              <w:t>2/27/23</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2D3243"/>
                <w:w w:val="96"/>
              </w:rPr>
              <w:t>2/13/23</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2D3243"/>
                <w:w w:val="94"/>
              </w:rPr>
              <w:t>RSU</w:t>
            </w: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color w:val="2D3243"/>
              </w:rPr>
              <w:t>35,994</w:t>
            </w: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color w:val="2D3243"/>
              </w:rPr>
              <w:t>2,452,991</w:t>
            </w:r>
          </w:p>
        </w:tc>
        <w:tc>
          <w:tcPr>
            <w:tcW w:w="0" w:type="dxa"/>
            <w:vAlign w:val="bottom"/>
          </w:tcPr>
          <w:p>
            <w:pPr>
              <w:spacing w:after="0"/>
              <w:rPr>
                <w:sz w:val="1"/>
                <w:szCs w:val="1"/>
                <w:color w:val="auto"/>
              </w:rPr>
            </w:pPr>
          </w:p>
        </w:tc>
      </w:tr>
      <w:tr>
        <w:trPr>
          <w:trHeight w:val="71"/>
        </w:trPr>
        <w:tc>
          <w:tcPr>
            <w:tcW w:w="1040" w:type="dxa"/>
            <w:vAlign w:val="bottom"/>
            <w:vMerge w:val="restart"/>
          </w:tcPr>
          <w:p>
            <w:pPr>
              <w:ind w:left="100"/>
              <w:spacing w:after="0"/>
              <w:rPr>
                <w:sz w:val="20"/>
                <w:szCs w:val="20"/>
                <w:color w:val="auto"/>
              </w:rPr>
            </w:pPr>
            <w:r>
              <w:rPr>
                <w:rFonts w:ascii="Arial" w:cs="Arial" w:eastAsia="Arial" w:hAnsi="Arial"/>
                <w:sz w:val="13"/>
                <w:szCs w:val="13"/>
                <w:b w:val="1"/>
                <w:bCs w:val="1"/>
                <w:color w:val="2D3243"/>
              </w:rPr>
              <w:t>Kozanian</w:t>
            </w: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0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2D3243"/>
                <w:w w:val="96"/>
              </w:rPr>
              <w:t>2/27/23</w:t>
            </w:r>
          </w:p>
        </w:tc>
        <w:tc>
          <w:tcPr>
            <w:tcW w:w="780" w:type="dxa"/>
            <w:vAlign w:val="bottom"/>
          </w:tcPr>
          <w:p>
            <w:pPr>
              <w:jc w:val="center"/>
              <w:spacing w:after="0"/>
              <w:rPr>
                <w:sz w:val="20"/>
                <w:szCs w:val="20"/>
                <w:color w:val="auto"/>
              </w:rPr>
            </w:pPr>
            <w:r>
              <w:rPr>
                <w:rFonts w:ascii="Arial" w:cs="Arial" w:eastAsia="Arial" w:hAnsi="Arial"/>
                <w:sz w:val="13"/>
                <w:szCs w:val="13"/>
                <w:color w:val="2D3243"/>
                <w:w w:val="96"/>
              </w:rPr>
              <w:t>2/13/23</w:t>
            </w:r>
          </w:p>
        </w:tc>
        <w:tc>
          <w:tcPr>
            <w:tcW w:w="540" w:type="dxa"/>
            <w:vAlign w:val="bottom"/>
          </w:tcPr>
          <w:p>
            <w:pPr>
              <w:jc w:val="center"/>
              <w:spacing w:after="0"/>
              <w:rPr>
                <w:sz w:val="20"/>
                <w:szCs w:val="20"/>
                <w:color w:val="auto"/>
              </w:rPr>
            </w:pPr>
            <w:r>
              <w:rPr>
                <w:rFonts w:ascii="Arial" w:cs="Arial" w:eastAsia="Arial" w:hAnsi="Arial"/>
                <w:sz w:val="13"/>
                <w:szCs w:val="13"/>
                <w:color w:val="2D3243"/>
                <w:w w:val="99"/>
              </w:rPr>
              <w:t>PRSU</w:t>
            </w: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2D3243"/>
              </w:rPr>
              <w:t>5,999</w:t>
            </w:r>
          </w:p>
        </w:tc>
        <w:tc>
          <w:tcPr>
            <w:tcW w:w="920" w:type="dxa"/>
            <w:vAlign w:val="bottom"/>
          </w:tcPr>
          <w:p>
            <w:pPr>
              <w:jc w:val="right"/>
              <w:ind w:right="17"/>
              <w:spacing w:after="0"/>
              <w:rPr>
                <w:sz w:val="20"/>
                <w:szCs w:val="20"/>
                <w:color w:val="auto"/>
              </w:rPr>
            </w:pPr>
            <w:r>
              <w:rPr>
                <w:rFonts w:ascii="Arial" w:cs="Arial" w:eastAsia="Arial" w:hAnsi="Arial"/>
                <w:sz w:val="13"/>
                <w:szCs w:val="13"/>
                <w:color w:val="2D3243"/>
              </w:rPr>
              <w:t>11,998</w:t>
            </w:r>
          </w:p>
        </w:tc>
        <w:tc>
          <w:tcPr>
            <w:tcW w:w="1000" w:type="dxa"/>
            <w:vAlign w:val="bottom"/>
          </w:tcPr>
          <w:p>
            <w:pPr>
              <w:jc w:val="right"/>
              <w:ind w:right="97"/>
              <w:spacing w:after="0"/>
              <w:rPr>
                <w:sz w:val="20"/>
                <w:szCs w:val="20"/>
                <w:color w:val="auto"/>
              </w:rPr>
            </w:pPr>
            <w:r>
              <w:rPr>
                <w:rFonts w:ascii="Arial" w:cs="Arial" w:eastAsia="Arial" w:hAnsi="Arial"/>
                <w:sz w:val="13"/>
                <w:szCs w:val="13"/>
                <w:color w:val="2D3243"/>
              </w:rPr>
              <w:t>23,996</w:t>
            </w:r>
          </w:p>
        </w:tc>
        <w:tc>
          <w:tcPr>
            <w:tcW w:w="860" w:type="dxa"/>
            <w:vAlign w:val="bottom"/>
          </w:tcPr>
          <w:p>
            <w:pPr>
              <w:jc w:val="right"/>
              <w:ind w:right="97"/>
              <w:spacing w:after="0"/>
              <w:rPr>
                <w:sz w:val="20"/>
                <w:szCs w:val="20"/>
                <w:color w:val="auto"/>
              </w:rPr>
            </w:pPr>
            <w:r>
              <w:rPr>
                <w:rFonts w:ascii="Arial" w:cs="Arial" w:eastAsia="Arial" w:hAnsi="Arial"/>
                <w:sz w:val="13"/>
                <w:szCs w:val="13"/>
                <w:color w:val="2D3243"/>
              </w:rPr>
              <w:t>11,998</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2D3243"/>
              </w:rPr>
              <w:t>817,664</w:t>
            </w:r>
          </w:p>
        </w:tc>
        <w:tc>
          <w:tcPr>
            <w:tcW w:w="0" w:type="dxa"/>
            <w:vAlign w:val="bottom"/>
          </w:tcPr>
          <w:p>
            <w:pPr>
              <w:spacing w:after="0"/>
              <w:rPr>
                <w:sz w:val="1"/>
                <w:szCs w:val="1"/>
                <w:color w:val="auto"/>
              </w:rPr>
            </w:pPr>
          </w:p>
        </w:tc>
      </w:tr>
      <w:tr>
        <w:trPr>
          <w:trHeight w:val="95"/>
        </w:trPr>
        <w:tc>
          <w:tcPr>
            <w:tcW w:w="1040" w:type="dxa"/>
            <w:vAlign w:val="bottom"/>
            <w:tcBorders>
              <w:bottom w:val="single" w:sz="8" w:color="0336FF"/>
            </w:tcBorders>
          </w:tcPr>
          <w:p>
            <w:pPr>
              <w:spacing w:after="0"/>
              <w:rPr>
                <w:sz w:val="8"/>
                <w:szCs w:val="8"/>
                <w:color w:val="auto"/>
              </w:rPr>
            </w:pPr>
          </w:p>
        </w:tc>
        <w:tc>
          <w:tcPr>
            <w:tcW w:w="760" w:type="dxa"/>
            <w:vAlign w:val="bottom"/>
            <w:tcBorders>
              <w:bottom w:val="single" w:sz="8" w:color="0336FF"/>
            </w:tcBorders>
          </w:tcPr>
          <w:p>
            <w:pPr>
              <w:spacing w:after="0"/>
              <w:rPr>
                <w:sz w:val="8"/>
                <w:szCs w:val="8"/>
                <w:color w:val="auto"/>
              </w:rPr>
            </w:pPr>
          </w:p>
        </w:tc>
        <w:tc>
          <w:tcPr>
            <w:tcW w:w="780" w:type="dxa"/>
            <w:vAlign w:val="bottom"/>
            <w:tcBorders>
              <w:bottom w:val="single" w:sz="8" w:color="0336FF"/>
            </w:tcBorders>
          </w:tcPr>
          <w:p>
            <w:pPr>
              <w:spacing w:after="0"/>
              <w:rPr>
                <w:sz w:val="8"/>
                <w:szCs w:val="8"/>
                <w:color w:val="auto"/>
              </w:rPr>
            </w:pPr>
          </w:p>
        </w:tc>
        <w:tc>
          <w:tcPr>
            <w:tcW w:w="540" w:type="dxa"/>
            <w:vAlign w:val="bottom"/>
            <w:tcBorders>
              <w:bottom w:val="single" w:sz="8" w:color="0336FF"/>
            </w:tcBorders>
          </w:tcPr>
          <w:p>
            <w:pPr>
              <w:spacing w:after="0"/>
              <w:rPr>
                <w:sz w:val="8"/>
                <w:szCs w:val="8"/>
                <w:color w:val="auto"/>
              </w:rPr>
            </w:pPr>
          </w:p>
        </w:tc>
        <w:tc>
          <w:tcPr>
            <w:tcW w:w="960" w:type="dxa"/>
            <w:vAlign w:val="bottom"/>
            <w:tcBorders>
              <w:bottom w:val="single" w:sz="8" w:color="0336FF"/>
            </w:tcBorders>
          </w:tcPr>
          <w:p>
            <w:pPr>
              <w:spacing w:after="0"/>
              <w:rPr>
                <w:sz w:val="8"/>
                <w:szCs w:val="8"/>
                <w:color w:val="auto"/>
              </w:rPr>
            </w:pPr>
          </w:p>
        </w:tc>
        <w:tc>
          <w:tcPr>
            <w:tcW w:w="920" w:type="dxa"/>
            <w:vAlign w:val="bottom"/>
            <w:tcBorders>
              <w:bottom w:val="single" w:sz="8" w:color="0336FF"/>
            </w:tcBorders>
          </w:tcPr>
          <w:p>
            <w:pPr>
              <w:spacing w:after="0"/>
              <w:rPr>
                <w:sz w:val="8"/>
                <w:szCs w:val="8"/>
                <w:color w:val="auto"/>
              </w:rPr>
            </w:pPr>
          </w:p>
        </w:tc>
        <w:tc>
          <w:tcPr>
            <w:tcW w:w="920" w:type="dxa"/>
            <w:vAlign w:val="bottom"/>
            <w:tcBorders>
              <w:bottom w:val="single" w:sz="8" w:color="0336FF"/>
            </w:tcBorders>
          </w:tcPr>
          <w:p>
            <w:pPr>
              <w:spacing w:after="0"/>
              <w:rPr>
                <w:sz w:val="8"/>
                <w:szCs w:val="8"/>
                <w:color w:val="auto"/>
              </w:rPr>
            </w:pPr>
          </w:p>
        </w:tc>
        <w:tc>
          <w:tcPr>
            <w:tcW w:w="920" w:type="dxa"/>
            <w:vAlign w:val="bottom"/>
            <w:tcBorders>
              <w:bottom w:val="single" w:sz="8" w:color="0336FF"/>
            </w:tcBorders>
          </w:tcPr>
          <w:p>
            <w:pPr>
              <w:spacing w:after="0"/>
              <w:rPr>
                <w:sz w:val="8"/>
                <w:szCs w:val="8"/>
                <w:color w:val="auto"/>
              </w:rPr>
            </w:pPr>
          </w:p>
        </w:tc>
        <w:tc>
          <w:tcPr>
            <w:tcW w:w="1000" w:type="dxa"/>
            <w:vAlign w:val="bottom"/>
            <w:tcBorders>
              <w:bottom w:val="single" w:sz="8" w:color="0336FF"/>
            </w:tcBorders>
          </w:tcPr>
          <w:p>
            <w:pPr>
              <w:spacing w:after="0"/>
              <w:rPr>
                <w:sz w:val="8"/>
                <w:szCs w:val="8"/>
                <w:color w:val="auto"/>
              </w:rPr>
            </w:pPr>
          </w:p>
        </w:tc>
        <w:tc>
          <w:tcPr>
            <w:tcW w:w="860" w:type="dxa"/>
            <w:vAlign w:val="bottom"/>
            <w:tcBorders>
              <w:bottom w:val="single" w:sz="8" w:color="0336FF"/>
            </w:tcBorders>
          </w:tcPr>
          <w:p>
            <w:pPr>
              <w:spacing w:after="0"/>
              <w:rPr>
                <w:sz w:val="8"/>
                <w:szCs w:val="8"/>
                <w:color w:val="auto"/>
              </w:rPr>
            </w:pPr>
          </w:p>
        </w:tc>
        <w:tc>
          <w:tcPr>
            <w:tcW w:w="820" w:type="dxa"/>
            <w:vAlign w:val="bottom"/>
            <w:tcBorders>
              <w:bottom w:val="single" w:sz="8" w:color="0336FF"/>
            </w:tcBorders>
          </w:tcPr>
          <w:p>
            <w:pPr>
              <w:spacing w:after="0"/>
              <w:rPr>
                <w:sz w:val="8"/>
                <w:szCs w:val="8"/>
                <w:color w:val="auto"/>
              </w:rPr>
            </w:pPr>
          </w:p>
        </w:tc>
        <w:tc>
          <w:tcPr>
            <w:tcW w:w="780" w:type="dxa"/>
            <w:vAlign w:val="bottom"/>
            <w:tcBorders>
              <w:bottom w:val="single" w:sz="8" w:color="0336FF"/>
            </w:tcBorders>
          </w:tcPr>
          <w:p>
            <w:pPr>
              <w:spacing w:after="0"/>
              <w:rPr>
                <w:sz w:val="8"/>
                <w:szCs w:val="8"/>
                <w:color w:val="auto"/>
              </w:rPr>
            </w:pPr>
          </w:p>
        </w:tc>
        <w:tc>
          <w:tcPr>
            <w:tcW w:w="940" w:type="dxa"/>
            <w:vAlign w:val="bottom"/>
            <w:tcBorders>
              <w:bottom w:val="single" w:sz="8" w:color="0336F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160" w:hanging="332"/>
        <w:spacing w:after="0" w:line="343" w:lineRule="auto"/>
        <w:tabs>
          <w:tab w:leader="none" w:pos="338" w:val="left"/>
        </w:tabs>
        <w:numPr>
          <w:ilvl w:val="0"/>
          <w:numId w:val="58"/>
        </w:numPr>
        <w:rPr>
          <w:rFonts w:ascii="Arial" w:cs="Arial" w:eastAsia="Arial" w:hAnsi="Arial"/>
          <w:sz w:val="14"/>
          <w:szCs w:val="14"/>
          <w:color w:val="2D3243"/>
        </w:rPr>
      </w:pPr>
      <w:r>
        <w:rPr>
          <w:rFonts w:ascii="Arial" w:cs="Arial" w:eastAsia="Arial" w:hAnsi="Arial"/>
          <w:sz w:val="14"/>
          <w:szCs w:val="14"/>
          <w:color w:val="2D3243"/>
        </w:rPr>
        <w:t>These columns set forth the target and maximum annual cash bonus opportunities payable under our 2023 Bonus Program for each NEO other than Daniel Burkland, for whom only the target amount is shown since he had no fixed maximum annual bonus amount. We do not establish threshold annual cash bonus amounts for each individual NEO. Refer to "Compensation Discussion and Analysis - Key Elements of Our 2023 Executive Compensation Program” above for more information.</w:t>
      </w:r>
    </w:p>
    <w:p>
      <w:pPr>
        <w:spacing w:after="0" w:line="11" w:lineRule="exact"/>
        <w:rPr>
          <w:rFonts w:ascii="Arial" w:cs="Arial" w:eastAsia="Arial" w:hAnsi="Arial"/>
          <w:sz w:val="14"/>
          <w:szCs w:val="14"/>
          <w:color w:val="2D3243"/>
        </w:rPr>
      </w:pPr>
    </w:p>
    <w:p>
      <w:pPr>
        <w:jc w:val="both"/>
        <w:ind w:left="340" w:right="180" w:hanging="332"/>
        <w:spacing w:after="0" w:line="343" w:lineRule="auto"/>
        <w:tabs>
          <w:tab w:leader="none" w:pos="338" w:val="left"/>
        </w:tabs>
        <w:numPr>
          <w:ilvl w:val="0"/>
          <w:numId w:val="58"/>
        </w:numPr>
        <w:rPr>
          <w:rFonts w:ascii="Arial" w:cs="Arial" w:eastAsia="Arial" w:hAnsi="Arial"/>
          <w:sz w:val="14"/>
          <w:szCs w:val="14"/>
          <w:color w:val="2D3243"/>
        </w:rPr>
      </w:pPr>
      <w:r>
        <w:rPr>
          <w:rFonts w:ascii="Arial" w:cs="Arial" w:eastAsia="Arial" w:hAnsi="Arial"/>
          <w:sz w:val="14"/>
          <w:szCs w:val="14"/>
          <w:color w:val="2D3243"/>
        </w:rPr>
        <w:t>These columns set forth the number of PRSUs that may vest based on achievement of the threshold, target and maximum measures under our 2023 PRSU awards. The market-based PRSU awards are subject to threshold, target and maximum opportunity percentages (as a percentage of the target number of PRSUs) of 50%, 100% and 200%, respectively.</w:t>
      </w:r>
    </w:p>
    <w:p>
      <w:pPr>
        <w:spacing w:after="0" w:line="11" w:lineRule="exact"/>
        <w:rPr>
          <w:rFonts w:ascii="Arial" w:cs="Arial" w:eastAsia="Arial" w:hAnsi="Arial"/>
          <w:sz w:val="14"/>
          <w:szCs w:val="14"/>
          <w:color w:val="2D3243"/>
        </w:rPr>
      </w:pPr>
    </w:p>
    <w:p>
      <w:pPr>
        <w:ind w:left="340" w:right="20" w:hanging="332"/>
        <w:spacing w:after="0" w:line="336" w:lineRule="auto"/>
        <w:tabs>
          <w:tab w:leader="none" w:pos="338" w:val="left"/>
        </w:tabs>
        <w:numPr>
          <w:ilvl w:val="0"/>
          <w:numId w:val="58"/>
        </w:numPr>
        <w:rPr>
          <w:rFonts w:ascii="Arial" w:cs="Arial" w:eastAsia="Arial" w:hAnsi="Arial"/>
          <w:sz w:val="14"/>
          <w:szCs w:val="14"/>
          <w:color w:val="2D3243"/>
        </w:rPr>
      </w:pPr>
      <w:r>
        <w:rPr>
          <w:rFonts w:ascii="Arial" w:cs="Arial" w:eastAsia="Arial" w:hAnsi="Arial"/>
          <w:sz w:val="14"/>
          <w:szCs w:val="14"/>
          <w:color w:val="2D3243"/>
        </w:rPr>
        <w:t>The amounts reported reflect the grant date fair value of equity awards granted in 2023 in accordance with FASB ASC Topic 718. See Note 7 of the notes to our consolidated financial statements in our Annual Report on Form 10-K for the year ended December 31, 2023 filed with the SEC on February 22, 2024, for a discussion of assumptions made in determining the grant date fair value of equity awards. These amounts do not correspond to the actual value, if any, that the NEOs will recognize from these awards. Our NEOs will only realize compensation from these awards to the extent they meet the vesting requirements under the awards.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61</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9" w:name="page70"/>
    <w:bookmarkEnd w:id="69"/>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Summary of Employment Offer Letter with CEO</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Michael Burkland’s Employment Offer Letter</w:t>
      </w:r>
    </w:p>
    <w:p>
      <w:pPr>
        <w:spacing w:after="0" w:line="233" w:lineRule="exact"/>
        <w:rPr>
          <w:sz w:val="20"/>
          <w:szCs w:val="20"/>
          <w:color w:val="auto"/>
        </w:rPr>
      </w:pPr>
    </w:p>
    <w:p>
      <w:pPr>
        <w:spacing w:after="0" w:line="392" w:lineRule="auto"/>
        <w:rPr>
          <w:sz w:val="20"/>
          <w:szCs w:val="20"/>
          <w:color w:val="auto"/>
        </w:rPr>
      </w:pPr>
      <w:r>
        <w:rPr>
          <w:rFonts w:ascii="Arial" w:cs="Arial" w:eastAsia="Arial" w:hAnsi="Arial"/>
          <w:sz w:val="16"/>
          <w:szCs w:val="16"/>
          <w:color w:val="2D3243"/>
        </w:rPr>
        <w:t>Michael Burkland commenced employment with us as our Chief Executive Officer on November 28, 2022. Michael Burkland’s Employment Offer Letter dated October 10, 2022, provides for an annual base salary of $585,000 plus an annual bonus with a target amount of 100% of base salary.</w:t>
      </w:r>
    </w:p>
    <w:p>
      <w:pPr>
        <w:spacing w:after="0" w:line="87"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2D3243"/>
        </w:rPr>
        <w:t>Under the terms of his Employment Offer Letter, Michael Burkland was entitled to and received an RSU award with a target dollar value of $14.0 million, with a vesting commencement date of December 3, 2022. The RSU award will vest in equal quarterly installments over three years, subject to his continued employment on each vesting date. Michael Burkland was also entitled to and received a PRSU award with a target dollar value of $14.0 million, with a vesting commencement date of December 3, 2022. The amount of PRSUs that may be earned pursuant to the PRSU award ranges from 0% to 200% of the target number of PRSUs based on the Company’s RTSR performance as compared to the companies in the S&amp;P Software and Services Select Index during three one-year measurement periods consisting of the Company’s 2023, 2024 and 2025 fiscal years. One-third of the total PRSUs may be earned and settled in shares following the end of each one-year measurement period based on RTSR performance and subject to continued employment through the payment date, but the amount initially paid in 2024 and 2025 (for the 2023 and 2024 measurement periods) is limited to 100% of the target amount for the year, and any PRSUs resulting from above-target performance in those years will be paid following the end of 2025, subject to Michael Burkland’s continued employment through the payment date. If the Company’s actual total shareholder return for any measurement period is negative, then no more than 100% of the target amount of PRSUs for such period may be earned. If Michael Burkland's employment with the Company terminates before the payment date in 2026 due to death or disability, 100% (if due to death) or 50% (if due to disability) of the unvested PRSUs (related to any uncompleted period and above target performance in a completed period) may be earned subject to ultimate RTSR performance in each remaining measurement period. Upon a Change in Control Termination (as such term is defined under the Company’s Key Employee Severance Benefit Plan (“KESP”)), the unvested PRSUs will vest on a double-trigger basis (i) at the target level for the uncompleted portions of the measurement periods and (ii) at the actual level of performance measured through the date of the Change in Control based on the per share price paid to common stockholders in such Change in Control. The RSUs and PRSUs will each otherwise be governed by the Company’s 2014 Equity Incentive Plan and standard form of RSU and PRSU award agreement. Michael Burkland was not eligible for (and did not receive) the 2023 annual refresh grant of RSUs and PRSUs to NEOs during the first quarter of 2023, but would be eligible for future equity awards, from time to time, in the sole discretion of the Compensation Committee.</w:t>
      </w:r>
    </w:p>
    <w:p>
      <w:pPr>
        <w:spacing w:after="0" w:line="138" w:lineRule="exact"/>
        <w:rPr>
          <w:sz w:val="20"/>
          <w:szCs w:val="20"/>
          <w:color w:val="auto"/>
        </w:rPr>
      </w:pPr>
    </w:p>
    <w:p>
      <w:pPr>
        <w:ind w:right="160"/>
        <w:spacing w:after="0" w:line="392" w:lineRule="auto"/>
        <w:rPr>
          <w:sz w:val="20"/>
          <w:szCs w:val="20"/>
          <w:color w:val="auto"/>
        </w:rPr>
      </w:pPr>
      <w:r>
        <w:rPr>
          <w:rFonts w:ascii="Arial" w:cs="Arial" w:eastAsia="Arial" w:hAnsi="Arial"/>
          <w:sz w:val="16"/>
          <w:szCs w:val="16"/>
          <w:color w:val="2D3243"/>
        </w:rPr>
        <w:t>The offer letter designates Michael Burkland as a Tier 1 Participant of our KESP. Michael Burkland is eligible to participate in Company-sponsored vacation policies and employee benefit programs generally available to other executives. His employment with our company is "at-will."</w:t>
      </w:r>
    </w:p>
    <w:p>
      <w:pPr>
        <w:spacing w:after="0" w:line="87" w:lineRule="exact"/>
        <w:rPr>
          <w:sz w:val="20"/>
          <w:szCs w:val="20"/>
          <w:color w:val="auto"/>
        </w:rPr>
      </w:pPr>
    </w:p>
    <w:p>
      <w:pPr>
        <w:ind w:right="240"/>
        <w:spacing w:after="0" w:line="374" w:lineRule="auto"/>
        <w:rPr>
          <w:sz w:val="20"/>
          <w:szCs w:val="20"/>
          <w:color w:val="auto"/>
        </w:rPr>
      </w:pPr>
      <w:r>
        <w:rPr>
          <w:rFonts w:ascii="Arial" w:cs="Arial" w:eastAsia="Arial" w:hAnsi="Arial"/>
          <w:sz w:val="16"/>
          <w:szCs w:val="16"/>
          <w:color w:val="2D3243"/>
        </w:rPr>
        <w:t>Michael Burkland is also eligible to receive continued Company-provided healthcare benefits (for himself, his spouse, and eligible dependents) during and following his service as our CEO or as a director, generally on the same basis as was previously provided under his prior Chairman agreement.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Outstanding Equity Awards at December 31, 2023, Fiscal Year-End Table</w:t>
      </w:r>
    </w:p>
    <w:p>
      <w:pPr>
        <w:spacing w:after="0" w:line="193" w:lineRule="exact"/>
        <w:rPr>
          <w:sz w:val="20"/>
          <w:szCs w:val="20"/>
          <w:color w:val="auto"/>
        </w:rPr>
      </w:pPr>
    </w:p>
    <w:p>
      <w:pPr>
        <w:ind w:right="380"/>
        <w:spacing w:after="0" w:line="353" w:lineRule="auto"/>
        <w:rPr>
          <w:sz w:val="20"/>
          <w:szCs w:val="20"/>
          <w:color w:val="auto"/>
        </w:rPr>
      </w:pPr>
      <w:r>
        <w:rPr>
          <w:rFonts w:ascii="Arial" w:cs="Arial" w:eastAsia="Arial" w:hAnsi="Arial"/>
          <w:sz w:val="16"/>
          <w:szCs w:val="16"/>
          <w:color w:val="2D3243"/>
        </w:rPr>
        <w:t>The following table provides information concerning unexercised stock options or unvested RSU awards and PRSU awards held by our NEOs as of December 31, 2023. The vesting schedule applicable to each outstanding award is described in the footnotes to the table below. Please see the section below entitled “Potential Payments upon Termination or Change in Control” for accelerated vesting provisions that apply in the event of certain specified terminations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62</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0" w:name="page71"/>
    <w:bookmarkEnd w:id="70"/>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shd w:val="clear" w:color="auto" w:fill="0336FF"/>
          </w:tcPr>
          <w:p>
            <w:pPr>
              <w:spacing w:after="0"/>
              <w:rPr>
                <w:sz w:val="18"/>
                <w:szCs w:val="18"/>
                <w:color w:val="auto"/>
              </w:rPr>
            </w:pPr>
          </w:p>
        </w:tc>
        <w:tc>
          <w:tcPr>
            <w:tcW w:w="1020" w:type="dxa"/>
            <w:vAlign w:val="bottom"/>
            <w:shd w:val="clear" w:color="auto" w:fill="0336FF"/>
          </w:tcPr>
          <w:p>
            <w:pPr>
              <w:spacing w:after="0"/>
              <w:rPr>
                <w:sz w:val="18"/>
                <w:szCs w:val="18"/>
                <w:color w:val="auto"/>
              </w:rPr>
            </w:pPr>
          </w:p>
        </w:tc>
        <w:tc>
          <w:tcPr>
            <w:tcW w:w="1560" w:type="dxa"/>
            <w:vAlign w:val="bottom"/>
            <w:shd w:val="clear" w:color="auto" w:fill="0336FF"/>
          </w:tcPr>
          <w:p>
            <w:pPr>
              <w:spacing w:after="0"/>
              <w:rPr>
                <w:sz w:val="18"/>
                <w:szCs w:val="18"/>
                <w:color w:val="auto"/>
              </w:rPr>
            </w:pPr>
          </w:p>
        </w:tc>
        <w:tc>
          <w:tcPr>
            <w:tcW w:w="1620" w:type="dxa"/>
            <w:vAlign w:val="bottom"/>
            <w:shd w:val="clear" w:color="auto" w:fill="0336FF"/>
          </w:tcPr>
          <w:p>
            <w:pPr>
              <w:jc w:val="right"/>
              <w:ind w:right="68"/>
              <w:spacing w:after="0"/>
              <w:rPr>
                <w:sz w:val="20"/>
                <w:szCs w:val="20"/>
                <w:color w:val="auto"/>
              </w:rPr>
            </w:pPr>
            <w:r>
              <w:rPr>
                <w:rFonts w:ascii="Arial" w:cs="Arial" w:eastAsia="Arial" w:hAnsi="Arial"/>
                <w:sz w:val="14"/>
                <w:szCs w:val="14"/>
                <w:b w:val="1"/>
                <w:bCs w:val="1"/>
                <w:color w:val="FFFFFF"/>
              </w:rPr>
              <w:t>Option Awards</w:t>
            </w:r>
          </w:p>
        </w:tc>
        <w:tc>
          <w:tcPr>
            <w:tcW w:w="880" w:type="dxa"/>
            <w:vAlign w:val="bottom"/>
            <w:shd w:val="clear" w:color="auto" w:fill="0336FF"/>
          </w:tcPr>
          <w:p>
            <w:pPr>
              <w:spacing w:after="0"/>
              <w:rPr>
                <w:sz w:val="18"/>
                <w:szCs w:val="18"/>
                <w:color w:val="auto"/>
              </w:rPr>
            </w:pPr>
          </w:p>
        </w:tc>
        <w:tc>
          <w:tcPr>
            <w:tcW w:w="1080" w:type="dxa"/>
            <w:vAlign w:val="bottom"/>
            <w:shd w:val="clear" w:color="auto" w:fill="0336FF"/>
          </w:tcPr>
          <w:p>
            <w:pPr>
              <w:spacing w:after="0"/>
              <w:rPr>
                <w:sz w:val="18"/>
                <w:szCs w:val="18"/>
                <w:color w:val="auto"/>
              </w:rPr>
            </w:pPr>
          </w:p>
        </w:tc>
        <w:tc>
          <w:tcPr>
            <w:tcW w:w="1900" w:type="dxa"/>
            <w:vAlign w:val="bottom"/>
            <w:gridSpan w:val="2"/>
            <w:shd w:val="clear" w:color="auto" w:fill="0336FF"/>
          </w:tcPr>
          <w:p>
            <w:pPr>
              <w:jc w:val="right"/>
              <w:spacing w:after="0"/>
              <w:rPr>
                <w:sz w:val="20"/>
                <w:szCs w:val="20"/>
                <w:color w:val="auto"/>
              </w:rPr>
            </w:pPr>
            <w:r>
              <w:rPr>
                <w:rFonts w:ascii="Arial" w:cs="Arial" w:eastAsia="Arial" w:hAnsi="Arial"/>
                <w:sz w:val="14"/>
                <w:szCs w:val="14"/>
                <w:b w:val="1"/>
                <w:bCs w:val="1"/>
                <w:color w:val="FFFFFF"/>
              </w:rPr>
              <w:t>Stock Awards</w:t>
            </w:r>
          </w:p>
        </w:tc>
        <w:tc>
          <w:tcPr>
            <w:tcW w:w="1000" w:type="dxa"/>
            <w:vAlign w:val="bottom"/>
            <w:shd w:val="clear" w:color="auto" w:fill="0336FF"/>
          </w:tcPr>
          <w:p>
            <w:pPr>
              <w:spacing w:after="0"/>
              <w:rPr>
                <w:sz w:val="18"/>
                <w:szCs w:val="18"/>
                <w:color w:val="auto"/>
              </w:rPr>
            </w:pPr>
          </w:p>
        </w:tc>
      </w:tr>
      <w:tr>
        <w:trPr>
          <w:trHeight w:val="220"/>
        </w:trPr>
        <w:tc>
          <w:tcPr>
            <w:tcW w:w="2180" w:type="dxa"/>
            <w:vAlign w:val="bottom"/>
            <w:shd w:val="clear" w:color="auto" w:fill="0336FF"/>
          </w:tcPr>
          <w:p>
            <w:pPr>
              <w:spacing w:after="0"/>
              <w:rPr>
                <w:sz w:val="19"/>
                <w:szCs w:val="19"/>
                <w:color w:val="auto"/>
              </w:rPr>
            </w:pPr>
          </w:p>
        </w:tc>
        <w:tc>
          <w:tcPr>
            <w:tcW w:w="1020" w:type="dxa"/>
            <w:vAlign w:val="bottom"/>
            <w:shd w:val="clear" w:color="auto" w:fill="0336FF"/>
          </w:tcPr>
          <w:p>
            <w:pPr>
              <w:spacing w:after="0"/>
              <w:rPr>
                <w:sz w:val="19"/>
                <w:szCs w:val="19"/>
                <w:color w:val="auto"/>
              </w:rPr>
            </w:pPr>
          </w:p>
        </w:tc>
        <w:tc>
          <w:tcPr>
            <w:tcW w:w="1560" w:type="dxa"/>
            <w:vAlign w:val="bottom"/>
            <w:shd w:val="clear" w:color="auto" w:fill="0336FF"/>
          </w:tcPr>
          <w:p>
            <w:pPr>
              <w:jc w:val="right"/>
              <w:ind w:right="168"/>
              <w:spacing w:after="0"/>
              <w:rPr>
                <w:sz w:val="20"/>
                <w:szCs w:val="20"/>
                <w:color w:val="auto"/>
              </w:rPr>
            </w:pPr>
            <w:r>
              <w:rPr>
                <w:rFonts w:ascii="Arial" w:cs="Arial" w:eastAsia="Arial" w:hAnsi="Arial"/>
                <w:sz w:val="14"/>
                <w:szCs w:val="14"/>
                <w:b w:val="1"/>
                <w:bCs w:val="1"/>
                <w:color w:val="FFFFFF"/>
              </w:rPr>
              <w:t>Number of</w:t>
            </w:r>
          </w:p>
        </w:tc>
        <w:tc>
          <w:tcPr>
            <w:tcW w:w="162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Number of</w:t>
            </w:r>
          </w:p>
        </w:tc>
        <w:tc>
          <w:tcPr>
            <w:tcW w:w="880" w:type="dxa"/>
            <w:vAlign w:val="bottom"/>
            <w:shd w:val="clear" w:color="auto" w:fill="0336FF"/>
          </w:tcPr>
          <w:p>
            <w:pPr>
              <w:spacing w:after="0"/>
              <w:rPr>
                <w:sz w:val="19"/>
                <w:szCs w:val="19"/>
                <w:color w:val="auto"/>
              </w:rPr>
            </w:pPr>
          </w:p>
        </w:tc>
        <w:tc>
          <w:tcPr>
            <w:tcW w:w="1080" w:type="dxa"/>
            <w:vAlign w:val="bottom"/>
            <w:shd w:val="clear" w:color="auto" w:fill="0336FF"/>
          </w:tcPr>
          <w:p>
            <w:pPr>
              <w:spacing w:after="0"/>
              <w:rPr>
                <w:sz w:val="19"/>
                <w:szCs w:val="19"/>
                <w:color w:val="auto"/>
              </w:rPr>
            </w:pPr>
          </w:p>
        </w:tc>
        <w:tc>
          <w:tcPr>
            <w:tcW w:w="1100" w:type="dxa"/>
            <w:vAlign w:val="bottom"/>
            <w:shd w:val="clear" w:color="auto" w:fill="0336FF"/>
          </w:tcPr>
          <w:p>
            <w:pPr>
              <w:spacing w:after="0"/>
              <w:rPr>
                <w:sz w:val="19"/>
                <w:szCs w:val="19"/>
                <w:color w:val="auto"/>
              </w:rPr>
            </w:pPr>
          </w:p>
        </w:tc>
        <w:tc>
          <w:tcPr>
            <w:tcW w:w="800" w:type="dxa"/>
            <w:vAlign w:val="bottom"/>
            <w:shd w:val="clear" w:color="auto" w:fill="0336FF"/>
          </w:tcPr>
          <w:p>
            <w:pPr>
              <w:spacing w:after="0"/>
              <w:rPr>
                <w:sz w:val="19"/>
                <w:szCs w:val="19"/>
                <w:color w:val="auto"/>
              </w:rPr>
            </w:pP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w w:val="99"/>
              </w:rPr>
              <w:t>Market Value</w:t>
            </w:r>
          </w:p>
        </w:tc>
      </w:tr>
      <w:tr>
        <w:trPr>
          <w:trHeight w:val="176"/>
        </w:trPr>
        <w:tc>
          <w:tcPr>
            <w:tcW w:w="2180" w:type="dxa"/>
            <w:vAlign w:val="bottom"/>
            <w:shd w:val="clear" w:color="auto" w:fill="0336FF"/>
          </w:tcPr>
          <w:p>
            <w:pPr>
              <w:spacing w:after="0"/>
              <w:rPr>
                <w:sz w:val="15"/>
                <w:szCs w:val="15"/>
                <w:color w:val="auto"/>
              </w:rPr>
            </w:pPr>
          </w:p>
        </w:tc>
        <w:tc>
          <w:tcPr>
            <w:tcW w:w="1020" w:type="dxa"/>
            <w:vAlign w:val="bottom"/>
            <w:shd w:val="clear" w:color="auto" w:fill="0336FF"/>
          </w:tcPr>
          <w:p>
            <w:pPr>
              <w:spacing w:after="0"/>
              <w:rPr>
                <w:sz w:val="15"/>
                <w:szCs w:val="15"/>
                <w:color w:val="auto"/>
              </w:rPr>
            </w:pPr>
          </w:p>
        </w:tc>
        <w:tc>
          <w:tcPr>
            <w:tcW w:w="1560" w:type="dxa"/>
            <w:vAlign w:val="bottom"/>
            <w:shd w:val="clear" w:color="auto" w:fill="0336FF"/>
          </w:tcPr>
          <w:p>
            <w:pPr>
              <w:jc w:val="right"/>
              <w:ind w:right="168"/>
              <w:spacing w:after="0"/>
              <w:rPr>
                <w:sz w:val="20"/>
                <w:szCs w:val="20"/>
                <w:color w:val="auto"/>
              </w:rPr>
            </w:pPr>
            <w:r>
              <w:rPr>
                <w:rFonts w:ascii="Arial" w:cs="Arial" w:eastAsia="Arial" w:hAnsi="Arial"/>
                <w:sz w:val="14"/>
                <w:szCs w:val="14"/>
                <w:b w:val="1"/>
                <w:bCs w:val="1"/>
                <w:color w:val="FFFFFF"/>
              </w:rPr>
              <w:t>Securities</w:t>
            </w:r>
          </w:p>
        </w:tc>
        <w:tc>
          <w:tcPr>
            <w:tcW w:w="162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Securities</w:t>
            </w:r>
          </w:p>
        </w:tc>
        <w:tc>
          <w:tcPr>
            <w:tcW w:w="880" w:type="dxa"/>
            <w:vAlign w:val="bottom"/>
            <w:shd w:val="clear" w:color="auto" w:fill="0336FF"/>
          </w:tcPr>
          <w:p>
            <w:pPr>
              <w:spacing w:after="0"/>
              <w:rPr>
                <w:sz w:val="15"/>
                <w:szCs w:val="15"/>
                <w:color w:val="auto"/>
              </w:rPr>
            </w:pPr>
          </w:p>
        </w:tc>
        <w:tc>
          <w:tcPr>
            <w:tcW w:w="1080" w:type="dxa"/>
            <w:vAlign w:val="bottom"/>
            <w:shd w:val="clear" w:color="auto" w:fill="0336FF"/>
          </w:tcPr>
          <w:p>
            <w:pPr>
              <w:spacing w:after="0"/>
              <w:rPr>
                <w:sz w:val="15"/>
                <w:szCs w:val="15"/>
                <w:color w:val="auto"/>
              </w:rPr>
            </w:pPr>
          </w:p>
        </w:tc>
        <w:tc>
          <w:tcPr>
            <w:tcW w:w="110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0336FF"/>
          </w:tcPr>
          <w:p>
            <w:pPr>
              <w:spacing w:after="0"/>
              <w:rPr>
                <w:sz w:val="15"/>
                <w:szCs w:val="15"/>
                <w:color w:val="auto"/>
              </w:rPr>
            </w:pP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of Shares</w:t>
            </w:r>
          </w:p>
        </w:tc>
      </w:tr>
      <w:tr>
        <w:trPr>
          <w:trHeight w:val="162"/>
        </w:trPr>
        <w:tc>
          <w:tcPr>
            <w:tcW w:w="2180" w:type="dxa"/>
            <w:vAlign w:val="bottom"/>
            <w:shd w:val="clear" w:color="auto" w:fill="0336FF"/>
          </w:tcPr>
          <w:p>
            <w:pPr>
              <w:spacing w:after="0"/>
              <w:rPr>
                <w:sz w:val="14"/>
                <w:szCs w:val="14"/>
                <w:color w:val="auto"/>
              </w:rPr>
            </w:pPr>
          </w:p>
        </w:tc>
        <w:tc>
          <w:tcPr>
            <w:tcW w:w="1020" w:type="dxa"/>
            <w:vAlign w:val="bottom"/>
            <w:shd w:val="clear" w:color="auto" w:fill="0336FF"/>
          </w:tcPr>
          <w:p>
            <w:pPr>
              <w:spacing w:after="0"/>
              <w:rPr>
                <w:sz w:val="14"/>
                <w:szCs w:val="14"/>
                <w:color w:val="auto"/>
              </w:rPr>
            </w:pPr>
          </w:p>
        </w:tc>
        <w:tc>
          <w:tcPr>
            <w:tcW w:w="1560" w:type="dxa"/>
            <w:vAlign w:val="bottom"/>
            <w:shd w:val="clear" w:color="auto" w:fill="0336FF"/>
          </w:tcPr>
          <w:p>
            <w:pPr>
              <w:jc w:val="right"/>
              <w:ind w:right="168"/>
              <w:spacing w:after="0"/>
              <w:rPr>
                <w:sz w:val="20"/>
                <w:szCs w:val="20"/>
                <w:color w:val="auto"/>
              </w:rPr>
            </w:pPr>
            <w:r>
              <w:rPr>
                <w:rFonts w:ascii="Arial" w:cs="Arial" w:eastAsia="Arial" w:hAnsi="Arial"/>
                <w:sz w:val="14"/>
                <w:szCs w:val="14"/>
                <w:b w:val="1"/>
                <w:bCs w:val="1"/>
                <w:color w:val="FFFFFF"/>
              </w:rPr>
              <w:t>Underlying</w:t>
            </w:r>
          </w:p>
        </w:tc>
        <w:tc>
          <w:tcPr>
            <w:tcW w:w="162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Underlying</w:t>
            </w:r>
          </w:p>
        </w:tc>
        <w:tc>
          <w:tcPr>
            <w:tcW w:w="880" w:type="dxa"/>
            <w:vAlign w:val="bottom"/>
            <w:shd w:val="clear" w:color="auto" w:fill="0336FF"/>
          </w:tcPr>
          <w:p>
            <w:pPr>
              <w:spacing w:after="0"/>
              <w:rPr>
                <w:sz w:val="14"/>
                <w:szCs w:val="14"/>
                <w:color w:val="auto"/>
              </w:rPr>
            </w:pPr>
          </w:p>
        </w:tc>
        <w:tc>
          <w:tcPr>
            <w:tcW w:w="1080" w:type="dxa"/>
            <w:vAlign w:val="bottom"/>
            <w:shd w:val="clear" w:color="auto" w:fill="0336FF"/>
          </w:tcPr>
          <w:p>
            <w:pPr>
              <w:spacing w:after="0"/>
              <w:rPr>
                <w:sz w:val="14"/>
                <w:szCs w:val="14"/>
                <w:color w:val="auto"/>
              </w:rPr>
            </w:pPr>
          </w:p>
        </w:tc>
        <w:tc>
          <w:tcPr>
            <w:tcW w:w="110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Shares or</w:t>
            </w:r>
          </w:p>
        </w:tc>
        <w:tc>
          <w:tcPr>
            <w:tcW w:w="800" w:type="dxa"/>
            <w:vAlign w:val="bottom"/>
            <w:shd w:val="clear" w:color="auto" w:fill="0336FF"/>
          </w:tcPr>
          <w:p>
            <w:pPr>
              <w:spacing w:after="0"/>
              <w:rPr>
                <w:sz w:val="14"/>
                <w:szCs w:val="14"/>
                <w:color w:val="auto"/>
              </w:rPr>
            </w:pP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or Units of</w:t>
            </w:r>
          </w:p>
        </w:tc>
      </w:tr>
      <w:tr>
        <w:trPr>
          <w:trHeight w:val="176"/>
        </w:trPr>
        <w:tc>
          <w:tcPr>
            <w:tcW w:w="2180" w:type="dxa"/>
            <w:vAlign w:val="bottom"/>
            <w:shd w:val="clear" w:color="auto" w:fill="0336FF"/>
          </w:tcPr>
          <w:p>
            <w:pPr>
              <w:spacing w:after="0"/>
              <w:rPr>
                <w:sz w:val="15"/>
                <w:szCs w:val="15"/>
                <w:color w:val="auto"/>
              </w:rPr>
            </w:pPr>
          </w:p>
        </w:tc>
        <w:tc>
          <w:tcPr>
            <w:tcW w:w="1020" w:type="dxa"/>
            <w:vAlign w:val="bottom"/>
            <w:shd w:val="clear" w:color="auto" w:fill="0336FF"/>
          </w:tcPr>
          <w:p>
            <w:pPr>
              <w:spacing w:after="0"/>
              <w:rPr>
                <w:sz w:val="15"/>
                <w:szCs w:val="15"/>
                <w:color w:val="auto"/>
              </w:rPr>
            </w:pPr>
          </w:p>
        </w:tc>
        <w:tc>
          <w:tcPr>
            <w:tcW w:w="1560" w:type="dxa"/>
            <w:vAlign w:val="bottom"/>
            <w:shd w:val="clear" w:color="auto" w:fill="0336FF"/>
          </w:tcPr>
          <w:p>
            <w:pPr>
              <w:jc w:val="right"/>
              <w:ind w:right="168"/>
              <w:spacing w:after="0"/>
              <w:rPr>
                <w:sz w:val="20"/>
                <w:szCs w:val="20"/>
                <w:color w:val="auto"/>
              </w:rPr>
            </w:pPr>
            <w:r>
              <w:rPr>
                <w:rFonts w:ascii="Arial" w:cs="Arial" w:eastAsia="Arial" w:hAnsi="Arial"/>
                <w:sz w:val="14"/>
                <w:szCs w:val="14"/>
                <w:b w:val="1"/>
                <w:bCs w:val="1"/>
                <w:color w:val="FFFFFF"/>
              </w:rPr>
              <w:t>Unexercised</w:t>
            </w:r>
          </w:p>
        </w:tc>
        <w:tc>
          <w:tcPr>
            <w:tcW w:w="162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Unexercised</w:t>
            </w:r>
          </w:p>
        </w:tc>
        <w:tc>
          <w:tcPr>
            <w:tcW w:w="880" w:type="dxa"/>
            <w:vAlign w:val="bottom"/>
            <w:shd w:val="clear" w:color="auto" w:fill="0336FF"/>
          </w:tcPr>
          <w:p>
            <w:pPr>
              <w:jc w:val="right"/>
              <w:ind w:right="68"/>
              <w:spacing w:after="0"/>
              <w:rPr>
                <w:sz w:val="20"/>
                <w:szCs w:val="20"/>
                <w:color w:val="auto"/>
              </w:rPr>
            </w:pPr>
            <w:r>
              <w:rPr>
                <w:rFonts w:ascii="Arial" w:cs="Arial" w:eastAsia="Arial" w:hAnsi="Arial"/>
                <w:sz w:val="14"/>
                <w:szCs w:val="14"/>
                <w:b w:val="1"/>
                <w:bCs w:val="1"/>
                <w:color w:val="FFFFFF"/>
              </w:rPr>
              <w:t>Option</w:t>
            </w:r>
          </w:p>
        </w:tc>
        <w:tc>
          <w:tcPr>
            <w:tcW w:w="1080" w:type="dxa"/>
            <w:vAlign w:val="bottom"/>
            <w:shd w:val="clear" w:color="auto" w:fill="0336FF"/>
          </w:tcPr>
          <w:p>
            <w:pPr>
              <w:spacing w:after="0"/>
              <w:rPr>
                <w:sz w:val="15"/>
                <w:szCs w:val="15"/>
                <w:color w:val="auto"/>
              </w:rPr>
            </w:pPr>
          </w:p>
        </w:tc>
        <w:tc>
          <w:tcPr>
            <w:tcW w:w="110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Units of Stock</w:t>
            </w:r>
          </w:p>
        </w:tc>
        <w:tc>
          <w:tcPr>
            <w:tcW w:w="800" w:type="dxa"/>
            <w:vAlign w:val="bottom"/>
            <w:shd w:val="clear" w:color="auto" w:fill="0336FF"/>
          </w:tcPr>
          <w:p>
            <w:pPr>
              <w:spacing w:after="0"/>
              <w:rPr>
                <w:sz w:val="15"/>
                <w:szCs w:val="15"/>
                <w:color w:val="auto"/>
              </w:rPr>
            </w:pP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Stock that</w:t>
            </w:r>
          </w:p>
        </w:tc>
      </w:tr>
      <w:tr>
        <w:trPr>
          <w:trHeight w:val="173"/>
        </w:trPr>
        <w:tc>
          <w:tcPr>
            <w:tcW w:w="2180" w:type="dxa"/>
            <w:vAlign w:val="bottom"/>
            <w:shd w:val="clear" w:color="auto" w:fill="0336FF"/>
          </w:tcPr>
          <w:p>
            <w:pPr>
              <w:spacing w:after="0"/>
              <w:rPr>
                <w:sz w:val="15"/>
                <w:szCs w:val="15"/>
                <w:color w:val="auto"/>
              </w:rPr>
            </w:pPr>
          </w:p>
        </w:tc>
        <w:tc>
          <w:tcPr>
            <w:tcW w:w="1020" w:type="dxa"/>
            <w:vAlign w:val="bottom"/>
            <w:shd w:val="clear" w:color="auto" w:fill="0336FF"/>
          </w:tcPr>
          <w:p>
            <w:pPr>
              <w:spacing w:after="0"/>
              <w:rPr>
                <w:sz w:val="15"/>
                <w:szCs w:val="15"/>
                <w:color w:val="auto"/>
              </w:rPr>
            </w:pPr>
          </w:p>
        </w:tc>
        <w:tc>
          <w:tcPr>
            <w:tcW w:w="1560" w:type="dxa"/>
            <w:vAlign w:val="bottom"/>
            <w:shd w:val="clear" w:color="auto" w:fill="0336FF"/>
          </w:tcPr>
          <w:p>
            <w:pPr>
              <w:jc w:val="right"/>
              <w:ind w:right="168"/>
              <w:spacing w:after="0"/>
              <w:rPr>
                <w:sz w:val="20"/>
                <w:szCs w:val="20"/>
                <w:color w:val="auto"/>
              </w:rPr>
            </w:pPr>
            <w:r>
              <w:rPr>
                <w:rFonts w:ascii="Arial" w:cs="Arial" w:eastAsia="Arial" w:hAnsi="Arial"/>
                <w:sz w:val="14"/>
                <w:szCs w:val="14"/>
                <w:b w:val="1"/>
                <w:bCs w:val="1"/>
                <w:color w:val="FFFFFF"/>
              </w:rPr>
              <w:t>Options</w:t>
            </w:r>
          </w:p>
        </w:tc>
        <w:tc>
          <w:tcPr>
            <w:tcW w:w="162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Options</w:t>
            </w:r>
          </w:p>
        </w:tc>
        <w:tc>
          <w:tcPr>
            <w:tcW w:w="880" w:type="dxa"/>
            <w:vAlign w:val="bottom"/>
            <w:shd w:val="clear" w:color="auto" w:fill="0336FF"/>
          </w:tcPr>
          <w:p>
            <w:pPr>
              <w:jc w:val="right"/>
              <w:ind w:right="68"/>
              <w:spacing w:after="0"/>
              <w:rPr>
                <w:sz w:val="20"/>
                <w:szCs w:val="20"/>
                <w:color w:val="auto"/>
              </w:rPr>
            </w:pPr>
            <w:r>
              <w:rPr>
                <w:rFonts w:ascii="Arial" w:cs="Arial" w:eastAsia="Arial" w:hAnsi="Arial"/>
                <w:sz w:val="14"/>
                <w:szCs w:val="14"/>
                <w:b w:val="1"/>
                <w:bCs w:val="1"/>
                <w:color w:val="FFFFFF"/>
              </w:rPr>
              <w:t>Exercise</w:t>
            </w:r>
          </w:p>
        </w:tc>
        <w:tc>
          <w:tcPr>
            <w:tcW w:w="1080" w:type="dxa"/>
            <w:vAlign w:val="bottom"/>
            <w:shd w:val="clear" w:color="auto" w:fill="0336FF"/>
          </w:tcPr>
          <w:p>
            <w:pPr>
              <w:spacing w:after="0"/>
              <w:rPr>
                <w:sz w:val="15"/>
                <w:szCs w:val="15"/>
                <w:color w:val="auto"/>
              </w:rPr>
            </w:pPr>
          </w:p>
        </w:tc>
        <w:tc>
          <w:tcPr>
            <w:tcW w:w="110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that have not</w:t>
            </w:r>
          </w:p>
        </w:tc>
        <w:tc>
          <w:tcPr>
            <w:tcW w:w="800" w:type="dxa"/>
            <w:vAlign w:val="bottom"/>
            <w:shd w:val="clear" w:color="auto" w:fill="0336FF"/>
          </w:tcPr>
          <w:p>
            <w:pPr>
              <w:spacing w:after="0"/>
              <w:rPr>
                <w:sz w:val="15"/>
                <w:szCs w:val="15"/>
                <w:color w:val="auto"/>
              </w:rPr>
            </w:pP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have not</w:t>
            </w:r>
          </w:p>
        </w:tc>
      </w:tr>
      <w:tr>
        <w:trPr>
          <w:trHeight w:val="178"/>
        </w:trPr>
        <w:tc>
          <w:tcPr>
            <w:tcW w:w="2180" w:type="dxa"/>
            <w:vAlign w:val="bottom"/>
            <w:shd w:val="clear" w:color="auto" w:fill="0336FF"/>
          </w:tcPr>
          <w:p>
            <w:pPr>
              <w:spacing w:after="0"/>
              <w:rPr>
                <w:sz w:val="15"/>
                <w:szCs w:val="15"/>
                <w:color w:val="auto"/>
              </w:rPr>
            </w:pPr>
          </w:p>
        </w:tc>
        <w:tc>
          <w:tcPr>
            <w:tcW w:w="1020" w:type="dxa"/>
            <w:vAlign w:val="bottom"/>
            <w:shd w:val="clear" w:color="auto" w:fill="0336FF"/>
          </w:tcPr>
          <w:p>
            <w:pPr>
              <w:spacing w:after="0"/>
              <w:rPr>
                <w:sz w:val="15"/>
                <w:szCs w:val="15"/>
                <w:color w:val="auto"/>
              </w:rPr>
            </w:pPr>
          </w:p>
        </w:tc>
        <w:tc>
          <w:tcPr>
            <w:tcW w:w="1560" w:type="dxa"/>
            <w:vAlign w:val="bottom"/>
            <w:shd w:val="clear" w:color="auto" w:fill="0336FF"/>
          </w:tcPr>
          <w:p>
            <w:pPr>
              <w:jc w:val="right"/>
              <w:ind w:right="168"/>
              <w:spacing w:after="0"/>
              <w:rPr>
                <w:sz w:val="20"/>
                <w:szCs w:val="20"/>
                <w:color w:val="auto"/>
              </w:rPr>
            </w:pPr>
            <w:r>
              <w:rPr>
                <w:rFonts w:ascii="Arial" w:cs="Arial" w:eastAsia="Arial" w:hAnsi="Arial"/>
                <w:sz w:val="14"/>
                <w:szCs w:val="14"/>
                <w:b w:val="1"/>
                <w:bCs w:val="1"/>
                <w:color w:val="FFFFFF"/>
              </w:rPr>
              <w:t>Exercisable</w:t>
            </w:r>
          </w:p>
        </w:tc>
        <w:tc>
          <w:tcPr>
            <w:tcW w:w="162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Unexercisable</w:t>
            </w:r>
          </w:p>
        </w:tc>
        <w:tc>
          <w:tcPr>
            <w:tcW w:w="880" w:type="dxa"/>
            <w:vAlign w:val="bottom"/>
            <w:shd w:val="clear" w:color="auto" w:fill="0336FF"/>
          </w:tcPr>
          <w:p>
            <w:pPr>
              <w:jc w:val="right"/>
              <w:ind w:right="68"/>
              <w:spacing w:after="0"/>
              <w:rPr>
                <w:sz w:val="20"/>
                <w:szCs w:val="20"/>
                <w:color w:val="auto"/>
              </w:rPr>
            </w:pPr>
            <w:r>
              <w:rPr>
                <w:rFonts w:ascii="Arial" w:cs="Arial" w:eastAsia="Arial" w:hAnsi="Arial"/>
                <w:sz w:val="14"/>
                <w:szCs w:val="14"/>
                <w:b w:val="1"/>
                <w:bCs w:val="1"/>
                <w:color w:val="FFFFFF"/>
              </w:rPr>
              <w:t>Price</w:t>
            </w:r>
          </w:p>
        </w:tc>
        <w:tc>
          <w:tcPr>
            <w:tcW w:w="1080" w:type="dxa"/>
            <w:vAlign w:val="bottom"/>
            <w:shd w:val="clear" w:color="auto" w:fill="0336FF"/>
          </w:tcPr>
          <w:p>
            <w:pPr>
              <w:jc w:val="center"/>
              <w:ind w:right="148"/>
              <w:spacing w:after="0"/>
              <w:rPr>
                <w:sz w:val="20"/>
                <w:szCs w:val="20"/>
                <w:color w:val="auto"/>
              </w:rPr>
            </w:pPr>
            <w:r>
              <w:rPr>
                <w:rFonts w:ascii="Arial" w:cs="Arial" w:eastAsia="Arial" w:hAnsi="Arial"/>
                <w:sz w:val="14"/>
                <w:szCs w:val="14"/>
                <w:b w:val="1"/>
                <w:bCs w:val="1"/>
                <w:color w:val="FFFFFF"/>
              </w:rPr>
              <w:t>Option</w:t>
            </w:r>
          </w:p>
        </w:tc>
        <w:tc>
          <w:tcPr>
            <w:tcW w:w="110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Vested</w:t>
            </w:r>
          </w:p>
        </w:tc>
        <w:tc>
          <w:tcPr>
            <w:tcW w:w="800" w:type="dxa"/>
            <w:vAlign w:val="bottom"/>
            <w:shd w:val="clear" w:color="auto" w:fill="0336FF"/>
          </w:tcPr>
          <w:p>
            <w:pPr>
              <w:spacing w:after="0"/>
              <w:rPr>
                <w:sz w:val="15"/>
                <w:szCs w:val="15"/>
                <w:color w:val="auto"/>
              </w:rPr>
            </w:pPr>
          </w:p>
        </w:tc>
        <w:tc>
          <w:tcPr>
            <w:tcW w:w="1000" w:type="dxa"/>
            <w:vAlign w:val="bottom"/>
            <w:shd w:val="clear" w:color="auto" w:fill="0336FF"/>
          </w:tcPr>
          <w:p>
            <w:pPr>
              <w:jc w:val="right"/>
              <w:ind w:right="48"/>
              <w:spacing w:after="0" w:line="178" w:lineRule="exact"/>
              <w:rPr>
                <w:sz w:val="20"/>
                <w:szCs w:val="20"/>
                <w:color w:val="auto"/>
              </w:rPr>
            </w:pPr>
            <w:r>
              <w:rPr>
                <w:rFonts w:ascii="Arial" w:cs="Arial" w:eastAsia="Arial" w:hAnsi="Arial"/>
                <w:sz w:val="14"/>
                <w:szCs w:val="14"/>
                <w:b w:val="1"/>
                <w:bCs w:val="1"/>
                <w:color w:val="FFFFFF"/>
              </w:rPr>
              <w:t>Vested</w:t>
            </w:r>
            <w:r>
              <w:rPr>
                <w:rFonts w:ascii="Arial" w:cs="Arial" w:eastAsia="Arial" w:hAnsi="Arial"/>
                <w:sz w:val="18"/>
                <w:szCs w:val="18"/>
                <w:b w:val="1"/>
                <w:bCs w:val="1"/>
                <w:color w:val="FFFFFF"/>
                <w:vertAlign w:val="superscript"/>
              </w:rPr>
              <w:t>(1)</w:t>
            </w:r>
          </w:p>
        </w:tc>
      </w:tr>
      <w:tr>
        <w:trPr>
          <w:trHeight w:val="196"/>
        </w:trPr>
        <w:tc>
          <w:tcPr>
            <w:tcW w:w="218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1020" w:type="dxa"/>
            <w:vAlign w:val="bottom"/>
            <w:shd w:val="clear" w:color="auto" w:fill="0336FF"/>
          </w:tcPr>
          <w:p>
            <w:pPr>
              <w:jc w:val="center"/>
              <w:spacing w:after="0"/>
              <w:rPr>
                <w:sz w:val="20"/>
                <w:szCs w:val="20"/>
                <w:color w:val="auto"/>
              </w:rPr>
            </w:pPr>
            <w:r>
              <w:rPr>
                <w:rFonts w:ascii="Arial" w:cs="Arial" w:eastAsia="Arial" w:hAnsi="Arial"/>
                <w:sz w:val="14"/>
                <w:szCs w:val="14"/>
                <w:b w:val="1"/>
                <w:bCs w:val="1"/>
                <w:color w:val="FFFFFF"/>
              </w:rPr>
              <w:t>Grant Date</w:t>
            </w:r>
          </w:p>
        </w:tc>
        <w:tc>
          <w:tcPr>
            <w:tcW w:w="1560" w:type="dxa"/>
            <w:vAlign w:val="bottom"/>
            <w:shd w:val="clear" w:color="auto" w:fill="0336FF"/>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960" w:type="dxa"/>
            <w:vAlign w:val="bottom"/>
            <w:gridSpan w:val="2"/>
            <w:shd w:val="clear" w:color="auto" w:fill="0336FF"/>
          </w:tcPr>
          <w:p>
            <w:pPr>
              <w:ind w:left="560"/>
              <w:spacing w:after="0"/>
              <w:rPr>
                <w:sz w:val="20"/>
                <w:szCs w:val="20"/>
                <w:color w:val="auto"/>
              </w:rPr>
            </w:pPr>
            <w:r>
              <w:rPr>
                <w:rFonts w:ascii="Arial" w:cs="Arial" w:eastAsia="Arial" w:hAnsi="Arial"/>
                <w:sz w:val="14"/>
                <w:szCs w:val="14"/>
                <w:b w:val="1"/>
                <w:bCs w:val="1"/>
                <w:color w:val="FFFFFF"/>
              </w:rPr>
              <w:t>($) Expiration Date</w:t>
            </w:r>
          </w:p>
        </w:tc>
        <w:tc>
          <w:tcPr>
            <w:tcW w:w="110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0336FF"/>
          </w:tcPr>
          <w:p>
            <w:pPr>
              <w:spacing w:after="0"/>
              <w:rPr>
                <w:sz w:val="17"/>
                <w:szCs w:val="17"/>
                <w:color w:val="auto"/>
              </w:rPr>
            </w:pP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2180" w:type="dxa"/>
            <w:vAlign w:val="bottom"/>
            <w:shd w:val="clear" w:color="auto" w:fill="0336FF"/>
          </w:tcPr>
          <w:p>
            <w:pPr>
              <w:spacing w:after="0"/>
              <w:rPr>
                <w:sz w:val="6"/>
                <w:szCs w:val="6"/>
                <w:color w:val="auto"/>
              </w:rPr>
            </w:pPr>
          </w:p>
        </w:tc>
        <w:tc>
          <w:tcPr>
            <w:tcW w:w="1020" w:type="dxa"/>
            <w:vAlign w:val="bottom"/>
            <w:shd w:val="clear" w:color="auto" w:fill="0336FF"/>
          </w:tcPr>
          <w:p>
            <w:pPr>
              <w:spacing w:after="0"/>
              <w:rPr>
                <w:sz w:val="6"/>
                <w:szCs w:val="6"/>
                <w:color w:val="auto"/>
              </w:rPr>
            </w:pPr>
          </w:p>
        </w:tc>
        <w:tc>
          <w:tcPr>
            <w:tcW w:w="1560" w:type="dxa"/>
            <w:vAlign w:val="bottom"/>
            <w:shd w:val="clear" w:color="auto" w:fill="0336FF"/>
          </w:tcPr>
          <w:p>
            <w:pPr>
              <w:spacing w:after="0"/>
              <w:rPr>
                <w:sz w:val="6"/>
                <w:szCs w:val="6"/>
                <w:color w:val="auto"/>
              </w:rPr>
            </w:pPr>
          </w:p>
        </w:tc>
        <w:tc>
          <w:tcPr>
            <w:tcW w:w="1620" w:type="dxa"/>
            <w:vAlign w:val="bottom"/>
            <w:shd w:val="clear" w:color="auto" w:fill="0336FF"/>
          </w:tcPr>
          <w:p>
            <w:pPr>
              <w:spacing w:after="0"/>
              <w:rPr>
                <w:sz w:val="6"/>
                <w:szCs w:val="6"/>
                <w:color w:val="auto"/>
              </w:rPr>
            </w:pPr>
          </w:p>
        </w:tc>
        <w:tc>
          <w:tcPr>
            <w:tcW w:w="880" w:type="dxa"/>
            <w:vAlign w:val="bottom"/>
            <w:shd w:val="clear" w:color="auto" w:fill="0336FF"/>
          </w:tcPr>
          <w:p>
            <w:pPr>
              <w:spacing w:after="0"/>
              <w:rPr>
                <w:sz w:val="6"/>
                <w:szCs w:val="6"/>
                <w:color w:val="auto"/>
              </w:rPr>
            </w:pPr>
          </w:p>
        </w:tc>
        <w:tc>
          <w:tcPr>
            <w:tcW w:w="1080" w:type="dxa"/>
            <w:vAlign w:val="bottom"/>
            <w:shd w:val="clear" w:color="auto" w:fill="0336FF"/>
          </w:tcPr>
          <w:p>
            <w:pPr>
              <w:spacing w:after="0"/>
              <w:rPr>
                <w:sz w:val="6"/>
                <w:szCs w:val="6"/>
                <w:color w:val="auto"/>
              </w:rPr>
            </w:pPr>
          </w:p>
        </w:tc>
        <w:tc>
          <w:tcPr>
            <w:tcW w:w="1100" w:type="dxa"/>
            <w:vAlign w:val="bottom"/>
            <w:shd w:val="clear" w:color="auto" w:fill="0336FF"/>
          </w:tcPr>
          <w:p>
            <w:pPr>
              <w:spacing w:after="0"/>
              <w:rPr>
                <w:sz w:val="6"/>
                <w:szCs w:val="6"/>
                <w:color w:val="auto"/>
              </w:rPr>
            </w:pPr>
          </w:p>
        </w:tc>
        <w:tc>
          <w:tcPr>
            <w:tcW w:w="800" w:type="dxa"/>
            <w:vAlign w:val="bottom"/>
            <w:shd w:val="clear" w:color="auto" w:fill="0336FF"/>
          </w:tcPr>
          <w:p>
            <w:pPr>
              <w:spacing w:after="0"/>
              <w:rPr>
                <w:sz w:val="6"/>
                <w:szCs w:val="6"/>
                <w:color w:val="auto"/>
              </w:rPr>
            </w:pPr>
          </w:p>
        </w:tc>
        <w:tc>
          <w:tcPr>
            <w:tcW w:w="1000" w:type="dxa"/>
            <w:vAlign w:val="bottom"/>
            <w:shd w:val="clear" w:color="auto" w:fill="0336FF"/>
          </w:tcPr>
          <w:p>
            <w:pPr>
              <w:spacing w:after="0"/>
              <w:rPr>
                <w:sz w:val="6"/>
                <w:szCs w:val="6"/>
                <w:color w:val="auto"/>
              </w:rPr>
            </w:pPr>
          </w:p>
        </w:tc>
      </w:tr>
      <w:tr>
        <w:trPr>
          <w:trHeight w:val="248"/>
        </w:trPr>
        <w:tc>
          <w:tcPr>
            <w:tcW w:w="218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1020" w:type="dxa"/>
            <w:vAlign w:val="bottom"/>
          </w:tcPr>
          <w:p>
            <w:pPr>
              <w:jc w:val="center"/>
              <w:spacing w:after="0"/>
              <w:rPr>
                <w:sz w:val="20"/>
                <w:szCs w:val="20"/>
                <w:color w:val="auto"/>
              </w:rPr>
            </w:pPr>
            <w:r>
              <w:rPr>
                <w:rFonts w:ascii="Arial" w:cs="Arial" w:eastAsia="Arial" w:hAnsi="Arial"/>
                <w:sz w:val="14"/>
                <w:szCs w:val="14"/>
                <w:color w:val="2D3243"/>
              </w:rPr>
              <w:t>03/09/16</w:t>
            </w:r>
          </w:p>
        </w:tc>
        <w:tc>
          <w:tcPr>
            <w:tcW w:w="1560" w:type="dxa"/>
            <w:vAlign w:val="bottom"/>
          </w:tcPr>
          <w:p>
            <w:pPr>
              <w:jc w:val="right"/>
              <w:ind w:right="208"/>
              <w:spacing w:after="0"/>
              <w:rPr>
                <w:sz w:val="20"/>
                <w:szCs w:val="20"/>
                <w:color w:val="auto"/>
              </w:rPr>
            </w:pPr>
            <w:r>
              <w:rPr>
                <w:rFonts w:ascii="Arial" w:cs="Arial" w:eastAsia="Arial" w:hAnsi="Arial"/>
                <w:sz w:val="14"/>
                <w:szCs w:val="14"/>
                <w:color w:val="2D3243"/>
              </w:rPr>
              <w:t>54,375</w:t>
            </w:r>
          </w:p>
        </w:tc>
        <w:tc>
          <w:tcPr>
            <w:tcW w:w="1620" w:type="dxa"/>
            <w:vAlign w:val="bottom"/>
          </w:tcPr>
          <w:p>
            <w:pPr>
              <w:jc w:val="right"/>
              <w:ind w:right="368"/>
              <w:spacing w:after="0"/>
              <w:rPr>
                <w:sz w:val="20"/>
                <w:szCs w:val="20"/>
                <w:color w:val="auto"/>
              </w:rPr>
            </w:pPr>
            <w:r>
              <w:rPr>
                <w:rFonts w:ascii="Arial" w:cs="Arial" w:eastAsia="Arial" w:hAnsi="Arial"/>
                <w:sz w:val="14"/>
                <w:szCs w:val="14"/>
                <w:color w:val="2D3243"/>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2D3243"/>
              </w:rPr>
              <w:t>8.13</w:t>
            </w:r>
          </w:p>
        </w:tc>
        <w:tc>
          <w:tcPr>
            <w:tcW w:w="1080" w:type="dxa"/>
            <w:vAlign w:val="bottom"/>
          </w:tcPr>
          <w:p>
            <w:pPr>
              <w:jc w:val="center"/>
              <w:ind w:right="168"/>
              <w:spacing w:after="0"/>
              <w:rPr>
                <w:sz w:val="20"/>
                <w:szCs w:val="20"/>
                <w:color w:val="auto"/>
              </w:rPr>
            </w:pPr>
            <w:r>
              <w:rPr>
                <w:rFonts w:ascii="Arial" w:cs="Arial" w:eastAsia="Arial" w:hAnsi="Arial"/>
                <w:sz w:val="14"/>
                <w:szCs w:val="14"/>
                <w:color w:val="2D3243"/>
              </w:rPr>
              <w:t>03/09/26</w:t>
            </w: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24"/>
        </w:trPr>
        <w:tc>
          <w:tcPr>
            <w:tcW w:w="2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2D3243"/>
              </w:rPr>
              <w:t>02/23/17</w:t>
            </w:r>
          </w:p>
        </w:tc>
        <w:tc>
          <w:tcPr>
            <w:tcW w:w="1560" w:type="dxa"/>
            <w:vAlign w:val="bottom"/>
          </w:tcPr>
          <w:p>
            <w:pPr>
              <w:jc w:val="right"/>
              <w:ind w:right="208"/>
              <w:spacing w:after="0"/>
              <w:rPr>
                <w:sz w:val="20"/>
                <w:szCs w:val="20"/>
                <w:color w:val="auto"/>
              </w:rPr>
            </w:pPr>
            <w:r>
              <w:rPr>
                <w:rFonts w:ascii="Arial" w:cs="Arial" w:eastAsia="Arial" w:hAnsi="Arial"/>
                <w:sz w:val="14"/>
                <w:szCs w:val="14"/>
                <w:color w:val="2D3243"/>
              </w:rPr>
              <w:t>181,020</w:t>
            </w:r>
          </w:p>
        </w:tc>
        <w:tc>
          <w:tcPr>
            <w:tcW w:w="1620" w:type="dxa"/>
            <w:vAlign w:val="bottom"/>
          </w:tcPr>
          <w:p>
            <w:pPr>
              <w:jc w:val="right"/>
              <w:ind w:right="368"/>
              <w:spacing w:after="0"/>
              <w:rPr>
                <w:sz w:val="20"/>
                <w:szCs w:val="20"/>
                <w:color w:val="auto"/>
              </w:rPr>
            </w:pPr>
            <w:r>
              <w:rPr>
                <w:rFonts w:ascii="Arial" w:cs="Arial" w:eastAsia="Arial" w:hAnsi="Arial"/>
                <w:sz w:val="14"/>
                <w:szCs w:val="14"/>
                <w:color w:val="2D3243"/>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2D3243"/>
              </w:rPr>
              <w:t>16.25</w:t>
            </w:r>
          </w:p>
        </w:tc>
        <w:tc>
          <w:tcPr>
            <w:tcW w:w="1080" w:type="dxa"/>
            <w:vAlign w:val="bottom"/>
          </w:tcPr>
          <w:p>
            <w:pPr>
              <w:jc w:val="center"/>
              <w:ind w:right="168"/>
              <w:spacing w:after="0"/>
              <w:rPr>
                <w:sz w:val="20"/>
                <w:szCs w:val="20"/>
                <w:color w:val="auto"/>
              </w:rPr>
            </w:pPr>
            <w:r>
              <w:rPr>
                <w:rFonts w:ascii="Arial" w:cs="Arial" w:eastAsia="Arial" w:hAnsi="Arial"/>
                <w:sz w:val="14"/>
                <w:szCs w:val="14"/>
                <w:color w:val="2D3243"/>
              </w:rPr>
              <w:t>02/23/27</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2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2D3243"/>
              </w:rPr>
              <w:t>12/12/22</w:t>
            </w:r>
          </w:p>
        </w:tc>
        <w:tc>
          <w:tcPr>
            <w:tcW w:w="1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2D3243"/>
              </w:rPr>
              <w:t>149,933</w:t>
            </w:r>
          </w:p>
        </w:tc>
        <w:tc>
          <w:tcPr>
            <w:tcW w:w="800" w:type="dxa"/>
            <w:vAlign w:val="bottom"/>
          </w:tcPr>
          <w:p>
            <w:pPr>
              <w:jc w:val="right"/>
              <w:ind w:right="613"/>
              <w:spacing w:after="0"/>
              <w:rPr>
                <w:sz w:val="20"/>
                <w:szCs w:val="20"/>
                <w:color w:val="auto"/>
              </w:rPr>
            </w:pPr>
            <w:r>
              <w:rPr>
                <w:rFonts w:ascii="Arial" w:cs="Arial" w:eastAsia="Arial" w:hAnsi="Arial"/>
                <w:sz w:val="9"/>
                <w:szCs w:val="9"/>
                <w:color w:val="2D3243"/>
              </w:rPr>
              <w:t>(4)</w:t>
            </w:r>
          </w:p>
        </w:tc>
        <w:tc>
          <w:tcPr>
            <w:tcW w:w="1000" w:type="dxa"/>
            <w:vAlign w:val="bottom"/>
          </w:tcPr>
          <w:p>
            <w:pPr>
              <w:jc w:val="right"/>
              <w:ind w:right="88"/>
              <w:spacing w:after="0"/>
              <w:rPr>
                <w:sz w:val="20"/>
                <w:szCs w:val="20"/>
                <w:color w:val="auto"/>
              </w:rPr>
            </w:pPr>
            <w:r>
              <w:rPr>
                <w:rFonts w:ascii="Arial" w:cs="Arial" w:eastAsia="Arial" w:hAnsi="Arial"/>
                <w:sz w:val="14"/>
                <w:szCs w:val="14"/>
                <w:color w:val="2D3243"/>
              </w:rPr>
              <w:t>11,798,228</w:t>
            </w:r>
          </w:p>
        </w:tc>
      </w:tr>
      <w:tr>
        <w:trPr>
          <w:trHeight w:val="324"/>
        </w:trPr>
        <w:tc>
          <w:tcPr>
            <w:tcW w:w="2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2D3243"/>
              </w:rPr>
              <w:t>12/12/22</w:t>
            </w:r>
          </w:p>
        </w:tc>
        <w:tc>
          <w:tcPr>
            <w:tcW w:w="1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2D3243"/>
              </w:rPr>
              <w:t>224,899</w:t>
            </w:r>
          </w:p>
        </w:tc>
        <w:tc>
          <w:tcPr>
            <w:tcW w:w="800" w:type="dxa"/>
            <w:vAlign w:val="bottom"/>
          </w:tcPr>
          <w:p>
            <w:pPr>
              <w:jc w:val="right"/>
              <w:ind w:right="613"/>
              <w:spacing w:after="0"/>
              <w:rPr>
                <w:sz w:val="20"/>
                <w:szCs w:val="20"/>
                <w:color w:val="auto"/>
              </w:rPr>
            </w:pPr>
            <w:r>
              <w:rPr>
                <w:rFonts w:ascii="Arial" w:cs="Arial" w:eastAsia="Arial" w:hAnsi="Arial"/>
                <w:sz w:val="9"/>
                <w:szCs w:val="9"/>
                <w:color w:val="2D3243"/>
              </w:rPr>
              <w:t>(5)</w:t>
            </w:r>
          </w:p>
        </w:tc>
        <w:tc>
          <w:tcPr>
            <w:tcW w:w="1000" w:type="dxa"/>
            <w:vAlign w:val="bottom"/>
          </w:tcPr>
          <w:p>
            <w:pPr>
              <w:jc w:val="right"/>
              <w:ind w:right="88"/>
              <w:spacing w:after="0"/>
              <w:rPr>
                <w:sz w:val="20"/>
                <w:szCs w:val="20"/>
                <w:color w:val="auto"/>
              </w:rPr>
            </w:pPr>
            <w:r>
              <w:rPr>
                <w:rFonts w:ascii="Arial" w:cs="Arial" w:eastAsia="Arial" w:hAnsi="Arial"/>
                <w:sz w:val="14"/>
                <w:szCs w:val="14"/>
                <w:color w:val="2D3243"/>
              </w:rPr>
              <w:t>17,697,302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2031365" cy="22631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31365" cy="226314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-1623060</wp:posOffset>
            </wp:positionV>
            <wp:extent cx="50406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9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Barry Zwarenstein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3243"/>
        </w:rPr>
        <w:t>Daniel Burkland</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020" w:type="dxa"/>
            <w:vAlign w:val="bottom"/>
            <w:shd w:val="clear" w:color="auto" w:fill="F0F1F2"/>
          </w:tcPr>
          <w:p>
            <w:pPr>
              <w:jc w:val="right"/>
              <w:ind w:right="148"/>
              <w:spacing w:after="0"/>
              <w:rPr>
                <w:sz w:val="20"/>
                <w:szCs w:val="20"/>
                <w:color w:val="auto"/>
              </w:rPr>
            </w:pPr>
            <w:r>
              <w:rPr>
                <w:rFonts w:ascii="Arial" w:cs="Arial" w:eastAsia="Arial" w:hAnsi="Arial"/>
                <w:sz w:val="14"/>
                <w:szCs w:val="14"/>
                <w:color w:val="2D3243"/>
              </w:rPr>
              <w:t>02/26/18</w:t>
            </w:r>
          </w:p>
        </w:tc>
        <w:tc>
          <w:tcPr>
            <w:tcW w:w="13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55,376</w:t>
            </w:r>
          </w:p>
        </w:tc>
        <w:tc>
          <w:tcPr>
            <w:tcW w:w="14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360" w:type="dxa"/>
            <w:vAlign w:val="bottom"/>
            <w:shd w:val="clear" w:color="auto" w:fill="F0F1F2"/>
          </w:tcPr>
          <w:p>
            <w:pPr>
              <w:spacing w:after="0"/>
              <w:rPr>
                <w:sz w:val="21"/>
                <w:szCs w:val="21"/>
                <w:color w:val="auto"/>
              </w:rPr>
            </w:pPr>
          </w:p>
        </w:tc>
        <w:tc>
          <w:tcPr>
            <w:tcW w:w="78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29.89</w:t>
            </w:r>
          </w:p>
        </w:tc>
        <w:tc>
          <w:tcPr>
            <w:tcW w:w="1100" w:type="dxa"/>
            <w:vAlign w:val="bottom"/>
            <w:shd w:val="clear" w:color="auto" w:fill="F0F1F2"/>
          </w:tcPr>
          <w:p>
            <w:pPr>
              <w:jc w:val="right"/>
              <w:ind w:right="208"/>
              <w:spacing w:after="0"/>
              <w:rPr>
                <w:sz w:val="20"/>
                <w:szCs w:val="20"/>
                <w:color w:val="auto"/>
              </w:rPr>
            </w:pPr>
            <w:r>
              <w:rPr>
                <w:rFonts w:ascii="Arial" w:cs="Arial" w:eastAsia="Arial" w:hAnsi="Arial"/>
                <w:sz w:val="14"/>
                <w:szCs w:val="14"/>
                <w:color w:val="2D3243"/>
              </w:rPr>
              <w:t>02/26/28</w:t>
            </w:r>
          </w:p>
        </w:tc>
        <w:tc>
          <w:tcPr>
            <w:tcW w:w="1180" w:type="dxa"/>
            <w:vAlign w:val="bottom"/>
            <w:shd w:val="clear" w:color="auto" w:fill="F0F1F2"/>
          </w:tcPr>
          <w:p>
            <w:pPr>
              <w:spacing w:after="0"/>
              <w:rPr>
                <w:sz w:val="21"/>
                <w:szCs w:val="21"/>
                <w:color w:val="auto"/>
              </w:rPr>
            </w:pPr>
          </w:p>
        </w:tc>
        <w:tc>
          <w:tcPr>
            <w:tcW w:w="620" w:type="dxa"/>
            <w:vAlign w:val="bottom"/>
            <w:shd w:val="clear" w:color="auto" w:fill="F0F1F2"/>
          </w:tcPr>
          <w:p>
            <w:pPr>
              <w:spacing w:after="0"/>
              <w:rPr>
                <w:sz w:val="21"/>
                <w:szCs w:val="21"/>
                <w:color w:val="auto"/>
              </w:rPr>
            </w:pPr>
          </w:p>
        </w:tc>
        <w:tc>
          <w:tcPr>
            <w:tcW w:w="1200" w:type="dxa"/>
            <w:vAlign w:val="bottom"/>
            <w:shd w:val="clear" w:color="auto" w:fill="F0F1F2"/>
          </w:tcPr>
          <w:p>
            <w:pPr>
              <w:spacing w:after="0"/>
              <w:rPr>
                <w:sz w:val="21"/>
                <w:szCs w:val="21"/>
                <w:color w:val="auto"/>
              </w:rPr>
            </w:pPr>
          </w:p>
        </w:tc>
      </w:tr>
      <w:tr>
        <w:trPr>
          <w:trHeight w:val="76"/>
        </w:trPr>
        <w:tc>
          <w:tcPr>
            <w:tcW w:w="1020" w:type="dxa"/>
            <w:vAlign w:val="bottom"/>
            <w:shd w:val="clear" w:color="auto" w:fill="F0F1F2"/>
          </w:tcPr>
          <w:p>
            <w:pPr>
              <w:spacing w:after="0"/>
              <w:rPr>
                <w:sz w:val="6"/>
                <w:szCs w:val="6"/>
                <w:color w:val="auto"/>
              </w:rPr>
            </w:pPr>
          </w:p>
        </w:tc>
        <w:tc>
          <w:tcPr>
            <w:tcW w:w="1320" w:type="dxa"/>
            <w:vAlign w:val="bottom"/>
            <w:shd w:val="clear" w:color="auto" w:fill="F0F1F2"/>
          </w:tcPr>
          <w:p>
            <w:pPr>
              <w:spacing w:after="0"/>
              <w:rPr>
                <w:sz w:val="6"/>
                <w:szCs w:val="6"/>
                <w:color w:val="auto"/>
              </w:rPr>
            </w:pPr>
          </w:p>
        </w:tc>
        <w:tc>
          <w:tcPr>
            <w:tcW w:w="1480" w:type="dxa"/>
            <w:vAlign w:val="bottom"/>
            <w:shd w:val="clear" w:color="auto" w:fill="F0F1F2"/>
          </w:tcPr>
          <w:p>
            <w:pPr>
              <w:spacing w:after="0"/>
              <w:rPr>
                <w:sz w:val="6"/>
                <w:szCs w:val="6"/>
                <w:color w:val="auto"/>
              </w:rPr>
            </w:pPr>
          </w:p>
        </w:tc>
        <w:tc>
          <w:tcPr>
            <w:tcW w:w="360" w:type="dxa"/>
            <w:vAlign w:val="bottom"/>
            <w:shd w:val="clear" w:color="auto" w:fill="F0F1F2"/>
          </w:tcPr>
          <w:p>
            <w:pPr>
              <w:spacing w:after="0"/>
              <w:rPr>
                <w:sz w:val="6"/>
                <w:szCs w:val="6"/>
                <w:color w:val="auto"/>
              </w:rPr>
            </w:pPr>
          </w:p>
        </w:tc>
        <w:tc>
          <w:tcPr>
            <w:tcW w:w="780" w:type="dxa"/>
            <w:vAlign w:val="bottom"/>
            <w:shd w:val="clear" w:color="auto" w:fill="F0F1F2"/>
          </w:tcPr>
          <w:p>
            <w:pPr>
              <w:spacing w:after="0"/>
              <w:rPr>
                <w:sz w:val="6"/>
                <w:szCs w:val="6"/>
                <w:color w:val="auto"/>
              </w:rPr>
            </w:pPr>
          </w:p>
        </w:tc>
        <w:tc>
          <w:tcPr>
            <w:tcW w:w="1100" w:type="dxa"/>
            <w:vAlign w:val="bottom"/>
            <w:shd w:val="clear" w:color="auto" w:fill="F0F1F2"/>
          </w:tcPr>
          <w:p>
            <w:pPr>
              <w:spacing w:after="0"/>
              <w:rPr>
                <w:sz w:val="6"/>
                <w:szCs w:val="6"/>
                <w:color w:val="auto"/>
              </w:rPr>
            </w:pPr>
          </w:p>
        </w:tc>
        <w:tc>
          <w:tcPr>
            <w:tcW w:w="1180" w:type="dxa"/>
            <w:vAlign w:val="bottom"/>
            <w:shd w:val="clear" w:color="auto" w:fill="F0F1F2"/>
          </w:tcPr>
          <w:p>
            <w:pPr>
              <w:spacing w:after="0"/>
              <w:rPr>
                <w:sz w:val="6"/>
                <w:szCs w:val="6"/>
                <w:color w:val="auto"/>
              </w:rPr>
            </w:pPr>
          </w:p>
        </w:tc>
        <w:tc>
          <w:tcPr>
            <w:tcW w:w="620" w:type="dxa"/>
            <w:vAlign w:val="bottom"/>
            <w:shd w:val="clear" w:color="auto" w:fill="F0F1F2"/>
          </w:tcPr>
          <w:p>
            <w:pPr>
              <w:spacing w:after="0"/>
              <w:rPr>
                <w:sz w:val="6"/>
                <w:szCs w:val="6"/>
                <w:color w:val="auto"/>
              </w:rPr>
            </w:pPr>
          </w:p>
        </w:tc>
        <w:tc>
          <w:tcPr>
            <w:tcW w:w="1200" w:type="dxa"/>
            <w:vAlign w:val="bottom"/>
            <w:shd w:val="clear" w:color="auto" w:fill="F0F1F2"/>
          </w:tcPr>
          <w:p>
            <w:pPr>
              <w:spacing w:after="0"/>
              <w:rPr>
                <w:sz w:val="6"/>
                <w:szCs w:val="6"/>
                <w:color w:val="auto"/>
              </w:rPr>
            </w:pPr>
          </w:p>
        </w:tc>
      </w:tr>
      <w:tr>
        <w:trPr>
          <w:trHeight w:val="248"/>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02/22/19</w:t>
            </w:r>
          </w:p>
        </w:tc>
        <w:tc>
          <w:tcPr>
            <w:tcW w:w="13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25,486</w:t>
            </w:r>
          </w:p>
        </w:tc>
        <w:tc>
          <w:tcPr>
            <w:tcW w:w="14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360" w:type="dxa"/>
            <w:vAlign w:val="bottom"/>
            <w:shd w:val="clear" w:color="auto" w:fill="F0F1F2"/>
          </w:tcPr>
          <w:p>
            <w:pPr>
              <w:spacing w:after="0"/>
              <w:rPr>
                <w:sz w:val="21"/>
                <w:szCs w:val="21"/>
                <w:color w:val="auto"/>
              </w:rPr>
            </w:pPr>
          </w:p>
        </w:tc>
        <w:tc>
          <w:tcPr>
            <w:tcW w:w="78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53.00</w:t>
            </w:r>
          </w:p>
        </w:tc>
        <w:tc>
          <w:tcPr>
            <w:tcW w:w="1100" w:type="dxa"/>
            <w:vAlign w:val="bottom"/>
            <w:shd w:val="clear" w:color="auto" w:fill="F0F1F2"/>
          </w:tcPr>
          <w:p>
            <w:pPr>
              <w:jc w:val="right"/>
              <w:ind w:right="208"/>
              <w:spacing w:after="0"/>
              <w:rPr>
                <w:sz w:val="20"/>
                <w:szCs w:val="20"/>
                <w:color w:val="auto"/>
              </w:rPr>
            </w:pPr>
            <w:r>
              <w:rPr>
                <w:rFonts w:ascii="Arial" w:cs="Arial" w:eastAsia="Arial" w:hAnsi="Arial"/>
                <w:sz w:val="14"/>
                <w:szCs w:val="14"/>
                <w:color w:val="2D3243"/>
              </w:rPr>
              <w:t>02/22/29</w:t>
            </w:r>
          </w:p>
        </w:tc>
        <w:tc>
          <w:tcPr>
            <w:tcW w:w="1180" w:type="dxa"/>
            <w:vAlign w:val="bottom"/>
            <w:shd w:val="clear" w:color="auto" w:fill="F0F1F2"/>
          </w:tcPr>
          <w:p>
            <w:pPr>
              <w:spacing w:after="0"/>
              <w:rPr>
                <w:sz w:val="21"/>
                <w:szCs w:val="21"/>
                <w:color w:val="auto"/>
              </w:rPr>
            </w:pPr>
          </w:p>
        </w:tc>
        <w:tc>
          <w:tcPr>
            <w:tcW w:w="620" w:type="dxa"/>
            <w:vAlign w:val="bottom"/>
            <w:shd w:val="clear" w:color="auto" w:fill="F0F1F2"/>
          </w:tcPr>
          <w:p>
            <w:pPr>
              <w:spacing w:after="0"/>
              <w:rPr>
                <w:sz w:val="21"/>
                <w:szCs w:val="21"/>
                <w:color w:val="auto"/>
              </w:rPr>
            </w:pPr>
          </w:p>
        </w:tc>
        <w:tc>
          <w:tcPr>
            <w:tcW w:w="1200" w:type="dxa"/>
            <w:vAlign w:val="bottom"/>
            <w:shd w:val="clear" w:color="auto" w:fill="F0F1F2"/>
          </w:tcPr>
          <w:p>
            <w:pPr>
              <w:spacing w:after="0"/>
              <w:rPr>
                <w:sz w:val="21"/>
                <w:szCs w:val="21"/>
                <w:color w:val="auto"/>
              </w:rPr>
            </w:pP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02/24/20</w:t>
            </w:r>
          </w:p>
        </w:tc>
        <w:tc>
          <w:tcPr>
            <w:tcW w:w="13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16,769</w:t>
            </w:r>
          </w:p>
        </w:tc>
        <w:tc>
          <w:tcPr>
            <w:tcW w:w="14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730</w:t>
            </w:r>
          </w:p>
        </w:tc>
        <w:tc>
          <w:tcPr>
            <w:tcW w:w="360" w:type="dxa"/>
            <w:vAlign w:val="bottom"/>
            <w:shd w:val="clear" w:color="auto" w:fill="F0F1F2"/>
          </w:tcPr>
          <w:p>
            <w:pPr>
              <w:ind w:left="20"/>
              <w:spacing w:after="0"/>
              <w:rPr>
                <w:sz w:val="20"/>
                <w:szCs w:val="20"/>
                <w:color w:val="auto"/>
              </w:rPr>
            </w:pPr>
            <w:r>
              <w:rPr>
                <w:rFonts w:ascii="Arial" w:cs="Arial" w:eastAsia="Arial" w:hAnsi="Arial"/>
                <w:sz w:val="9"/>
                <w:szCs w:val="9"/>
                <w:color w:val="2D3243"/>
              </w:rPr>
              <w:t>(2)</w:t>
            </w:r>
          </w:p>
        </w:tc>
        <w:tc>
          <w:tcPr>
            <w:tcW w:w="78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72.29</w:t>
            </w:r>
          </w:p>
        </w:tc>
        <w:tc>
          <w:tcPr>
            <w:tcW w:w="1100" w:type="dxa"/>
            <w:vAlign w:val="bottom"/>
            <w:shd w:val="clear" w:color="auto" w:fill="F0F1F2"/>
          </w:tcPr>
          <w:p>
            <w:pPr>
              <w:jc w:val="right"/>
              <w:ind w:right="208"/>
              <w:spacing w:after="0"/>
              <w:rPr>
                <w:sz w:val="20"/>
                <w:szCs w:val="20"/>
                <w:color w:val="auto"/>
              </w:rPr>
            </w:pPr>
            <w:r>
              <w:rPr>
                <w:rFonts w:ascii="Arial" w:cs="Arial" w:eastAsia="Arial" w:hAnsi="Arial"/>
                <w:sz w:val="14"/>
                <w:szCs w:val="14"/>
                <w:color w:val="2D3243"/>
              </w:rPr>
              <w:t>02/24/30</w:t>
            </w:r>
          </w:p>
        </w:tc>
        <w:tc>
          <w:tcPr>
            <w:tcW w:w="1180" w:type="dxa"/>
            <w:vAlign w:val="bottom"/>
            <w:shd w:val="clear" w:color="auto" w:fill="F0F1F2"/>
          </w:tcPr>
          <w:p>
            <w:pPr>
              <w:spacing w:after="0"/>
              <w:rPr>
                <w:sz w:val="24"/>
                <w:szCs w:val="24"/>
                <w:color w:val="auto"/>
              </w:rPr>
            </w:pPr>
          </w:p>
        </w:tc>
        <w:tc>
          <w:tcPr>
            <w:tcW w:w="620" w:type="dxa"/>
            <w:vAlign w:val="bottom"/>
            <w:shd w:val="clear" w:color="auto" w:fill="F0F1F2"/>
          </w:tcPr>
          <w:p>
            <w:pPr>
              <w:spacing w:after="0"/>
              <w:rPr>
                <w:sz w:val="24"/>
                <w:szCs w:val="24"/>
                <w:color w:val="auto"/>
              </w:rPr>
            </w:pPr>
          </w:p>
        </w:tc>
        <w:tc>
          <w:tcPr>
            <w:tcW w:w="1200" w:type="dxa"/>
            <w:vAlign w:val="bottom"/>
            <w:shd w:val="clear" w:color="auto" w:fill="F0F1F2"/>
          </w:tcPr>
          <w:p>
            <w:pPr>
              <w:spacing w:after="0"/>
              <w:rPr>
                <w:sz w:val="24"/>
                <w:szCs w:val="24"/>
                <w:color w:val="auto"/>
              </w:rPr>
            </w:pP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02/25/21</w:t>
            </w:r>
          </w:p>
        </w:tc>
        <w:tc>
          <w:tcPr>
            <w:tcW w:w="13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8,090</w:t>
            </w:r>
          </w:p>
        </w:tc>
        <w:tc>
          <w:tcPr>
            <w:tcW w:w="14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3,332</w:t>
            </w:r>
          </w:p>
        </w:tc>
        <w:tc>
          <w:tcPr>
            <w:tcW w:w="360" w:type="dxa"/>
            <w:vAlign w:val="bottom"/>
            <w:shd w:val="clear" w:color="auto" w:fill="F0F1F2"/>
          </w:tcPr>
          <w:p>
            <w:pPr>
              <w:ind w:left="20"/>
              <w:spacing w:after="0"/>
              <w:rPr>
                <w:sz w:val="20"/>
                <w:szCs w:val="20"/>
                <w:color w:val="auto"/>
              </w:rPr>
            </w:pPr>
            <w:r>
              <w:rPr>
                <w:rFonts w:ascii="Arial" w:cs="Arial" w:eastAsia="Arial" w:hAnsi="Arial"/>
                <w:sz w:val="9"/>
                <w:szCs w:val="9"/>
                <w:color w:val="2D3243"/>
              </w:rPr>
              <w:t>(2)</w:t>
            </w:r>
          </w:p>
        </w:tc>
        <w:tc>
          <w:tcPr>
            <w:tcW w:w="78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181.20</w:t>
            </w:r>
          </w:p>
        </w:tc>
        <w:tc>
          <w:tcPr>
            <w:tcW w:w="1100" w:type="dxa"/>
            <w:vAlign w:val="bottom"/>
            <w:shd w:val="clear" w:color="auto" w:fill="F0F1F2"/>
          </w:tcPr>
          <w:p>
            <w:pPr>
              <w:jc w:val="right"/>
              <w:ind w:right="208"/>
              <w:spacing w:after="0"/>
              <w:rPr>
                <w:sz w:val="20"/>
                <w:szCs w:val="20"/>
                <w:color w:val="auto"/>
              </w:rPr>
            </w:pPr>
            <w:r>
              <w:rPr>
                <w:rFonts w:ascii="Arial" w:cs="Arial" w:eastAsia="Arial" w:hAnsi="Arial"/>
                <w:sz w:val="14"/>
                <w:szCs w:val="14"/>
                <w:color w:val="2D3243"/>
              </w:rPr>
              <w:t>02/25/31</w:t>
            </w:r>
          </w:p>
        </w:tc>
        <w:tc>
          <w:tcPr>
            <w:tcW w:w="1180" w:type="dxa"/>
            <w:vAlign w:val="bottom"/>
            <w:shd w:val="clear" w:color="auto" w:fill="F0F1F2"/>
          </w:tcPr>
          <w:p>
            <w:pPr>
              <w:spacing w:after="0"/>
              <w:rPr>
                <w:sz w:val="24"/>
                <w:szCs w:val="24"/>
                <w:color w:val="auto"/>
              </w:rPr>
            </w:pPr>
          </w:p>
        </w:tc>
        <w:tc>
          <w:tcPr>
            <w:tcW w:w="620" w:type="dxa"/>
            <w:vAlign w:val="bottom"/>
            <w:shd w:val="clear" w:color="auto" w:fill="F0F1F2"/>
          </w:tcPr>
          <w:p>
            <w:pPr>
              <w:spacing w:after="0"/>
              <w:rPr>
                <w:sz w:val="24"/>
                <w:szCs w:val="24"/>
                <w:color w:val="auto"/>
              </w:rPr>
            </w:pPr>
          </w:p>
        </w:tc>
        <w:tc>
          <w:tcPr>
            <w:tcW w:w="1200" w:type="dxa"/>
            <w:vAlign w:val="bottom"/>
            <w:shd w:val="clear" w:color="auto" w:fill="F0F1F2"/>
          </w:tcPr>
          <w:p>
            <w:pPr>
              <w:spacing w:after="0"/>
              <w:rPr>
                <w:sz w:val="24"/>
                <w:szCs w:val="24"/>
                <w:color w:val="auto"/>
              </w:rPr>
            </w:pP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02/24/20</w:t>
            </w:r>
          </w:p>
        </w:tc>
        <w:tc>
          <w:tcPr>
            <w:tcW w:w="1320" w:type="dxa"/>
            <w:vAlign w:val="bottom"/>
            <w:shd w:val="clear" w:color="auto" w:fill="F0F1F2"/>
          </w:tcPr>
          <w:p>
            <w:pPr>
              <w:spacing w:after="0"/>
              <w:rPr>
                <w:sz w:val="24"/>
                <w:szCs w:val="24"/>
                <w:color w:val="auto"/>
              </w:rPr>
            </w:pPr>
          </w:p>
        </w:tc>
        <w:tc>
          <w:tcPr>
            <w:tcW w:w="148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2280" w:type="dxa"/>
            <w:vAlign w:val="bottom"/>
            <w:gridSpan w:val="2"/>
            <w:shd w:val="clear" w:color="auto" w:fill="F0F1F2"/>
          </w:tcPr>
          <w:p>
            <w:pPr>
              <w:jc w:val="right"/>
              <w:spacing w:after="0"/>
              <w:rPr>
                <w:sz w:val="20"/>
                <w:szCs w:val="20"/>
                <w:color w:val="auto"/>
              </w:rPr>
            </w:pPr>
            <w:r>
              <w:rPr>
                <w:rFonts w:ascii="Arial" w:cs="Arial" w:eastAsia="Arial" w:hAnsi="Arial"/>
                <w:sz w:val="14"/>
                <w:szCs w:val="14"/>
                <w:color w:val="2D3243"/>
              </w:rPr>
              <w:t>1,521</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(6)</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119,687</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02/25/21</w:t>
            </w:r>
          </w:p>
        </w:tc>
        <w:tc>
          <w:tcPr>
            <w:tcW w:w="1320" w:type="dxa"/>
            <w:vAlign w:val="bottom"/>
            <w:shd w:val="clear" w:color="auto" w:fill="F0F1F2"/>
          </w:tcPr>
          <w:p>
            <w:pPr>
              <w:spacing w:after="0"/>
              <w:rPr>
                <w:sz w:val="24"/>
                <w:szCs w:val="24"/>
                <w:color w:val="auto"/>
              </w:rPr>
            </w:pPr>
          </w:p>
        </w:tc>
        <w:tc>
          <w:tcPr>
            <w:tcW w:w="148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2280" w:type="dxa"/>
            <w:vAlign w:val="bottom"/>
            <w:gridSpan w:val="2"/>
            <w:shd w:val="clear" w:color="auto" w:fill="F0F1F2"/>
          </w:tcPr>
          <w:p>
            <w:pPr>
              <w:jc w:val="right"/>
              <w:spacing w:after="0"/>
              <w:rPr>
                <w:sz w:val="20"/>
                <w:szCs w:val="20"/>
                <w:color w:val="auto"/>
              </w:rPr>
            </w:pPr>
            <w:r>
              <w:rPr>
                <w:rFonts w:ascii="Arial" w:cs="Arial" w:eastAsia="Arial" w:hAnsi="Arial"/>
                <w:sz w:val="14"/>
                <w:szCs w:val="14"/>
                <w:color w:val="2D3243"/>
              </w:rPr>
              <w:t>4,724</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(6)</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371,732</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02/28/22</w:t>
            </w:r>
          </w:p>
        </w:tc>
        <w:tc>
          <w:tcPr>
            <w:tcW w:w="1320" w:type="dxa"/>
            <w:vAlign w:val="bottom"/>
            <w:shd w:val="clear" w:color="auto" w:fill="F0F1F2"/>
          </w:tcPr>
          <w:p>
            <w:pPr>
              <w:spacing w:after="0"/>
              <w:rPr>
                <w:sz w:val="24"/>
                <w:szCs w:val="24"/>
                <w:color w:val="auto"/>
              </w:rPr>
            </w:pPr>
          </w:p>
        </w:tc>
        <w:tc>
          <w:tcPr>
            <w:tcW w:w="148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1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11,889</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(6)</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935,545</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02/28/22</w:t>
            </w:r>
          </w:p>
        </w:tc>
        <w:tc>
          <w:tcPr>
            <w:tcW w:w="1320" w:type="dxa"/>
            <w:vAlign w:val="bottom"/>
            <w:shd w:val="clear" w:color="auto" w:fill="F0F1F2"/>
          </w:tcPr>
          <w:p>
            <w:pPr>
              <w:spacing w:after="0"/>
              <w:rPr>
                <w:sz w:val="24"/>
                <w:szCs w:val="24"/>
                <w:color w:val="auto"/>
              </w:rPr>
            </w:pPr>
          </w:p>
        </w:tc>
        <w:tc>
          <w:tcPr>
            <w:tcW w:w="148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1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4,697</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(7)</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369,607</w:t>
            </w:r>
          </w:p>
        </w:tc>
      </w:tr>
      <w:tr>
        <w:trPr>
          <w:trHeight w:val="324"/>
        </w:trPr>
        <w:tc>
          <w:tcPr>
            <w:tcW w:w="1020" w:type="dxa"/>
            <w:vAlign w:val="bottom"/>
          </w:tcPr>
          <w:p>
            <w:pPr>
              <w:jc w:val="right"/>
              <w:ind w:right="168"/>
              <w:spacing w:after="0"/>
              <w:rPr>
                <w:sz w:val="20"/>
                <w:szCs w:val="20"/>
                <w:color w:val="auto"/>
              </w:rPr>
            </w:pPr>
            <w:r>
              <w:rPr>
                <w:rFonts w:ascii="Arial" w:cs="Arial" w:eastAsia="Arial" w:hAnsi="Arial"/>
                <w:sz w:val="14"/>
                <w:szCs w:val="14"/>
                <w:color w:val="2D3243"/>
              </w:rPr>
              <w:t>11/23/22</w:t>
            </w:r>
          </w:p>
        </w:tc>
        <w:tc>
          <w:tcPr>
            <w:tcW w:w="1320" w:type="dxa"/>
            <w:vAlign w:val="bottom"/>
            <w:shd w:val="clear" w:color="auto" w:fill="F0F1F2"/>
          </w:tcPr>
          <w:p>
            <w:pPr>
              <w:spacing w:after="0"/>
              <w:rPr>
                <w:sz w:val="24"/>
                <w:szCs w:val="24"/>
                <w:color w:val="auto"/>
              </w:rPr>
            </w:pPr>
          </w:p>
        </w:tc>
        <w:tc>
          <w:tcPr>
            <w:tcW w:w="148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1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11,769</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(8)</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926,103</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02/27/23</w:t>
            </w:r>
          </w:p>
        </w:tc>
        <w:tc>
          <w:tcPr>
            <w:tcW w:w="1320" w:type="dxa"/>
            <w:vAlign w:val="bottom"/>
            <w:shd w:val="clear" w:color="auto" w:fill="F0F1F2"/>
          </w:tcPr>
          <w:p>
            <w:pPr>
              <w:spacing w:after="0"/>
              <w:rPr>
                <w:sz w:val="24"/>
                <w:szCs w:val="24"/>
                <w:color w:val="auto"/>
              </w:rPr>
            </w:pPr>
          </w:p>
        </w:tc>
        <w:tc>
          <w:tcPr>
            <w:tcW w:w="148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1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27,836</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(6)</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2,190,415</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02/27/23</w:t>
            </w:r>
          </w:p>
        </w:tc>
        <w:tc>
          <w:tcPr>
            <w:tcW w:w="1320" w:type="dxa"/>
            <w:vAlign w:val="bottom"/>
            <w:shd w:val="clear" w:color="auto" w:fill="F0F1F2"/>
          </w:tcPr>
          <w:p>
            <w:pPr>
              <w:spacing w:after="0"/>
              <w:rPr>
                <w:sz w:val="24"/>
                <w:szCs w:val="24"/>
                <w:color w:val="auto"/>
              </w:rPr>
            </w:pPr>
          </w:p>
        </w:tc>
        <w:tc>
          <w:tcPr>
            <w:tcW w:w="148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1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11,419</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(5)</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898,561</w:t>
            </w:r>
          </w:p>
        </w:tc>
      </w:tr>
      <w:tr>
        <w:trPr>
          <w:trHeight w:val="76"/>
        </w:trPr>
        <w:tc>
          <w:tcPr>
            <w:tcW w:w="1020" w:type="dxa"/>
            <w:vAlign w:val="bottom"/>
          </w:tcPr>
          <w:p>
            <w:pPr>
              <w:spacing w:after="0"/>
              <w:rPr>
                <w:sz w:val="6"/>
                <w:szCs w:val="6"/>
                <w:color w:val="auto"/>
              </w:rPr>
            </w:pPr>
          </w:p>
        </w:tc>
        <w:tc>
          <w:tcPr>
            <w:tcW w:w="1320" w:type="dxa"/>
            <w:vAlign w:val="bottom"/>
            <w:shd w:val="clear" w:color="auto" w:fill="F0F1F2"/>
          </w:tcPr>
          <w:p>
            <w:pPr>
              <w:spacing w:after="0"/>
              <w:rPr>
                <w:sz w:val="6"/>
                <w:szCs w:val="6"/>
                <w:color w:val="auto"/>
              </w:rPr>
            </w:pPr>
          </w:p>
        </w:tc>
        <w:tc>
          <w:tcPr>
            <w:tcW w:w="1480" w:type="dxa"/>
            <w:vAlign w:val="bottom"/>
            <w:shd w:val="clear" w:color="auto" w:fill="F0F1F2"/>
          </w:tcPr>
          <w:p>
            <w:pPr>
              <w:spacing w:after="0"/>
              <w:rPr>
                <w:sz w:val="6"/>
                <w:szCs w:val="6"/>
                <w:color w:val="auto"/>
              </w:rPr>
            </w:pPr>
          </w:p>
        </w:tc>
        <w:tc>
          <w:tcPr>
            <w:tcW w:w="360" w:type="dxa"/>
            <w:vAlign w:val="bottom"/>
            <w:shd w:val="clear" w:color="auto" w:fill="F0F1F2"/>
          </w:tcPr>
          <w:p>
            <w:pPr>
              <w:spacing w:after="0"/>
              <w:rPr>
                <w:sz w:val="6"/>
                <w:szCs w:val="6"/>
                <w:color w:val="auto"/>
              </w:rPr>
            </w:pPr>
          </w:p>
        </w:tc>
        <w:tc>
          <w:tcPr>
            <w:tcW w:w="780" w:type="dxa"/>
            <w:vAlign w:val="bottom"/>
            <w:shd w:val="clear" w:color="auto" w:fill="F0F1F2"/>
          </w:tcPr>
          <w:p>
            <w:pPr>
              <w:spacing w:after="0"/>
              <w:rPr>
                <w:sz w:val="6"/>
                <w:szCs w:val="6"/>
                <w:color w:val="auto"/>
              </w:rPr>
            </w:pPr>
          </w:p>
        </w:tc>
        <w:tc>
          <w:tcPr>
            <w:tcW w:w="1100" w:type="dxa"/>
            <w:vAlign w:val="bottom"/>
            <w:shd w:val="clear" w:color="auto" w:fill="F0F1F2"/>
          </w:tcPr>
          <w:p>
            <w:pPr>
              <w:spacing w:after="0"/>
              <w:rPr>
                <w:sz w:val="6"/>
                <w:szCs w:val="6"/>
                <w:color w:val="auto"/>
              </w:rPr>
            </w:pPr>
          </w:p>
        </w:tc>
        <w:tc>
          <w:tcPr>
            <w:tcW w:w="1180" w:type="dxa"/>
            <w:vAlign w:val="bottom"/>
            <w:shd w:val="clear" w:color="auto" w:fill="F0F1F2"/>
          </w:tcPr>
          <w:p>
            <w:pPr>
              <w:spacing w:after="0"/>
              <w:rPr>
                <w:sz w:val="6"/>
                <w:szCs w:val="6"/>
                <w:color w:val="auto"/>
              </w:rPr>
            </w:pPr>
          </w:p>
        </w:tc>
        <w:tc>
          <w:tcPr>
            <w:tcW w:w="620" w:type="dxa"/>
            <w:vAlign w:val="bottom"/>
            <w:shd w:val="clear" w:color="auto" w:fill="F0F1F2"/>
          </w:tcPr>
          <w:p>
            <w:pPr>
              <w:spacing w:after="0"/>
              <w:rPr>
                <w:sz w:val="6"/>
                <w:szCs w:val="6"/>
                <w:color w:val="auto"/>
              </w:rPr>
            </w:pPr>
          </w:p>
        </w:tc>
        <w:tc>
          <w:tcPr>
            <w:tcW w:w="1200" w:type="dxa"/>
            <w:vAlign w:val="bottom"/>
            <w:shd w:val="clear" w:color="auto" w:fill="F0F1F2"/>
          </w:tcPr>
          <w:p>
            <w:pPr>
              <w:spacing w:after="0"/>
              <w:rPr>
                <w:sz w:val="6"/>
                <w:szCs w:val="6"/>
                <w:color w:val="auto"/>
              </w:rPr>
            </w:pPr>
          </w:p>
        </w:tc>
      </w:tr>
      <w:tr>
        <w:trPr>
          <w:trHeight w:val="248"/>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03/09/16</w:t>
            </w:r>
          </w:p>
        </w:tc>
        <w:tc>
          <w:tcPr>
            <w:tcW w:w="1320" w:type="dxa"/>
            <w:vAlign w:val="bottom"/>
          </w:tcPr>
          <w:p>
            <w:pPr>
              <w:jc w:val="right"/>
              <w:spacing w:after="0"/>
              <w:rPr>
                <w:sz w:val="20"/>
                <w:szCs w:val="20"/>
                <w:color w:val="auto"/>
              </w:rPr>
            </w:pPr>
            <w:r>
              <w:rPr>
                <w:rFonts w:ascii="Arial" w:cs="Arial" w:eastAsia="Arial" w:hAnsi="Arial"/>
                <w:sz w:val="14"/>
                <w:szCs w:val="14"/>
                <w:color w:val="2D3243"/>
              </w:rPr>
              <w:t>882</w:t>
            </w:r>
          </w:p>
        </w:tc>
        <w:tc>
          <w:tcPr>
            <w:tcW w:w="1480" w:type="dxa"/>
            <w:vAlign w:val="bottom"/>
          </w:tcPr>
          <w:p>
            <w:pPr>
              <w:jc w:val="right"/>
              <w:spacing w:after="0"/>
              <w:rPr>
                <w:sz w:val="20"/>
                <w:szCs w:val="20"/>
                <w:color w:val="auto"/>
              </w:rPr>
            </w:pPr>
            <w:r>
              <w:rPr>
                <w:rFonts w:ascii="Arial" w:cs="Arial" w:eastAsia="Arial" w:hAnsi="Arial"/>
                <w:sz w:val="14"/>
                <w:szCs w:val="14"/>
                <w:color w:val="2D3243"/>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2D3243"/>
              </w:rPr>
              <w:t>8.13</w:t>
            </w:r>
          </w:p>
        </w:tc>
        <w:tc>
          <w:tcPr>
            <w:tcW w:w="1100" w:type="dxa"/>
            <w:vAlign w:val="bottom"/>
          </w:tcPr>
          <w:p>
            <w:pPr>
              <w:jc w:val="right"/>
              <w:ind w:right="208"/>
              <w:spacing w:after="0"/>
              <w:rPr>
                <w:sz w:val="20"/>
                <w:szCs w:val="20"/>
                <w:color w:val="auto"/>
              </w:rPr>
            </w:pPr>
            <w:r>
              <w:rPr>
                <w:rFonts w:ascii="Arial" w:cs="Arial" w:eastAsia="Arial" w:hAnsi="Arial"/>
                <w:sz w:val="14"/>
                <w:szCs w:val="14"/>
                <w:color w:val="2D3243"/>
              </w:rPr>
              <w:t>03/09/26</w:t>
            </w: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324"/>
        </w:trPr>
        <w:tc>
          <w:tcPr>
            <w:tcW w:w="1020" w:type="dxa"/>
            <w:vAlign w:val="bottom"/>
          </w:tcPr>
          <w:p>
            <w:pPr>
              <w:jc w:val="right"/>
              <w:ind w:right="168"/>
              <w:spacing w:after="0"/>
              <w:rPr>
                <w:sz w:val="20"/>
                <w:szCs w:val="20"/>
                <w:color w:val="auto"/>
              </w:rPr>
            </w:pPr>
            <w:r>
              <w:rPr>
                <w:rFonts w:ascii="Arial" w:cs="Arial" w:eastAsia="Arial" w:hAnsi="Arial"/>
                <w:sz w:val="14"/>
                <w:szCs w:val="14"/>
                <w:color w:val="2D3243"/>
              </w:rPr>
              <w:t>11/14/16</w:t>
            </w:r>
          </w:p>
        </w:tc>
        <w:tc>
          <w:tcPr>
            <w:tcW w:w="1320" w:type="dxa"/>
            <w:vAlign w:val="bottom"/>
          </w:tcPr>
          <w:p>
            <w:pPr>
              <w:jc w:val="right"/>
              <w:spacing w:after="0"/>
              <w:rPr>
                <w:sz w:val="20"/>
                <w:szCs w:val="20"/>
                <w:color w:val="auto"/>
              </w:rPr>
            </w:pPr>
            <w:r>
              <w:rPr>
                <w:rFonts w:ascii="Arial" w:cs="Arial" w:eastAsia="Arial" w:hAnsi="Arial"/>
                <w:sz w:val="14"/>
                <w:szCs w:val="14"/>
                <w:color w:val="2D3243"/>
              </w:rPr>
              <w:t>11,459</w:t>
            </w:r>
          </w:p>
        </w:tc>
        <w:tc>
          <w:tcPr>
            <w:tcW w:w="1480" w:type="dxa"/>
            <w:vAlign w:val="bottom"/>
          </w:tcPr>
          <w:p>
            <w:pPr>
              <w:jc w:val="right"/>
              <w:spacing w:after="0"/>
              <w:rPr>
                <w:sz w:val="20"/>
                <w:szCs w:val="20"/>
                <w:color w:val="auto"/>
              </w:rPr>
            </w:pPr>
            <w:r>
              <w:rPr>
                <w:rFonts w:ascii="Arial" w:cs="Arial" w:eastAsia="Arial" w:hAnsi="Arial"/>
                <w:sz w:val="14"/>
                <w:szCs w:val="14"/>
                <w:color w:val="2D3243"/>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2D3243"/>
              </w:rPr>
              <w:t>14.39</w:t>
            </w:r>
          </w:p>
        </w:tc>
        <w:tc>
          <w:tcPr>
            <w:tcW w:w="1100" w:type="dxa"/>
            <w:vAlign w:val="bottom"/>
          </w:tcPr>
          <w:p>
            <w:pPr>
              <w:jc w:val="right"/>
              <w:ind w:right="208"/>
              <w:spacing w:after="0"/>
              <w:rPr>
                <w:sz w:val="20"/>
                <w:szCs w:val="20"/>
                <w:color w:val="auto"/>
              </w:rPr>
            </w:pPr>
            <w:r>
              <w:rPr>
                <w:rFonts w:ascii="Arial" w:cs="Arial" w:eastAsia="Arial" w:hAnsi="Arial"/>
                <w:sz w:val="14"/>
                <w:szCs w:val="14"/>
                <w:color w:val="2D3243"/>
              </w:rPr>
              <w:t>11/14/26</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02/23/17</w:t>
            </w:r>
          </w:p>
        </w:tc>
        <w:tc>
          <w:tcPr>
            <w:tcW w:w="1320" w:type="dxa"/>
            <w:vAlign w:val="bottom"/>
          </w:tcPr>
          <w:p>
            <w:pPr>
              <w:jc w:val="right"/>
              <w:spacing w:after="0"/>
              <w:rPr>
                <w:sz w:val="20"/>
                <w:szCs w:val="20"/>
                <w:color w:val="auto"/>
              </w:rPr>
            </w:pPr>
            <w:r>
              <w:rPr>
                <w:rFonts w:ascii="Arial" w:cs="Arial" w:eastAsia="Arial" w:hAnsi="Arial"/>
                <w:sz w:val="14"/>
                <w:szCs w:val="14"/>
                <w:color w:val="2D3243"/>
              </w:rPr>
              <w:t>55,537</w:t>
            </w:r>
          </w:p>
        </w:tc>
        <w:tc>
          <w:tcPr>
            <w:tcW w:w="1480" w:type="dxa"/>
            <w:vAlign w:val="bottom"/>
          </w:tcPr>
          <w:p>
            <w:pPr>
              <w:jc w:val="right"/>
              <w:spacing w:after="0"/>
              <w:rPr>
                <w:sz w:val="20"/>
                <w:szCs w:val="20"/>
                <w:color w:val="auto"/>
              </w:rPr>
            </w:pPr>
            <w:r>
              <w:rPr>
                <w:rFonts w:ascii="Arial" w:cs="Arial" w:eastAsia="Arial" w:hAnsi="Arial"/>
                <w:sz w:val="14"/>
                <w:szCs w:val="14"/>
                <w:color w:val="2D3243"/>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2D3243"/>
              </w:rPr>
              <w:t>16.25</w:t>
            </w:r>
          </w:p>
        </w:tc>
        <w:tc>
          <w:tcPr>
            <w:tcW w:w="1100" w:type="dxa"/>
            <w:vAlign w:val="bottom"/>
          </w:tcPr>
          <w:p>
            <w:pPr>
              <w:jc w:val="right"/>
              <w:ind w:right="208"/>
              <w:spacing w:after="0"/>
              <w:rPr>
                <w:sz w:val="20"/>
                <w:szCs w:val="20"/>
                <w:color w:val="auto"/>
              </w:rPr>
            </w:pPr>
            <w:r>
              <w:rPr>
                <w:rFonts w:ascii="Arial" w:cs="Arial" w:eastAsia="Arial" w:hAnsi="Arial"/>
                <w:sz w:val="14"/>
                <w:szCs w:val="14"/>
                <w:color w:val="2D3243"/>
              </w:rPr>
              <w:t>02/23/27</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12/18/17</w:t>
            </w:r>
          </w:p>
        </w:tc>
        <w:tc>
          <w:tcPr>
            <w:tcW w:w="1320" w:type="dxa"/>
            <w:vAlign w:val="bottom"/>
          </w:tcPr>
          <w:p>
            <w:pPr>
              <w:jc w:val="right"/>
              <w:spacing w:after="0"/>
              <w:rPr>
                <w:sz w:val="20"/>
                <w:szCs w:val="20"/>
                <w:color w:val="auto"/>
              </w:rPr>
            </w:pPr>
            <w:r>
              <w:rPr>
                <w:rFonts w:ascii="Arial" w:cs="Arial" w:eastAsia="Arial" w:hAnsi="Arial"/>
                <w:sz w:val="14"/>
                <w:szCs w:val="14"/>
                <w:color w:val="2D3243"/>
              </w:rPr>
              <w:t>81,295</w:t>
            </w:r>
          </w:p>
        </w:tc>
        <w:tc>
          <w:tcPr>
            <w:tcW w:w="1480" w:type="dxa"/>
            <w:vAlign w:val="bottom"/>
          </w:tcPr>
          <w:p>
            <w:pPr>
              <w:jc w:val="right"/>
              <w:spacing w:after="0"/>
              <w:rPr>
                <w:sz w:val="20"/>
                <w:szCs w:val="20"/>
                <w:color w:val="auto"/>
              </w:rPr>
            </w:pPr>
            <w:r>
              <w:rPr>
                <w:rFonts w:ascii="Arial" w:cs="Arial" w:eastAsia="Arial" w:hAnsi="Arial"/>
                <w:sz w:val="14"/>
                <w:szCs w:val="14"/>
                <w:color w:val="2D3243"/>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2D3243"/>
              </w:rPr>
              <w:t>24.60</w:t>
            </w:r>
          </w:p>
        </w:tc>
        <w:tc>
          <w:tcPr>
            <w:tcW w:w="1100" w:type="dxa"/>
            <w:vAlign w:val="bottom"/>
          </w:tcPr>
          <w:p>
            <w:pPr>
              <w:jc w:val="right"/>
              <w:ind w:right="208"/>
              <w:spacing w:after="0"/>
              <w:rPr>
                <w:sz w:val="20"/>
                <w:szCs w:val="20"/>
                <w:color w:val="auto"/>
              </w:rPr>
            </w:pPr>
            <w:r>
              <w:rPr>
                <w:rFonts w:ascii="Arial" w:cs="Arial" w:eastAsia="Arial" w:hAnsi="Arial"/>
                <w:sz w:val="14"/>
                <w:szCs w:val="14"/>
                <w:color w:val="2D3243"/>
              </w:rPr>
              <w:t>12/18/27</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02/22/19</w:t>
            </w:r>
          </w:p>
        </w:tc>
        <w:tc>
          <w:tcPr>
            <w:tcW w:w="1320" w:type="dxa"/>
            <w:vAlign w:val="bottom"/>
          </w:tcPr>
          <w:p>
            <w:pPr>
              <w:jc w:val="right"/>
              <w:spacing w:after="0"/>
              <w:rPr>
                <w:sz w:val="20"/>
                <w:szCs w:val="20"/>
                <w:color w:val="auto"/>
              </w:rPr>
            </w:pPr>
            <w:r>
              <w:rPr>
                <w:rFonts w:ascii="Arial" w:cs="Arial" w:eastAsia="Arial" w:hAnsi="Arial"/>
                <w:sz w:val="14"/>
                <w:szCs w:val="14"/>
                <w:color w:val="2D3243"/>
              </w:rPr>
              <w:t>25,486</w:t>
            </w:r>
          </w:p>
        </w:tc>
        <w:tc>
          <w:tcPr>
            <w:tcW w:w="1480" w:type="dxa"/>
            <w:vAlign w:val="bottom"/>
          </w:tcPr>
          <w:p>
            <w:pPr>
              <w:jc w:val="right"/>
              <w:spacing w:after="0"/>
              <w:rPr>
                <w:sz w:val="20"/>
                <w:szCs w:val="20"/>
                <w:color w:val="auto"/>
              </w:rPr>
            </w:pPr>
            <w:r>
              <w:rPr>
                <w:rFonts w:ascii="Arial" w:cs="Arial" w:eastAsia="Arial" w:hAnsi="Arial"/>
                <w:sz w:val="14"/>
                <w:szCs w:val="14"/>
                <w:color w:val="2D3243"/>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2D3243"/>
              </w:rPr>
              <w:t>53.00</w:t>
            </w:r>
          </w:p>
        </w:tc>
        <w:tc>
          <w:tcPr>
            <w:tcW w:w="1100" w:type="dxa"/>
            <w:vAlign w:val="bottom"/>
          </w:tcPr>
          <w:p>
            <w:pPr>
              <w:jc w:val="right"/>
              <w:ind w:right="208"/>
              <w:spacing w:after="0"/>
              <w:rPr>
                <w:sz w:val="20"/>
                <w:szCs w:val="20"/>
                <w:color w:val="auto"/>
              </w:rPr>
            </w:pPr>
            <w:r>
              <w:rPr>
                <w:rFonts w:ascii="Arial" w:cs="Arial" w:eastAsia="Arial" w:hAnsi="Arial"/>
                <w:sz w:val="14"/>
                <w:szCs w:val="14"/>
                <w:color w:val="2D3243"/>
              </w:rPr>
              <w:t>02/22/29</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02/24/20</w:t>
            </w:r>
          </w:p>
        </w:tc>
        <w:tc>
          <w:tcPr>
            <w:tcW w:w="1320" w:type="dxa"/>
            <w:vAlign w:val="bottom"/>
          </w:tcPr>
          <w:p>
            <w:pPr>
              <w:jc w:val="right"/>
              <w:spacing w:after="0"/>
              <w:rPr>
                <w:sz w:val="20"/>
                <w:szCs w:val="20"/>
                <w:color w:val="auto"/>
              </w:rPr>
            </w:pPr>
            <w:r>
              <w:rPr>
                <w:rFonts w:ascii="Arial" w:cs="Arial" w:eastAsia="Arial" w:hAnsi="Arial"/>
                <w:sz w:val="14"/>
                <w:szCs w:val="14"/>
                <w:color w:val="2D3243"/>
              </w:rPr>
              <w:t>16,769</w:t>
            </w:r>
          </w:p>
        </w:tc>
        <w:tc>
          <w:tcPr>
            <w:tcW w:w="1480" w:type="dxa"/>
            <w:vAlign w:val="bottom"/>
          </w:tcPr>
          <w:p>
            <w:pPr>
              <w:jc w:val="right"/>
              <w:spacing w:after="0"/>
              <w:rPr>
                <w:sz w:val="20"/>
                <w:szCs w:val="20"/>
                <w:color w:val="auto"/>
              </w:rPr>
            </w:pPr>
            <w:r>
              <w:rPr>
                <w:rFonts w:ascii="Arial" w:cs="Arial" w:eastAsia="Arial" w:hAnsi="Arial"/>
                <w:sz w:val="14"/>
                <w:szCs w:val="14"/>
                <w:color w:val="2D3243"/>
              </w:rPr>
              <w:t>730</w:t>
            </w:r>
          </w:p>
        </w:tc>
        <w:tc>
          <w:tcPr>
            <w:tcW w:w="360" w:type="dxa"/>
            <w:vAlign w:val="bottom"/>
          </w:tcPr>
          <w:p>
            <w:pPr>
              <w:ind w:left="20"/>
              <w:spacing w:after="0"/>
              <w:rPr>
                <w:sz w:val="20"/>
                <w:szCs w:val="20"/>
                <w:color w:val="auto"/>
              </w:rPr>
            </w:pPr>
            <w:r>
              <w:rPr>
                <w:rFonts w:ascii="Arial" w:cs="Arial" w:eastAsia="Arial" w:hAnsi="Arial"/>
                <w:sz w:val="7"/>
                <w:szCs w:val="7"/>
                <w:color w:val="2D3243"/>
              </w:rPr>
              <w:t>(2)</w:t>
            </w:r>
          </w:p>
        </w:tc>
        <w:tc>
          <w:tcPr>
            <w:tcW w:w="780" w:type="dxa"/>
            <w:vAlign w:val="bottom"/>
          </w:tcPr>
          <w:p>
            <w:pPr>
              <w:jc w:val="right"/>
              <w:spacing w:after="0"/>
              <w:rPr>
                <w:sz w:val="20"/>
                <w:szCs w:val="20"/>
                <w:color w:val="auto"/>
              </w:rPr>
            </w:pPr>
            <w:r>
              <w:rPr>
                <w:rFonts w:ascii="Arial" w:cs="Arial" w:eastAsia="Arial" w:hAnsi="Arial"/>
                <w:sz w:val="14"/>
                <w:szCs w:val="14"/>
                <w:color w:val="2D3243"/>
              </w:rPr>
              <w:t>72.29</w:t>
            </w:r>
          </w:p>
        </w:tc>
        <w:tc>
          <w:tcPr>
            <w:tcW w:w="1100" w:type="dxa"/>
            <w:vAlign w:val="bottom"/>
          </w:tcPr>
          <w:p>
            <w:pPr>
              <w:jc w:val="right"/>
              <w:ind w:right="208"/>
              <w:spacing w:after="0"/>
              <w:rPr>
                <w:sz w:val="20"/>
                <w:szCs w:val="20"/>
                <w:color w:val="auto"/>
              </w:rPr>
            </w:pPr>
            <w:r>
              <w:rPr>
                <w:rFonts w:ascii="Arial" w:cs="Arial" w:eastAsia="Arial" w:hAnsi="Arial"/>
                <w:sz w:val="14"/>
                <w:szCs w:val="14"/>
                <w:color w:val="2D3243"/>
              </w:rPr>
              <w:t>02/24/30</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02/25/21</w:t>
            </w:r>
          </w:p>
        </w:tc>
        <w:tc>
          <w:tcPr>
            <w:tcW w:w="1320" w:type="dxa"/>
            <w:vAlign w:val="bottom"/>
          </w:tcPr>
          <w:p>
            <w:pPr>
              <w:jc w:val="right"/>
              <w:spacing w:after="0"/>
              <w:rPr>
                <w:sz w:val="20"/>
                <w:szCs w:val="20"/>
                <w:color w:val="auto"/>
              </w:rPr>
            </w:pPr>
            <w:r>
              <w:rPr>
                <w:rFonts w:ascii="Arial" w:cs="Arial" w:eastAsia="Arial" w:hAnsi="Arial"/>
                <w:sz w:val="14"/>
                <w:szCs w:val="14"/>
                <w:color w:val="2D3243"/>
              </w:rPr>
              <w:t>8,090</w:t>
            </w:r>
          </w:p>
        </w:tc>
        <w:tc>
          <w:tcPr>
            <w:tcW w:w="1480" w:type="dxa"/>
            <w:vAlign w:val="bottom"/>
          </w:tcPr>
          <w:p>
            <w:pPr>
              <w:jc w:val="right"/>
              <w:spacing w:after="0"/>
              <w:rPr>
                <w:sz w:val="20"/>
                <w:szCs w:val="20"/>
                <w:color w:val="auto"/>
              </w:rPr>
            </w:pPr>
            <w:r>
              <w:rPr>
                <w:rFonts w:ascii="Arial" w:cs="Arial" w:eastAsia="Arial" w:hAnsi="Arial"/>
                <w:sz w:val="14"/>
                <w:szCs w:val="14"/>
                <w:color w:val="2D3243"/>
              </w:rPr>
              <w:t>3,332</w:t>
            </w:r>
          </w:p>
        </w:tc>
        <w:tc>
          <w:tcPr>
            <w:tcW w:w="360" w:type="dxa"/>
            <w:vAlign w:val="bottom"/>
          </w:tcPr>
          <w:p>
            <w:pPr>
              <w:ind w:left="20"/>
              <w:spacing w:after="0"/>
              <w:rPr>
                <w:sz w:val="20"/>
                <w:szCs w:val="20"/>
                <w:color w:val="auto"/>
              </w:rPr>
            </w:pPr>
            <w:r>
              <w:rPr>
                <w:rFonts w:ascii="Arial" w:cs="Arial" w:eastAsia="Arial" w:hAnsi="Arial"/>
                <w:sz w:val="7"/>
                <w:szCs w:val="7"/>
                <w:color w:val="2D3243"/>
              </w:rPr>
              <w:t>(2)</w:t>
            </w:r>
          </w:p>
        </w:tc>
        <w:tc>
          <w:tcPr>
            <w:tcW w:w="780" w:type="dxa"/>
            <w:vAlign w:val="bottom"/>
          </w:tcPr>
          <w:p>
            <w:pPr>
              <w:jc w:val="right"/>
              <w:spacing w:after="0"/>
              <w:rPr>
                <w:sz w:val="20"/>
                <w:szCs w:val="20"/>
                <w:color w:val="auto"/>
              </w:rPr>
            </w:pPr>
            <w:r>
              <w:rPr>
                <w:rFonts w:ascii="Arial" w:cs="Arial" w:eastAsia="Arial" w:hAnsi="Arial"/>
                <w:sz w:val="14"/>
                <w:szCs w:val="14"/>
                <w:color w:val="2D3243"/>
              </w:rPr>
              <w:t>181.20</w:t>
            </w:r>
          </w:p>
        </w:tc>
        <w:tc>
          <w:tcPr>
            <w:tcW w:w="1100" w:type="dxa"/>
            <w:vAlign w:val="bottom"/>
          </w:tcPr>
          <w:p>
            <w:pPr>
              <w:jc w:val="right"/>
              <w:ind w:right="208"/>
              <w:spacing w:after="0"/>
              <w:rPr>
                <w:sz w:val="20"/>
                <w:szCs w:val="20"/>
                <w:color w:val="auto"/>
              </w:rPr>
            </w:pPr>
            <w:r>
              <w:rPr>
                <w:rFonts w:ascii="Arial" w:cs="Arial" w:eastAsia="Arial" w:hAnsi="Arial"/>
                <w:sz w:val="14"/>
                <w:szCs w:val="14"/>
                <w:color w:val="2D3243"/>
              </w:rPr>
              <w:t>02/25/31</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02/24/20</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1,521</w:t>
            </w:r>
          </w:p>
        </w:tc>
        <w:tc>
          <w:tcPr>
            <w:tcW w:w="620" w:type="dxa"/>
            <w:vAlign w:val="bottom"/>
          </w:tcPr>
          <w:p>
            <w:pPr>
              <w:ind w:left="40"/>
              <w:spacing w:after="0"/>
              <w:rPr>
                <w:sz w:val="20"/>
                <w:szCs w:val="20"/>
                <w:color w:val="auto"/>
              </w:rPr>
            </w:pPr>
            <w:r>
              <w:rPr>
                <w:rFonts w:ascii="Arial" w:cs="Arial" w:eastAsia="Arial" w:hAnsi="Arial"/>
                <w:sz w:val="9"/>
                <w:szCs w:val="9"/>
                <w:color w:val="2D3243"/>
              </w:rPr>
              <w:t>(6)</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119,687</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02/25/21</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4,724</w:t>
            </w:r>
          </w:p>
        </w:tc>
        <w:tc>
          <w:tcPr>
            <w:tcW w:w="620" w:type="dxa"/>
            <w:vAlign w:val="bottom"/>
          </w:tcPr>
          <w:p>
            <w:pPr>
              <w:ind w:left="40"/>
              <w:spacing w:after="0"/>
              <w:rPr>
                <w:sz w:val="20"/>
                <w:szCs w:val="20"/>
                <w:color w:val="auto"/>
              </w:rPr>
            </w:pPr>
            <w:r>
              <w:rPr>
                <w:rFonts w:ascii="Arial" w:cs="Arial" w:eastAsia="Arial" w:hAnsi="Arial"/>
                <w:sz w:val="9"/>
                <w:szCs w:val="9"/>
                <w:color w:val="2D3243"/>
              </w:rPr>
              <w:t>(6)</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371,732</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02/28/22</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13,588</w:t>
            </w:r>
          </w:p>
        </w:tc>
        <w:tc>
          <w:tcPr>
            <w:tcW w:w="620" w:type="dxa"/>
            <w:vAlign w:val="bottom"/>
          </w:tcPr>
          <w:p>
            <w:pPr>
              <w:ind w:left="40"/>
              <w:spacing w:after="0"/>
              <w:rPr>
                <w:sz w:val="20"/>
                <w:szCs w:val="20"/>
                <w:color w:val="auto"/>
              </w:rPr>
            </w:pPr>
            <w:r>
              <w:rPr>
                <w:rFonts w:ascii="Arial" w:cs="Arial" w:eastAsia="Arial" w:hAnsi="Arial"/>
                <w:sz w:val="9"/>
                <w:szCs w:val="9"/>
                <w:color w:val="2D3243"/>
              </w:rPr>
              <w:t>(6)</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1,069,240</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02/28/22</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5,368</w:t>
            </w:r>
          </w:p>
        </w:tc>
        <w:tc>
          <w:tcPr>
            <w:tcW w:w="620" w:type="dxa"/>
            <w:vAlign w:val="bottom"/>
          </w:tcPr>
          <w:p>
            <w:pPr>
              <w:ind w:left="40"/>
              <w:spacing w:after="0"/>
              <w:rPr>
                <w:sz w:val="20"/>
                <w:szCs w:val="20"/>
                <w:color w:val="auto"/>
              </w:rPr>
            </w:pPr>
            <w:r>
              <w:rPr>
                <w:rFonts w:ascii="Arial" w:cs="Arial" w:eastAsia="Arial" w:hAnsi="Arial"/>
                <w:sz w:val="9"/>
                <w:szCs w:val="9"/>
                <w:color w:val="2D3243"/>
              </w:rPr>
              <w:t>(7)</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422,408</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06/02/22</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5,081</w:t>
            </w:r>
          </w:p>
        </w:tc>
        <w:tc>
          <w:tcPr>
            <w:tcW w:w="620" w:type="dxa"/>
            <w:vAlign w:val="bottom"/>
          </w:tcPr>
          <w:p>
            <w:pPr>
              <w:ind w:left="40"/>
              <w:spacing w:after="0"/>
              <w:rPr>
                <w:sz w:val="20"/>
                <w:szCs w:val="20"/>
                <w:color w:val="auto"/>
              </w:rPr>
            </w:pPr>
            <w:r>
              <w:rPr>
                <w:rFonts w:ascii="Arial" w:cs="Arial" w:eastAsia="Arial" w:hAnsi="Arial"/>
                <w:sz w:val="9"/>
                <w:szCs w:val="9"/>
                <w:color w:val="2D3243"/>
              </w:rPr>
              <w:t>(9)</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399,824</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06/02/22</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15,241</w:t>
            </w:r>
          </w:p>
        </w:tc>
        <w:tc>
          <w:tcPr>
            <w:tcW w:w="620" w:type="dxa"/>
            <w:vAlign w:val="bottom"/>
          </w:tcPr>
          <w:p>
            <w:pPr>
              <w:ind w:left="40"/>
              <w:spacing w:after="0"/>
              <w:rPr>
                <w:sz w:val="20"/>
                <w:szCs w:val="20"/>
                <w:color w:val="auto"/>
              </w:rPr>
            </w:pPr>
            <w:r>
              <w:rPr>
                <w:rFonts w:ascii="Arial" w:cs="Arial" w:eastAsia="Arial" w:hAnsi="Arial"/>
                <w:sz w:val="9"/>
                <w:szCs w:val="9"/>
                <w:color w:val="2D3243"/>
              </w:rPr>
              <w:t>(10)</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1,199,314</w:t>
            </w:r>
          </w:p>
        </w:tc>
      </w:tr>
      <w:tr>
        <w:trPr>
          <w:trHeight w:val="324"/>
        </w:trPr>
        <w:tc>
          <w:tcPr>
            <w:tcW w:w="1020" w:type="dxa"/>
            <w:vAlign w:val="bottom"/>
          </w:tcPr>
          <w:p>
            <w:pPr>
              <w:jc w:val="right"/>
              <w:ind w:right="168"/>
              <w:spacing w:after="0"/>
              <w:rPr>
                <w:sz w:val="20"/>
                <w:szCs w:val="20"/>
                <w:color w:val="auto"/>
              </w:rPr>
            </w:pPr>
            <w:r>
              <w:rPr>
                <w:rFonts w:ascii="Arial" w:cs="Arial" w:eastAsia="Arial" w:hAnsi="Arial"/>
                <w:sz w:val="14"/>
                <w:szCs w:val="14"/>
                <w:color w:val="2D3243"/>
              </w:rPr>
              <w:t>11/23/22</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10,961</w:t>
            </w:r>
          </w:p>
        </w:tc>
        <w:tc>
          <w:tcPr>
            <w:tcW w:w="620" w:type="dxa"/>
            <w:vAlign w:val="bottom"/>
          </w:tcPr>
          <w:p>
            <w:pPr>
              <w:ind w:left="40"/>
              <w:spacing w:after="0"/>
              <w:rPr>
                <w:sz w:val="20"/>
                <w:szCs w:val="20"/>
                <w:color w:val="auto"/>
              </w:rPr>
            </w:pPr>
            <w:r>
              <w:rPr>
                <w:rFonts w:ascii="Arial" w:cs="Arial" w:eastAsia="Arial" w:hAnsi="Arial"/>
                <w:sz w:val="9"/>
                <w:szCs w:val="9"/>
                <w:color w:val="2D3243"/>
              </w:rPr>
              <w:t>(8)</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862,521</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02/27/23</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30,480</w:t>
            </w:r>
          </w:p>
        </w:tc>
        <w:tc>
          <w:tcPr>
            <w:tcW w:w="620" w:type="dxa"/>
            <w:vAlign w:val="bottom"/>
          </w:tcPr>
          <w:p>
            <w:pPr>
              <w:ind w:left="40"/>
              <w:spacing w:after="0"/>
              <w:rPr>
                <w:sz w:val="20"/>
                <w:szCs w:val="20"/>
                <w:color w:val="auto"/>
              </w:rPr>
            </w:pPr>
            <w:r>
              <w:rPr>
                <w:rFonts w:ascii="Arial" w:cs="Arial" w:eastAsia="Arial" w:hAnsi="Arial"/>
                <w:sz w:val="9"/>
                <w:szCs w:val="9"/>
                <w:color w:val="2D3243"/>
              </w:rPr>
              <w:t>(6)</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2,398,471</w:t>
            </w:r>
          </w:p>
        </w:tc>
      </w:tr>
      <w:tr>
        <w:trPr>
          <w:trHeight w:val="324"/>
        </w:trPr>
        <w:tc>
          <w:tcPr>
            <w:tcW w:w="1020" w:type="dxa"/>
            <w:vAlign w:val="bottom"/>
          </w:tcPr>
          <w:p>
            <w:pPr>
              <w:jc w:val="right"/>
              <w:ind w:right="148"/>
              <w:spacing w:after="0"/>
              <w:rPr>
                <w:sz w:val="20"/>
                <w:szCs w:val="20"/>
                <w:color w:val="auto"/>
              </w:rPr>
            </w:pPr>
            <w:r>
              <w:rPr>
                <w:rFonts w:ascii="Arial" w:cs="Arial" w:eastAsia="Arial" w:hAnsi="Arial"/>
                <w:sz w:val="14"/>
                <w:szCs w:val="14"/>
                <w:color w:val="2D3243"/>
              </w:rPr>
              <w:t>02/27/23</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12,504</w:t>
            </w:r>
          </w:p>
        </w:tc>
        <w:tc>
          <w:tcPr>
            <w:tcW w:w="620" w:type="dxa"/>
            <w:vAlign w:val="bottom"/>
          </w:tcPr>
          <w:p>
            <w:pPr>
              <w:ind w:left="40"/>
              <w:spacing w:after="0"/>
              <w:rPr>
                <w:sz w:val="20"/>
                <w:szCs w:val="20"/>
                <w:color w:val="auto"/>
              </w:rPr>
            </w:pPr>
            <w:r>
              <w:rPr>
                <w:rFonts w:ascii="Arial" w:cs="Arial" w:eastAsia="Arial" w:hAnsi="Arial"/>
                <w:sz w:val="9"/>
                <w:szCs w:val="9"/>
                <w:color w:val="2D3243"/>
              </w:rPr>
              <w:t>(5)</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983,940</w:t>
            </w:r>
          </w:p>
        </w:tc>
      </w:tr>
    </w:tbl>
    <w:p>
      <w:pPr>
        <w:spacing w:after="0" w:line="200" w:lineRule="exact"/>
        <w:rPr>
          <w:sz w:val="20"/>
          <w:szCs w:val="20"/>
          <w:color w:val="auto"/>
        </w:rPr>
      </w:pPr>
    </w:p>
    <w:p>
      <w:pPr>
        <w:sectPr>
          <w:pgSz w:w="11900" w:h="16838" w:orient="portrait"/>
          <w:cols w:equalWidth="0" w:num="2">
            <w:col w:w="1460" w:space="720"/>
            <w:col w:w="906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63</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71" w:name="page72"/>
    <w:bookmarkEnd w:id="71"/>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shd w:val="clear" w:color="auto" w:fill="0336FF"/>
          </w:tcPr>
          <w:p>
            <w:pPr>
              <w:spacing w:after="0"/>
              <w:rPr>
                <w:sz w:val="18"/>
                <w:szCs w:val="18"/>
                <w:color w:val="auto"/>
              </w:rPr>
            </w:pPr>
          </w:p>
        </w:tc>
        <w:tc>
          <w:tcPr>
            <w:tcW w:w="1020" w:type="dxa"/>
            <w:vAlign w:val="bottom"/>
            <w:shd w:val="clear" w:color="auto" w:fill="0336FF"/>
          </w:tcPr>
          <w:p>
            <w:pPr>
              <w:spacing w:after="0"/>
              <w:rPr>
                <w:sz w:val="18"/>
                <w:szCs w:val="18"/>
                <w:color w:val="auto"/>
              </w:rPr>
            </w:pPr>
          </w:p>
        </w:tc>
        <w:tc>
          <w:tcPr>
            <w:tcW w:w="1340" w:type="dxa"/>
            <w:vAlign w:val="bottom"/>
            <w:shd w:val="clear" w:color="auto" w:fill="0336FF"/>
          </w:tcPr>
          <w:p>
            <w:pPr>
              <w:spacing w:after="0"/>
              <w:rPr>
                <w:sz w:val="18"/>
                <w:szCs w:val="18"/>
                <w:color w:val="auto"/>
              </w:rPr>
            </w:pPr>
          </w:p>
        </w:tc>
        <w:tc>
          <w:tcPr>
            <w:tcW w:w="1840" w:type="dxa"/>
            <w:vAlign w:val="bottom"/>
            <w:gridSpan w:val="2"/>
            <w:shd w:val="clear" w:color="auto" w:fill="0336FF"/>
          </w:tcPr>
          <w:p>
            <w:pPr>
              <w:jc w:val="right"/>
              <w:ind w:right="86"/>
              <w:spacing w:after="0"/>
              <w:rPr>
                <w:sz w:val="20"/>
                <w:szCs w:val="20"/>
                <w:color w:val="auto"/>
              </w:rPr>
            </w:pPr>
            <w:r>
              <w:rPr>
                <w:rFonts w:ascii="Arial" w:cs="Arial" w:eastAsia="Arial" w:hAnsi="Arial"/>
                <w:sz w:val="14"/>
                <w:szCs w:val="14"/>
                <w:b w:val="1"/>
                <w:bCs w:val="1"/>
                <w:color w:val="FFFFFF"/>
              </w:rPr>
              <w:t>Option Awards</w:t>
            </w:r>
          </w:p>
        </w:tc>
        <w:tc>
          <w:tcPr>
            <w:tcW w:w="880" w:type="dxa"/>
            <w:vAlign w:val="bottom"/>
            <w:shd w:val="clear" w:color="auto" w:fill="0336FF"/>
          </w:tcPr>
          <w:p>
            <w:pPr>
              <w:spacing w:after="0"/>
              <w:rPr>
                <w:sz w:val="18"/>
                <w:szCs w:val="18"/>
                <w:color w:val="auto"/>
              </w:rPr>
            </w:pPr>
          </w:p>
        </w:tc>
        <w:tc>
          <w:tcPr>
            <w:tcW w:w="1080" w:type="dxa"/>
            <w:vAlign w:val="bottom"/>
            <w:shd w:val="clear" w:color="auto" w:fill="0336FF"/>
          </w:tcPr>
          <w:p>
            <w:pPr>
              <w:spacing w:after="0"/>
              <w:rPr>
                <w:sz w:val="18"/>
                <w:szCs w:val="18"/>
                <w:color w:val="auto"/>
              </w:rPr>
            </w:pPr>
          </w:p>
        </w:tc>
        <w:tc>
          <w:tcPr>
            <w:tcW w:w="190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Stock Awards</w:t>
            </w:r>
          </w:p>
        </w:tc>
        <w:tc>
          <w:tcPr>
            <w:tcW w:w="1000" w:type="dxa"/>
            <w:vAlign w:val="bottom"/>
            <w:shd w:val="clear" w:color="auto" w:fill="0336FF"/>
          </w:tcPr>
          <w:p>
            <w:pPr>
              <w:spacing w:after="0"/>
              <w:rPr>
                <w:sz w:val="18"/>
                <w:szCs w:val="18"/>
                <w:color w:val="auto"/>
              </w:rPr>
            </w:pPr>
          </w:p>
        </w:tc>
      </w:tr>
      <w:tr>
        <w:trPr>
          <w:trHeight w:val="220"/>
        </w:trPr>
        <w:tc>
          <w:tcPr>
            <w:tcW w:w="2180" w:type="dxa"/>
            <w:vAlign w:val="bottom"/>
            <w:shd w:val="clear" w:color="auto" w:fill="0336FF"/>
          </w:tcPr>
          <w:p>
            <w:pPr>
              <w:spacing w:after="0"/>
              <w:rPr>
                <w:sz w:val="19"/>
                <w:szCs w:val="19"/>
                <w:color w:val="auto"/>
              </w:rPr>
            </w:pPr>
          </w:p>
        </w:tc>
        <w:tc>
          <w:tcPr>
            <w:tcW w:w="1020" w:type="dxa"/>
            <w:vAlign w:val="bottom"/>
            <w:shd w:val="clear" w:color="auto" w:fill="0336FF"/>
          </w:tcPr>
          <w:p>
            <w:pPr>
              <w:spacing w:after="0"/>
              <w:rPr>
                <w:sz w:val="19"/>
                <w:szCs w:val="19"/>
                <w:color w:val="auto"/>
              </w:rPr>
            </w:pPr>
          </w:p>
        </w:tc>
        <w:tc>
          <w:tcPr>
            <w:tcW w:w="13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Number of</w:t>
            </w:r>
          </w:p>
        </w:tc>
        <w:tc>
          <w:tcPr>
            <w:tcW w:w="146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Number of</w:t>
            </w:r>
          </w:p>
        </w:tc>
        <w:tc>
          <w:tcPr>
            <w:tcW w:w="380" w:type="dxa"/>
            <w:vAlign w:val="bottom"/>
            <w:shd w:val="clear" w:color="auto" w:fill="0336FF"/>
          </w:tcPr>
          <w:p>
            <w:pPr>
              <w:spacing w:after="0"/>
              <w:rPr>
                <w:sz w:val="19"/>
                <w:szCs w:val="19"/>
                <w:color w:val="auto"/>
              </w:rPr>
            </w:pPr>
          </w:p>
        </w:tc>
        <w:tc>
          <w:tcPr>
            <w:tcW w:w="880" w:type="dxa"/>
            <w:vAlign w:val="bottom"/>
            <w:shd w:val="clear" w:color="auto" w:fill="0336FF"/>
          </w:tcPr>
          <w:p>
            <w:pPr>
              <w:spacing w:after="0"/>
              <w:rPr>
                <w:sz w:val="19"/>
                <w:szCs w:val="19"/>
                <w:color w:val="auto"/>
              </w:rPr>
            </w:pPr>
          </w:p>
        </w:tc>
        <w:tc>
          <w:tcPr>
            <w:tcW w:w="1080" w:type="dxa"/>
            <w:vAlign w:val="bottom"/>
            <w:shd w:val="clear" w:color="auto" w:fill="0336FF"/>
          </w:tcPr>
          <w:p>
            <w:pPr>
              <w:spacing w:after="0"/>
              <w:rPr>
                <w:sz w:val="19"/>
                <w:szCs w:val="19"/>
                <w:color w:val="auto"/>
              </w:rPr>
            </w:pPr>
          </w:p>
        </w:tc>
        <w:tc>
          <w:tcPr>
            <w:tcW w:w="1900" w:type="dxa"/>
            <w:vAlign w:val="bottom"/>
            <w:shd w:val="clear" w:color="auto" w:fill="0336FF"/>
          </w:tcPr>
          <w:p>
            <w:pPr>
              <w:spacing w:after="0"/>
              <w:rPr>
                <w:sz w:val="19"/>
                <w:szCs w:val="19"/>
                <w:color w:val="auto"/>
              </w:rPr>
            </w:pP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w w:val="99"/>
              </w:rPr>
              <w:t>Market Value</w:t>
            </w:r>
          </w:p>
        </w:tc>
      </w:tr>
      <w:tr>
        <w:trPr>
          <w:trHeight w:val="176"/>
        </w:trPr>
        <w:tc>
          <w:tcPr>
            <w:tcW w:w="2180" w:type="dxa"/>
            <w:vAlign w:val="bottom"/>
            <w:shd w:val="clear" w:color="auto" w:fill="0336FF"/>
          </w:tcPr>
          <w:p>
            <w:pPr>
              <w:spacing w:after="0"/>
              <w:rPr>
                <w:sz w:val="15"/>
                <w:szCs w:val="15"/>
                <w:color w:val="auto"/>
              </w:rPr>
            </w:pPr>
          </w:p>
        </w:tc>
        <w:tc>
          <w:tcPr>
            <w:tcW w:w="1020" w:type="dxa"/>
            <w:vAlign w:val="bottom"/>
            <w:shd w:val="clear" w:color="auto" w:fill="0336FF"/>
          </w:tcPr>
          <w:p>
            <w:pPr>
              <w:spacing w:after="0"/>
              <w:rPr>
                <w:sz w:val="15"/>
                <w:szCs w:val="15"/>
                <w:color w:val="auto"/>
              </w:rPr>
            </w:pPr>
          </w:p>
        </w:tc>
        <w:tc>
          <w:tcPr>
            <w:tcW w:w="13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Securities</w:t>
            </w:r>
          </w:p>
        </w:tc>
        <w:tc>
          <w:tcPr>
            <w:tcW w:w="146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Securities</w:t>
            </w:r>
          </w:p>
        </w:tc>
        <w:tc>
          <w:tcPr>
            <w:tcW w:w="380" w:type="dxa"/>
            <w:vAlign w:val="bottom"/>
            <w:shd w:val="clear" w:color="auto" w:fill="0336FF"/>
          </w:tcPr>
          <w:p>
            <w:pPr>
              <w:spacing w:after="0"/>
              <w:rPr>
                <w:sz w:val="15"/>
                <w:szCs w:val="15"/>
                <w:color w:val="auto"/>
              </w:rPr>
            </w:pPr>
          </w:p>
        </w:tc>
        <w:tc>
          <w:tcPr>
            <w:tcW w:w="880" w:type="dxa"/>
            <w:vAlign w:val="bottom"/>
            <w:shd w:val="clear" w:color="auto" w:fill="0336FF"/>
          </w:tcPr>
          <w:p>
            <w:pPr>
              <w:spacing w:after="0"/>
              <w:rPr>
                <w:sz w:val="15"/>
                <w:szCs w:val="15"/>
                <w:color w:val="auto"/>
              </w:rPr>
            </w:pPr>
          </w:p>
        </w:tc>
        <w:tc>
          <w:tcPr>
            <w:tcW w:w="1080" w:type="dxa"/>
            <w:vAlign w:val="bottom"/>
            <w:shd w:val="clear" w:color="auto" w:fill="0336FF"/>
          </w:tcPr>
          <w:p>
            <w:pPr>
              <w:spacing w:after="0"/>
              <w:rPr>
                <w:sz w:val="15"/>
                <w:szCs w:val="15"/>
                <w:color w:val="auto"/>
              </w:rPr>
            </w:pPr>
          </w:p>
        </w:tc>
        <w:tc>
          <w:tcPr>
            <w:tcW w:w="1900" w:type="dxa"/>
            <w:vAlign w:val="bottom"/>
            <w:shd w:val="clear" w:color="auto" w:fill="0336FF"/>
          </w:tcPr>
          <w:p>
            <w:pPr>
              <w:jc w:val="right"/>
              <w:ind w:right="748"/>
              <w:spacing w:after="0"/>
              <w:rPr>
                <w:sz w:val="20"/>
                <w:szCs w:val="20"/>
                <w:color w:val="auto"/>
              </w:rPr>
            </w:pPr>
            <w:r>
              <w:rPr>
                <w:rFonts w:ascii="Arial" w:cs="Arial" w:eastAsia="Arial" w:hAnsi="Arial"/>
                <w:sz w:val="14"/>
                <w:szCs w:val="14"/>
                <w:b w:val="1"/>
                <w:bCs w:val="1"/>
                <w:color w:val="FFFFFF"/>
              </w:rPr>
              <w:t>Number of</w:t>
            </w: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of Shares</w:t>
            </w:r>
          </w:p>
        </w:tc>
      </w:tr>
      <w:tr>
        <w:trPr>
          <w:trHeight w:val="162"/>
        </w:trPr>
        <w:tc>
          <w:tcPr>
            <w:tcW w:w="2180" w:type="dxa"/>
            <w:vAlign w:val="bottom"/>
            <w:shd w:val="clear" w:color="auto" w:fill="0336FF"/>
          </w:tcPr>
          <w:p>
            <w:pPr>
              <w:spacing w:after="0"/>
              <w:rPr>
                <w:sz w:val="14"/>
                <w:szCs w:val="14"/>
                <w:color w:val="auto"/>
              </w:rPr>
            </w:pPr>
          </w:p>
        </w:tc>
        <w:tc>
          <w:tcPr>
            <w:tcW w:w="1020" w:type="dxa"/>
            <w:vAlign w:val="bottom"/>
            <w:shd w:val="clear" w:color="auto" w:fill="0336FF"/>
          </w:tcPr>
          <w:p>
            <w:pPr>
              <w:spacing w:after="0"/>
              <w:rPr>
                <w:sz w:val="14"/>
                <w:szCs w:val="14"/>
                <w:color w:val="auto"/>
              </w:rPr>
            </w:pPr>
          </w:p>
        </w:tc>
        <w:tc>
          <w:tcPr>
            <w:tcW w:w="13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Underlying</w:t>
            </w:r>
          </w:p>
        </w:tc>
        <w:tc>
          <w:tcPr>
            <w:tcW w:w="146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Underlying</w:t>
            </w:r>
          </w:p>
        </w:tc>
        <w:tc>
          <w:tcPr>
            <w:tcW w:w="380" w:type="dxa"/>
            <w:vAlign w:val="bottom"/>
            <w:shd w:val="clear" w:color="auto" w:fill="0336FF"/>
          </w:tcPr>
          <w:p>
            <w:pPr>
              <w:spacing w:after="0"/>
              <w:rPr>
                <w:sz w:val="14"/>
                <w:szCs w:val="14"/>
                <w:color w:val="auto"/>
              </w:rPr>
            </w:pPr>
          </w:p>
        </w:tc>
        <w:tc>
          <w:tcPr>
            <w:tcW w:w="880" w:type="dxa"/>
            <w:vAlign w:val="bottom"/>
            <w:shd w:val="clear" w:color="auto" w:fill="0336FF"/>
          </w:tcPr>
          <w:p>
            <w:pPr>
              <w:spacing w:after="0"/>
              <w:rPr>
                <w:sz w:val="14"/>
                <w:szCs w:val="14"/>
                <w:color w:val="auto"/>
              </w:rPr>
            </w:pPr>
          </w:p>
        </w:tc>
        <w:tc>
          <w:tcPr>
            <w:tcW w:w="1080" w:type="dxa"/>
            <w:vAlign w:val="bottom"/>
            <w:shd w:val="clear" w:color="auto" w:fill="0336FF"/>
          </w:tcPr>
          <w:p>
            <w:pPr>
              <w:spacing w:after="0"/>
              <w:rPr>
                <w:sz w:val="14"/>
                <w:szCs w:val="14"/>
                <w:color w:val="auto"/>
              </w:rPr>
            </w:pPr>
          </w:p>
        </w:tc>
        <w:tc>
          <w:tcPr>
            <w:tcW w:w="1900" w:type="dxa"/>
            <w:vAlign w:val="bottom"/>
            <w:shd w:val="clear" w:color="auto" w:fill="0336FF"/>
          </w:tcPr>
          <w:p>
            <w:pPr>
              <w:jc w:val="right"/>
              <w:ind w:right="748"/>
              <w:spacing w:after="0"/>
              <w:rPr>
                <w:sz w:val="20"/>
                <w:szCs w:val="20"/>
                <w:color w:val="auto"/>
              </w:rPr>
            </w:pPr>
            <w:r>
              <w:rPr>
                <w:rFonts w:ascii="Arial" w:cs="Arial" w:eastAsia="Arial" w:hAnsi="Arial"/>
                <w:sz w:val="14"/>
                <w:szCs w:val="14"/>
                <w:b w:val="1"/>
                <w:bCs w:val="1"/>
                <w:color w:val="FFFFFF"/>
              </w:rPr>
              <w:t>Shares or</w:t>
            </w: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or Units of</w:t>
            </w:r>
          </w:p>
        </w:tc>
      </w:tr>
      <w:tr>
        <w:trPr>
          <w:trHeight w:val="176"/>
        </w:trPr>
        <w:tc>
          <w:tcPr>
            <w:tcW w:w="2180" w:type="dxa"/>
            <w:vAlign w:val="bottom"/>
            <w:shd w:val="clear" w:color="auto" w:fill="0336FF"/>
          </w:tcPr>
          <w:p>
            <w:pPr>
              <w:spacing w:after="0"/>
              <w:rPr>
                <w:sz w:val="15"/>
                <w:szCs w:val="15"/>
                <w:color w:val="auto"/>
              </w:rPr>
            </w:pPr>
          </w:p>
        </w:tc>
        <w:tc>
          <w:tcPr>
            <w:tcW w:w="1020" w:type="dxa"/>
            <w:vAlign w:val="bottom"/>
            <w:shd w:val="clear" w:color="auto" w:fill="0336FF"/>
          </w:tcPr>
          <w:p>
            <w:pPr>
              <w:spacing w:after="0"/>
              <w:rPr>
                <w:sz w:val="15"/>
                <w:szCs w:val="15"/>
                <w:color w:val="auto"/>
              </w:rPr>
            </w:pPr>
          </w:p>
        </w:tc>
        <w:tc>
          <w:tcPr>
            <w:tcW w:w="13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Unexercised</w:t>
            </w:r>
          </w:p>
        </w:tc>
        <w:tc>
          <w:tcPr>
            <w:tcW w:w="146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Unexercised</w:t>
            </w:r>
          </w:p>
        </w:tc>
        <w:tc>
          <w:tcPr>
            <w:tcW w:w="380" w:type="dxa"/>
            <w:vAlign w:val="bottom"/>
            <w:shd w:val="clear" w:color="auto" w:fill="0336FF"/>
          </w:tcPr>
          <w:p>
            <w:pPr>
              <w:spacing w:after="0"/>
              <w:rPr>
                <w:sz w:val="15"/>
                <w:szCs w:val="15"/>
                <w:color w:val="auto"/>
              </w:rPr>
            </w:pPr>
          </w:p>
        </w:tc>
        <w:tc>
          <w:tcPr>
            <w:tcW w:w="880" w:type="dxa"/>
            <w:vAlign w:val="bottom"/>
            <w:shd w:val="clear" w:color="auto" w:fill="0336FF"/>
          </w:tcPr>
          <w:p>
            <w:pPr>
              <w:jc w:val="right"/>
              <w:ind w:right="68"/>
              <w:spacing w:after="0"/>
              <w:rPr>
                <w:sz w:val="20"/>
                <w:szCs w:val="20"/>
                <w:color w:val="auto"/>
              </w:rPr>
            </w:pPr>
            <w:r>
              <w:rPr>
                <w:rFonts w:ascii="Arial" w:cs="Arial" w:eastAsia="Arial" w:hAnsi="Arial"/>
                <w:sz w:val="14"/>
                <w:szCs w:val="14"/>
                <w:b w:val="1"/>
                <w:bCs w:val="1"/>
                <w:color w:val="FFFFFF"/>
              </w:rPr>
              <w:t>Option</w:t>
            </w:r>
          </w:p>
        </w:tc>
        <w:tc>
          <w:tcPr>
            <w:tcW w:w="1080" w:type="dxa"/>
            <w:vAlign w:val="bottom"/>
            <w:shd w:val="clear" w:color="auto" w:fill="0336FF"/>
          </w:tcPr>
          <w:p>
            <w:pPr>
              <w:spacing w:after="0"/>
              <w:rPr>
                <w:sz w:val="15"/>
                <w:szCs w:val="15"/>
                <w:color w:val="auto"/>
              </w:rPr>
            </w:pPr>
          </w:p>
        </w:tc>
        <w:tc>
          <w:tcPr>
            <w:tcW w:w="1900" w:type="dxa"/>
            <w:vAlign w:val="bottom"/>
            <w:shd w:val="clear" w:color="auto" w:fill="0336FF"/>
          </w:tcPr>
          <w:p>
            <w:pPr>
              <w:jc w:val="right"/>
              <w:ind w:right="748"/>
              <w:spacing w:after="0"/>
              <w:rPr>
                <w:sz w:val="20"/>
                <w:szCs w:val="20"/>
                <w:color w:val="auto"/>
              </w:rPr>
            </w:pPr>
            <w:r>
              <w:rPr>
                <w:rFonts w:ascii="Arial" w:cs="Arial" w:eastAsia="Arial" w:hAnsi="Arial"/>
                <w:sz w:val="14"/>
                <w:szCs w:val="14"/>
                <w:b w:val="1"/>
                <w:bCs w:val="1"/>
                <w:color w:val="FFFFFF"/>
              </w:rPr>
              <w:t>Units of Stock</w:t>
            </w: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Stock that</w:t>
            </w:r>
          </w:p>
        </w:tc>
      </w:tr>
      <w:tr>
        <w:trPr>
          <w:trHeight w:val="173"/>
        </w:trPr>
        <w:tc>
          <w:tcPr>
            <w:tcW w:w="2180" w:type="dxa"/>
            <w:vAlign w:val="bottom"/>
            <w:shd w:val="clear" w:color="auto" w:fill="0336FF"/>
          </w:tcPr>
          <w:p>
            <w:pPr>
              <w:spacing w:after="0"/>
              <w:rPr>
                <w:sz w:val="15"/>
                <w:szCs w:val="15"/>
                <w:color w:val="auto"/>
              </w:rPr>
            </w:pPr>
          </w:p>
        </w:tc>
        <w:tc>
          <w:tcPr>
            <w:tcW w:w="1020" w:type="dxa"/>
            <w:vAlign w:val="bottom"/>
            <w:shd w:val="clear" w:color="auto" w:fill="0336FF"/>
          </w:tcPr>
          <w:p>
            <w:pPr>
              <w:spacing w:after="0"/>
              <w:rPr>
                <w:sz w:val="15"/>
                <w:szCs w:val="15"/>
                <w:color w:val="auto"/>
              </w:rPr>
            </w:pPr>
          </w:p>
        </w:tc>
        <w:tc>
          <w:tcPr>
            <w:tcW w:w="13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Options</w:t>
            </w:r>
          </w:p>
        </w:tc>
        <w:tc>
          <w:tcPr>
            <w:tcW w:w="146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Options</w:t>
            </w:r>
          </w:p>
        </w:tc>
        <w:tc>
          <w:tcPr>
            <w:tcW w:w="380" w:type="dxa"/>
            <w:vAlign w:val="bottom"/>
            <w:shd w:val="clear" w:color="auto" w:fill="0336FF"/>
          </w:tcPr>
          <w:p>
            <w:pPr>
              <w:spacing w:after="0"/>
              <w:rPr>
                <w:sz w:val="15"/>
                <w:szCs w:val="15"/>
                <w:color w:val="auto"/>
              </w:rPr>
            </w:pPr>
          </w:p>
        </w:tc>
        <w:tc>
          <w:tcPr>
            <w:tcW w:w="880" w:type="dxa"/>
            <w:vAlign w:val="bottom"/>
            <w:shd w:val="clear" w:color="auto" w:fill="0336FF"/>
          </w:tcPr>
          <w:p>
            <w:pPr>
              <w:jc w:val="right"/>
              <w:ind w:right="68"/>
              <w:spacing w:after="0"/>
              <w:rPr>
                <w:sz w:val="20"/>
                <w:szCs w:val="20"/>
                <w:color w:val="auto"/>
              </w:rPr>
            </w:pPr>
            <w:r>
              <w:rPr>
                <w:rFonts w:ascii="Arial" w:cs="Arial" w:eastAsia="Arial" w:hAnsi="Arial"/>
                <w:sz w:val="14"/>
                <w:szCs w:val="14"/>
                <w:b w:val="1"/>
                <w:bCs w:val="1"/>
                <w:color w:val="FFFFFF"/>
              </w:rPr>
              <w:t>Exercise</w:t>
            </w:r>
          </w:p>
        </w:tc>
        <w:tc>
          <w:tcPr>
            <w:tcW w:w="1080" w:type="dxa"/>
            <w:vAlign w:val="bottom"/>
            <w:shd w:val="clear" w:color="auto" w:fill="0336FF"/>
          </w:tcPr>
          <w:p>
            <w:pPr>
              <w:spacing w:after="0"/>
              <w:rPr>
                <w:sz w:val="15"/>
                <w:szCs w:val="15"/>
                <w:color w:val="auto"/>
              </w:rPr>
            </w:pPr>
          </w:p>
        </w:tc>
        <w:tc>
          <w:tcPr>
            <w:tcW w:w="1900" w:type="dxa"/>
            <w:vAlign w:val="bottom"/>
            <w:shd w:val="clear" w:color="auto" w:fill="0336FF"/>
          </w:tcPr>
          <w:p>
            <w:pPr>
              <w:jc w:val="right"/>
              <w:ind w:right="748"/>
              <w:spacing w:after="0"/>
              <w:rPr>
                <w:sz w:val="20"/>
                <w:szCs w:val="20"/>
                <w:color w:val="auto"/>
              </w:rPr>
            </w:pPr>
            <w:r>
              <w:rPr>
                <w:rFonts w:ascii="Arial" w:cs="Arial" w:eastAsia="Arial" w:hAnsi="Arial"/>
                <w:sz w:val="14"/>
                <w:szCs w:val="14"/>
                <w:b w:val="1"/>
                <w:bCs w:val="1"/>
                <w:color w:val="FFFFFF"/>
              </w:rPr>
              <w:t>that have not</w:t>
            </w: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have not</w:t>
            </w:r>
          </w:p>
        </w:tc>
      </w:tr>
      <w:tr>
        <w:trPr>
          <w:trHeight w:val="178"/>
        </w:trPr>
        <w:tc>
          <w:tcPr>
            <w:tcW w:w="2180" w:type="dxa"/>
            <w:vAlign w:val="bottom"/>
            <w:shd w:val="clear" w:color="auto" w:fill="0336FF"/>
          </w:tcPr>
          <w:p>
            <w:pPr>
              <w:spacing w:after="0"/>
              <w:rPr>
                <w:sz w:val="15"/>
                <w:szCs w:val="15"/>
                <w:color w:val="auto"/>
              </w:rPr>
            </w:pPr>
          </w:p>
        </w:tc>
        <w:tc>
          <w:tcPr>
            <w:tcW w:w="1020" w:type="dxa"/>
            <w:vAlign w:val="bottom"/>
            <w:shd w:val="clear" w:color="auto" w:fill="0336FF"/>
          </w:tcPr>
          <w:p>
            <w:pPr>
              <w:spacing w:after="0"/>
              <w:rPr>
                <w:sz w:val="15"/>
                <w:szCs w:val="15"/>
                <w:color w:val="auto"/>
              </w:rPr>
            </w:pPr>
          </w:p>
        </w:tc>
        <w:tc>
          <w:tcPr>
            <w:tcW w:w="13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Exercisable</w:t>
            </w:r>
          </w:p>
        </w:tc>
        <w:tc>
          <w:tcPr>
            <w:tcW w:w="146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Unexercisable</w:t>
            </w:r>
          </w:p>
        </w:tc>
        <w:tc>
          <w:tcPr>
            <w:tcW w:w="380" w:type="dxa"/>
            <w:vAlign w:val="bottom"/>
            <w:shd w:val="clear" w:color="auto" w:fill="0336FF"/>
          </w:tcPr>
          <w:p>
            <w:pPr>
              <w:spacing w:after="0"/>
              <w:rPr>
                <w:sz w:val="15"/>
                <w:szCs w:val="15"/>
                <w:color w:val="auto"/>
              </w:rPr>
            </w:pPr>
          </w:p>
        </w:tc>
        <w:tc>
          <w:tcPr>
            <w:tcW w:w="880" w:type="dxa"/>
            <w:vAlign w:val="bottom"/>
            <w:shd w:val="clear" w:color="auto" w:fill="0336FF"/>
          </w:tcPr>
          <w:p>
            <w:pPr>
              <w:jc w:val="right"/>
              <w:ind w:right="68"/>
              <w:spacing w:after="0"/>
              <w:rPr>
                <w:sz w:val="20"/>
                <w:szCs w:val="20"/>
                <w:color w:val="auto"/>
              </w:rPr>
            </w:pPr>
            <w:r>
              <w:rPr>
                <w:rFonts w:ascii="Arial" w:cs="Arial" w:eastAsia="Arial" w:hAnsi="Arial"/>
                <w:sz w:val="14"/>
                <w:szCs w:val="14"/>
                <w:b w:val="1"/>
                <w:bCs w:val="1"/>
                <w:color w:val="FFFFFF"/>
              </w:rPr>
              <w:t>Price</w:t>
            </w:r>
          </w:p>
        </w:tc>
        <w:tc>
          <w:tcPr>
            <w:tcW w:w="1080" w:type="dxa"/>
            <w:vAlign w:val="bottom"/>
            <w:shd w:val="clear" w:color="auto" w:fill="0336FF"/>
          </w:tcPr>
          <w:p>
            <w:pPr>
              <w:jc w:val="center"/>
              <w:ind w:right="148"/>
              <w:spacing w:after="0"/>
              <w:rPr>
                <w:sz w:val="20"/>
                <w:szCs w:val="20"/>
                <w:color w:val="auto"/>
              </w:rPr>
            </w:pPr>
            <w:r>
              <w:rPr>
                <w:rFonts w:ascii="Arial" w:cs="Arial" w:eastAsia="Arial" w:hAnsi="Arial"/>
                <w:sz w:val="14"/>
                <w:szCs w:val="14"/>
                <w:b w:val="1"/>
                <w:bCs w:val="1"/>
                <w:color w:val="FFFFFF"/>
              </w:rPr>
              <w:t>Option</w:t>
            </w:r>
          </w:p>
        </w:tc>
        <w:tc>
          <w:tcPr>
            <w:tcW w:w="1900" w:type="dxa"/>
            <w:vAlign w:val="bottom"/>
            <w:shd w:val="clear" w:color="auto" w:fill="0336FF"/>
          </w:tcPr>
          <w:p>
            <w:pPr>
              <w:jc w:val="right"/>
              <w:ind w:right="748"/>
              <w:spacing w:after="0"/>
              <w:rPr>
                <w:sz w:val="20"/>
                <w:szCs w:val="20"/>
                <w:color w:val="auto"/>
              </w:rPr>
            </w:pPr>
            <w:r>
              <w:rPr>
                <w:rFonts w:ascii="Arial" w:cs="Arial" w:eastAsia="Arial" w:hAnsi="Arial"/>
                <w:sz w:val="14"/>
                <w:szCs w:val="14"/>
                <w:b w:val="1"/>
                <w:bCs w:val="1"/>
                <w:color w:val="FFFFFF"/>
              </w:rPr>
              <w:t>Vested</w:t>
            </w:r>
          </w:p>
        </w:tc>
        <w:tc>
          <w:tcPr>
            <w:tcW w:w="1000" w:type="dxa"/>
            <w:vAlign w:val="bottom"/>
            <w:shd w:val="clear" w:color="auto" w:fill="0336FF"/>
          </w:tcPr>
          <w:p>
            <w:pPr>
              <w:jc w:val="right"/>
              <w:ind w:right="48"/>
              <w:spacing w:after="0" w:line="178" w:lineRule="exact"/>
              <w:rPr>
                <w:sz w:val="20"/>
                <w:szCs w:val="20"/>
                <w:color w:val="auto"/>
              </w:rPr>
            </w:pPr>
            <w:r>
              <w:rPr>
                <w:rFonts w:ascii="Arial" w:cs="Arial" w:eastAsia="Arial" w:hAnsi="Arial"/>
                <w:sz w:val="14"/>
                <w:szCs w:val="14"/>
                <w:b w:val="1"/>
                <w:bCs w:val="1"/>
                <w:color w:val="FFFFFF"/>
              </w:rPr>
              <w:t>Vested</w:t>
            </w:r>
            <w:r>
              <w:rPr>
                <w:rFonts w:ascii="Arial" w:cs="Arial" w:eastAsia="Arial" w:hAnsi="Arial"/>
                <w:sz w:val="18"/>
                <w:szCs w:val="18"/>
                <w:b w:val="1"/>
                <w:bCs w:val="1"/>
                <w:color w:val="FFFFFF"/>
                <w:vertAlign w:val="superscript"/>
              </w:rPr>
              <w:t>(1)</w:t>
            </w:r>
          </w:p>
        </w:tc>
      </w:tr>
      <w:tr>
        <w:trPr>
          <w:trHeight w:val="196"/>
        </w:trPr>
        <w:tc>
          <w:tcPr>
            <w:tcW w:w="218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1020" w:type="dxa"/>
            <w:vAlign w:val="bottom"/>
            <w:shd w:val="clear" w:color="auto" w:fill="0336FF"/>
          </w:tcPr>
          <w:p>
            <w:pPr>
              <w:jc w:val="center"/>
              <w:spacing w:after="0"/>
              <w:rPr>
                <w:sz w:val="20"/>
                <w:szCs w:val="20"/>
                <w:color w:val="auto"/>
              </w:rPr>
            </w:pPr>
            <w:r>
              <w:rPr>
                <w:rFonts w:ascii="Arial" w:cs="Arial" w:eastAsia="Arial" w:hAnsi="Arial"/>
                <w:sz w:val="14"/>
                <w:szCs w:val="14"/>
                <w:b w:val="1"/>
                <w:bCs w:val="1"/>
                <w:color w:val="FFFFFF"/>
              </w:rPr>
              <w:t>Grant Date</w:t>
            </w:r>
          </w:p>
        </w:tc>
        <w:tc>
          <w:tcPr>
            <w:tcW w:w="13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w:t>
            </w:r>
          </w:p>
        </w:tc>
        <w:tc>
          <w:tcPr>
            <w:tcW w:w="380" w:type="dxa"/>
            <w:vAlign w:val="bottom"/>
            <w:shd w:val="clear" w:color="auto" w:fill="0336FF"/>
          </w:tcPr>
          <w:p>
            <w:pPr>
              <w:spacing w:after="0"/>
              <w:rPr>
                <w:sz w:val="17"/>
                <w:szCs w:val="17"/>
                <w:color w:val="auto"/>
              </w:rPr>
            </w:pPr>
          </w:p>
        </w:tc>
        <w:tc>
          <w:tcPr>
            <w:tcW w:w="1960" w:type="dxa"/>
            <w:vAlign w:val="bottom"/>
            <w:gridSpan w:val="2"/>
            <w:shd w:val="clear" w:color="auto" w:fill="0336FF"/>
          </w:tcPr>
          <w:p>
            <w:pPr>
              <w:ind w:left="560"/>
              <w:spacing w:after="0"/>
              <w:rPr>
                <w:sz w:val="20"/>
                <w:szCs w:val="20"/>
                <w:color w:val="auto"/>
              </w:rPr>
            </w:pPr>
            <w:r>
              <w:rPr>
                <w:rFonts w:ascii="Arial" w:cs="Arial" w:eastAsia="Arial" w:hAnsi="Arial"/>
                <w:sz w:val="14"/>
                <w:szCs w:val="14"/>
                <w:b w:val="1"/>
                <w:bCs w:val="1"/>
                <w:color w:val="FFFFFF"/>
              </w:rPr>
              <w:t>($) Expiration Date</w:t>
            </w:r>
          </w:p>
        </w:tc>
        <w:tc>
          <w:tcPr>
            <w:tcW w:w="1900" w:type="dxa"/>
            <w:vAlign w:val="bottom"/>
            <w:shd w:val="clear" w:color="auto" w:fill="0336FF"/>
          </w:tcPr>
          <w:p>
            <w:pPr>
              <w:jc w:val="right"/>
              <w:ind w:right="748"/>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2180" w:type="dxa"/>
            <w:vAlign w:val="bottom"/>
            <w:shd w:val="clear" w:color="auto" w:fill="0336FF"/>
          </w:tcPr>
          <w:p>
            <w:pPr>
              <w:spacing w:after="0"/>
              <w:rPr>
                <w:sz w:val="6"/>
                <w:szCs w:val="6"/>
                <w:color w:val="auto"/>
              </w:rPr>
            </w:pPr>
          </w:p>
        </w:tc>
        <w:tc>
          <w:tcPr>
            <w:tcW w:w="1020" w:type="dxa"/>
            <w:vAlign w:val="bottom"/>
            <w:shd w:val="clear" w:color="auto" w:fill="0336FF"/>
          </w:tcPr>
          <w:p>
            <w:pPr>
              <w:spacing w:after="0"/>
              <w:rPr>
                <w:sz w:val="6"/>
                <w:szCs w:val="6"/>
                <w:color w:val="auto"/>
              </w:rPr>
            </w:pPr>
          </w:p>
        </w:tc>
        <w:tc>
          <w:tcPr>
            <w:tcW w:w="1340" w:type="dxa"/>
            <w:vAlign w:val="bottom"/>
            <w:shd w:val="clear" w:color="auto" w:fill="0336FF"/>
          </w:tcPr>
          <w:p>
            <w:pPr>
              <w:spacing w:after="0"/>
              <w:rPr>
                <w:sz w:val="6"/>
                <w:szCs w:val="6"/>
                <w:color w:val="auto"/>
              </w:rPr>
            </w:pPr>
          </w:p>
        </w:tc>
        <w:tc>
          <w:tcPr>
            <w:tcW w:w="1460" w:type="dxa"/>
            <w:vAlign w:val="bottom"/>
            <w:shd w:val="clear" w:color="auto" w:fill="0336FF"/>
          </w:tcPr>
          <w:p>
            <w:pPr>
              <w:spacing w:after="0"/>
              <w:rPr>
                <w:sz w:val="6"/>
                <w:szCs w:val="6"/>
                <w:color w:val="auto"/>
              </w:rPr>
            </w:pPr>
          </w:p>
        </w:tc>
        <w:tc>
          <w:tcPr>
            <w:tcW w:w="380" w:type="dxa"/>
            <w:vAlign w:val="bottom"/>
            <w:shd w:val="clear" w:color="auto" w:fill="0336FF"/>
          </w:tcPr>
          <w:p>
            <w:pPr>
              <w:spacing w:after="0"/>
              <w:rPr>
                <w:sz w:val="6"/>
                <w:szCs w:val="6"/>
                <w:color w:val="auto"/>
              </w:rPr>
            </w:pPr>
          </w:p>
        </w:tc>
        <w:tc>
          <w:tcPr>
            <w:tcW w:w="880" w:type="dxa"/>
            <w:vAlign w:val="bottom"/>
            <w:shd w:val="clear" w:color="auto" w:fill="0336FF"/>
          </w:tcPr>
          <w:p>
            <w:pPr>
              <w:spacing w:after="0"/>
              <w:rPr>
                <w:sz w:val="6"/>
                <w:szCs w:val="6"/>
                <w:color w:val="auto"/>
              </w:rPr>
            </w:pPr>
          </w:p>
        </w:tc>
        <w:tc>
          <w:tcPr>
            <w:tcW w:w="1080" w:type="dxa"/>
            <w:vAlign w:val="bottom"/>
            <w:shd w:val="clear" w:color="auto" w:fill="0336FF"/>
          </w:tcPr>
          <w:p>
            <w:pPr>
              <w:spacing w:after="0"/>
              <w:rPr>
                <w:sz w:val="6"/>
                <w:szCs w:val="6"/>
                <w:color w:val="auto"/>
              </w:rPr>
            </w:pPr>
          </w:p>
        </w:tc>
        <w:tc>
          <w:tcPr>
            <w:tcW w:w="1900" w:type="dxa"/>
            <w:vAlign w:val="bottom"/>
            <w:shd w:val="clear" w:color="auto" w:fill="0336FF"/>
          </w:tcPr>
          <w:p>
            <w:pPr>
              <w:spacing w:after="0"/>
              <w:rPr>
                <w:sz w:val="6"/>
                <w:szCs w:val="6"/>
                <w:color w:val="auto"/>
              </w:rPr>
            </w:pPr>
          </w:p>
        </w:tc>
        <w:tc>
          <w:tcPr>
            <w:tcW w:w="1000" w:type="dxa"/>
            <w:vAlign w:val="bottom"/>
            <w:shd w:val="clear" w:color="auto" w:fill="0336FF"/>
          </w:tcPr>
          <w:p>
            <w:pPr>
              <w:spacing w:after="0"/>
              <w:rPr>
                <w:sz w:val="6"/>
                <w:szCs w:val="6"/>
                <w:color w:val="auto"/>
              </w:rPr>
            </w:pPr>
          </w:p>
        </w:tc>
      </w:tr>
      <w:tr>
        <w:trPr>
          <w:trHeight w:val="248"/>
        </w:trPr>
        <w:tc>
          <w:tcPr>
            <w:tcW w:w="2180" w:type="dxa"/>
            <w:vAlign w:val="bottom"/>
          </w:tcPr>
          <w:p>
            <w:pPr>
              <w:ind w:left="100"/>
              <w:spacing w:after="0"/>
              <w:rPr>
                <w:sz w:val="20"/>
                <w:szCs w:val="20"/>
                <w:color w:val="auto"/>
              </w:rPr>
            </w:pPr>
            <w:r>
              <w:rPr>
                <w:rFonts w:ascii="Arial" w:cs="Arial" w:eastAsia="Arial" w:hAnsi="Arial"/>
                <w:sz w:val="14"/>
                <w:szCs w:val="14"/>
                <w:b w:val="1"/>
                <w:bCs w:val="1"/>
                <w:color w:val="2D3243"/>
              </w:rPr>
              <w:t>Andy Dignan</w:t>
            </w:r>
          </w:p>
        </w:tc>
        <w:tc>
          <w:tcPr>
            <w:tcW w:w="102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10/01/18</w:t>
            </w:r>
          </w:p>
        </w:tc>
        <w:tc>
          <w:tcPr>
            <w:tcW w:w="13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320</w:t>
            </w:r>
          </w:p>
        </w:tc>
        <w:tc>
          <w:tcPr>
            <w:tcW w:w="146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380" w:type="dxa"/>
            <w:vAlign w:val="bottom"/>
            <w:shd w:val="clear" w:color="auto" w:fill="F0F1F2"/>
          </w:tcPr>
          <w:p>
            <w:pPr>
              <w:jc w:val="right"/>
              <w:ind w:right="166"/>
              <w:spacing w:after="0"/>
              <w:rPr>
                <w:sz w:val="20"/>
                <w:szCs w:val="20"/>
                <w:color w:val="auto"/>
              </w:rPr>
            </w:pPr>
            <w:r>
              <w:rPr>
                <w:rFonts w:ascii="Arial" w:cs="Arial" w:eastAsia="Arial" w:hAnsi="Arial"/>
                <w:sz w:val="11"/>
                <w:szCs w:val="11"/>
                <w:color w:val="2D3243"/>
              </w:rPr>
              <w:t>(3)</w:t>
            </w:r>
          </w:p>
        </w:tc>
        <w:tc>
          <w:tcPr>
            <w:tcW w:w="880" w:type="dxa"/>
            <w:vAlign w:val="bottom"/>
            <w:shd w:val="clear" w:color="auto" w:fill="F0F1F2"/>
          </w:tcPr>
          <w:p>
            <w:pPr>
              <w:jc w:val="right"/>
              <w:ind w:right="68"/>
              <w:spacing w:after="0"/>
              <w:rPr>
                <w:sz w:val="20"/>
                <w:szCs w:val="20"/>
                <w:color w:val="auto"/>
              </w:rPr>
            </w:pPr>
            <w:r>
              <w:rPr>
                <w:rFonts w:ascii="Arial" w:cs="Arial" w:eastAsia="Arial" w:hAnsi="Arial"/>
                <w:sz w:val="14"/>
                <w:szCs w:val="14"/>
                <w:color w:val="2D3243"/>
              </w:rPr>
              <w:t>42.25</w:t>
            </w:r>
          </w:p>
        </w:tc>
        <w:tc>
          <w:tcPr>
            <w:tcW w:w="1080" w:type="dxa"/>
            <w:vAlign w:val="bottom"/>
            <w:shd w:val="clear" w:color="auto" w:fill="F0F1F2"/>
          </w:tcPr>
          <w:p>
            <w:pPr>
              <w:jc w:val="center"/>
              <w:ind w:right="168"/>
              <w:spacing w:after="0"/>
              <w:rPr>
                <w:sz w:val="20"/>
                <w:szCs w:val="20"/>
                <w:color w:val="auto"/>
              </w:rPr>
            </w:pPr>
            <w:r>
              <w:rPr>
                <w:rFonts w:ascii="Arial" w:cs="Arial" w:eastAsia="Arial" w:hAnsi="Arial"/>
                <w:sz w:val="14"/>
                <w:szCs w:val="14"/>
                <w:color w:val="2D3243"/>
              </w:rPr>
              <w:t>10/01/28</w:t>
            </w:r>
          </w:p>
        </w:tc>
        <w:tc>
          <w:tcPr>
            <w:tcW w:w="1900" w:type="dxa"/>
            <w:vAlign w:val="bottom"/>
            <w:shd w:val="clear" w:color="auto" w:fill="F0F1F2"/>
          </w:tcPr>
          <w:p>
            <w:pPr>
              <w:spacing w:after="0"/>
              <w:rPr>
                <w:sz w:val="21"/>
                <w:szCs w:val="21"/>
                <w:color w:val="auto"/>
              </w:rPr>
            </w:pPr>
          </w:p>
        </w:tc>
        <w:tc>
          <w:tcPr>
            <w:tcW w:w="1000" w:type="dxa"/>
            <w:vAlign w:val="bottom"/>
            <w:shd w:val="clear" w:color="auto" w:fill="F0F1F2"/>
          </w:tcPr>
          <w:p>
            <w:pPr>
              <w:spacing w:after="0"/>
              <w:rPr>
                <w:sz w:val="21"/>
                <w:szCs w:val="21"/>
                <w:color w:val="auto"/>
              </w:rPr>
            </w:pPr>
          </w:p>
        </w:tc>
      </w:tr>
      <w:tr>
        <w:trPr>
          <w:trHeight w:val="76"/>
        </w:trPr>
        <w:tc>
          <w:tcPr>
            <w:tcW w:w="2180" w:type="dxa"/>
            <w:vAlign w:val="bottom"/>
          </w:tcPr>
          <w:p>
            <w:pPr>
              <w:spacing w:after="0"/>
              <w:rPr>
                <w:sz w:val="6"/>
                <w:szCs w:val="6"/>
                <w:color w:val="auto"/>
              </w:rPr>
            </w:pPr>
          </w:p>
        </w:tc>
        <w:tc>
          <w:tcPr>
            <w:tcW w:w="1020" w:type="dxa"/>
            <w:vAlign w:val="bottom"/>
            <w:shd w:val="clear" w:color="auto" w:fill="F0F1F2"/>
          </w:tcPr>
          <w:p>
            <w:pPr>
              <w:spacing w:after="0"/>
              <w:rPr>
                <w:sz w:val="6"/>
                <w:szCs w:val="6"/>
                <w:color w:val="auto"/>
              </w:rPr>
            </w:pPr>
          </w:p>
        </w:tc>
        <w:tc>
          <w:tcPr>
            <w:tcW w:w="1340" w:type="dxa"/>
            <w:vAlign w:val="bottom"/>
            <w:shd w:val="clear" w:color="auto" w:fill="F0F1F2"/>
          </w:tcPr>
          <w:p>
            <w:pPr>
              <w:spacing w:after="0"/>
              <w:rPr>
                <w:sz w:val="6"/>
                <w:szCs w:val="6"/>
                <w:color w:val="auto"/>
              </w:rPr>
            </w:pPr>
          </w:p>
        </w:tc>
        <w:tc>
          <w:tcPr>
            <w:tcW w:w="1460" w:type="dxa"/>
            <w:vAlign w:val="bottom"/>
            <w:shd w:val="clear" w:color="auto" w:fill="F0F1F2"/>
          </w:tcPr>
          <w:p>
            <w:pPr>
              <w:spacing w:after="0"/>
              <w:rPr>
                <w:sz w:val="6"/>
                <w:szCs w:val="6"/>
                <w:color w:val="auto"/>
              </w:rPr>
            </w:pPr>
          </w:p>
        </w:tc>
        <w:tc>
          <w:tcPr>
            <w:tcW w:w="380" w:type="dxa"/>
            <w:vAlign w:val="bottom"/>
            <w:shd w:val="clear" w:color="auto" w:fill="F0F1F2"/>
          </w:tcPr>
          <w:p>
            <w:pPr>
              <w:spacing w:after="0"/>
              <w:rPr>
                <w:sz w:val="6"/>
                <w:szCs w:val="6"/>
                <w:color w:val="auto"/>
              </w:rPr>
            </w:pPr>
          </w:p>
        </w:tc>
        <w:tc>
          <w:tcPr>
            <w:tcW w:w="880" w:type="dxa"/>
            <w:vAlign w:val="bottom"/>
            <w:shd w:val="clear" w:color="auto" w:fill="F0F1F2"/>
          </w:tcPr>
          <w:p>
            <w:pPr>
              <w:spacing w:after="0"/>
              <w:rPr>
                <w:sz w:val="6"/>
                <w:szCs w:val="6"/>
                <w:color w:val="auto"/>
              </w:rPr>
            </w:pPr>
          </w:p>
        </w:tc>
        <w:tc>
          <w:tcPr>
            <w:tcW w:w="1080" w:type="dxa"/>
            <w:vAlign w:val="bottom"/>
            <w:shd w:val="clear" w:color="auto" w:fill="F0F1F2"/>
          </w:tcPr>
          <w:p>
            <w:pPr>
              <w:spacing w:after="0"/>
              <w:rPr>
                <w:sz w:val="6"/>
                <w:szCs w:val="6"/>
                <w:color w:val="auto"/>
              </w:rPr>
            </w:pPr>
          </w:p>
        </w:tc>
        <w:tc>
          <w:tcPr>
            <w:tcW w:w="1900" w:type="dxa"/>
            <w:vAlign w:val="bottom"/>
            <w:shd w:val="clear" w:color="auto" w:fill="F0F1F2"/>
          </w:tcPr>
          <w:p>
            <w:pPr>
              <w:spacing w:after="0"/>
              <w:rPr>
                <w:sz w:val="6"/>
                <w:szCs w:val="6"/>
                <w:color w:val="auto"/>
              </w:rPr>
            </w:pPr>
          </w:p>
        </w:tc>
        <w:tc>
          <w:tcPr>
            <w:tcW w:w="1000" w:type="dxa"/>
            <w:vAlign w:val="bottom"/>
            <w:shd w:val="clear" w:color="auto" w:fill="F0F1F2"/>
          </w:tcPr>
          <w:p>
            <w:pPr>
              <w:spacing w:after="0"/>
              <w:rPr>
                <w:sz w:val="6"/>
                <w:szCs w:val="6"/>
                <w:color w:val="auto"/>
              </w:rPr>
            </w:pPr>
          </w:p>
        </w:tc>
      </w:tr>
      <w:tr>
        <w:trPr>
          <w:trHeight w:val="248"/>
        </w:trPr>
        <w:tc>
          <w:tcPr>
            <w:tcW w:w="21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2D3243"/>
              </w:rPr>
              <w:t>05/06/19</w:t>
            </w:r>
          </w:p>
        </w:tc>
        <w:tc>
          <w:tcPr>
            <w:tcW w:w="13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1,042</w:t>
            </w:r>
          </w:p>
        </w:tc>
        <w:tc>
          <w:tcPr>
            <w:tcW w:w="146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380" w:type="dxa"/>
            <w:vAlign w:val="bottom"/>
            <w:shd w:val="clear" w:color="auto" w:fill="F0F1F2"/>
          </w:tcPr>
          <w:p>
            <w:pPr>
              <w:jc w:val="right"/>
              <w:ind w:right="166"/>
              <w:spacing w:after="0"/>
              <w:rPr>
                <w:sz w:val="20"/>
                <w:szCs w:val="20"/>
                <w:color w:val="auto"/>
              </w:rPr>
            </w:pPr>
            <w:r>
              <w:rPr>
                <w:rFonts w:ascii="Arial" w:cs="Arial" w:eastAsia="Arial" w:hAnsi="Arial"/>
                <w:sz w:val="11"/>
                <w:szCs w:val="11"/>
                <w:color w:val="2D3243"/>
              </w:rPr>
              <w:t>(2)</w:t>
            </w:r>
          </w:p>
        </w:tc>
        <w:tc>
          <w:tcPr>
            <w:tcW w:w="880" w:type="dxa"/>
            <w:vAlign w:val="bottom"/>
            <w:shd w:val="clear" w:color="auto" w:fill="F0F1F2"/>
          </w:tcPr>
          <w:p>
            <w:pPr>
              <w:jc w:val="right"/>
              <w:ind w:right="68"/>
              <w:spacing w:after="0"/>
              <w:rPr>
                <w:sz w:val="20"/>
                <w:szCs w:val="20"/>
                <w:color w:val="auto"/>
              </w:rPr>
            </w:pPr>
            <w:r>
              <w:rPr>
                <w:rFonts w:ascii="Arial" w:cs="Arial" w:eastAsia="Arial" w:hAnsi="Arial"/>
                <w:sz w:val="14"/>
                <w:szCs w:val="14"/>
                <w:color w:val="2D3243"/>
              </w:rPr>
              <w:t>51.00</w:t>
            </w:r>
          </w:p>
        </w:tc>
        <w:tc>
          <w:tcPr>
            <w:tcW w:w="1080" w:type="dxa"/>
            <w:vAlign w:val="bottom"/>
            <w:shd w:val="clear" w:color="auto" w:fill="F0F1F2"/>
          </w:tcPr>
          <w:p>
            <w:pPr>
              <w:jc w:val="center"/>
              <w:ind w:right="168"/>
              <w:spacing w:after="0"/>
              <w:rPr>
                <w:sz w:val="20"/>
                <w:szCs w:val="20"/>
                <w:color w:val="auto"/>
              </w:rPr>
            </w:pPr>
            <w:r>
              <w:rPr>
                <w:rFonts w:ascii="Arial" w:cs="Arial" w:eastAsia="Arial" w:hAnsi="Arial"/>
                <w:sz w:val="14"/>
                <w:szCs w:val="14"/>
                <w:color w:val="2D3243"/>
              </w:rPr>
              <w:t>05/06/29</w:t>
            </w:r>
          </w:p>
        </w:tc>
        <w:tc>
          <w:tcPr>
            <w:tcW w:w="1900" w:type="dxa"/>
            <w:vAlign w:val="bottom"/>
            <w:shd w:val="clear" w:color="auto" w:fill="F0F1F2"/>
          </w:tcPr>
          <w:p>
            <w:pPr>
              <w:spacing w:after="0"/>
              <w:rPr>
                <w:sz w:val="21"/>
                <w:szCs w:val="21"/>
                <w:color w:val="auto"/>
              </w:rPr>
            </w:pPr>
          </w:p>
        </w:tc>
        <w:tc>
          <w:tcPr>
            <w:tcW w:w="1000" w:type="dxa"/>
            <w:vAlign w:val="bottom"/>
            <w:shd w:val="clear" w:color="auto" w:fill="F0F1F2"/>
          </w:tcPr>
          <w:p>
            <w:pPr>
              <w:spacing w:after="0"/>
              <w:rPr>
                <w:sz w:val="21"/>
                <w:szCs w:val="21"/>
                <w:color w:val="auto"/>
              </w:rPr>
            </w:pPr>
          </w:p>
        </w:tc>
      </w:tr>
      <w:tr>
        <w:trPr>
          <w:trHeight w:val="324"/>
        </w:trPr>
        <w:tc>
          <w:tcPr>
            <w:tcW w:w="2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2D3243"/>
              </w:rPr>
              <w:t>02/05/20</w:t>
            </w:r>
          </w:p>
        </w:tc>
        <w:tc>
          <w:tcPr>
            <w:tcW w:w="13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654</w:t>
            </w:r>
          </w:p>
        </w:tc>
        <w:tc>
          <w:tcPr>
            <w:tcW w:w="146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77</w:t>
            </w:r>
          </w:p>
        </w:tc>
        <w:tc>
          <w:tcPr>
            <w:tcW w:w="380" w:type="dxa"/>
            <w:vAlign w:val="bottom"/>
            <w:shd w:val="clear" w:color="auto" w:fill="F0F1F2"/>
          </w:tcPr>
          <w:p>
            <w:pPr>
              <w:jc w:val="right"/>
              <w:ind w:right="166"/>
              <w:spacing w:after="0"/>
              <w:rPr>
                <w:sz w:val="20"/>
                <w:szCs w:val="20"/>
                <w:color w:val="auto"/>
              </w:rPr>
            </w:pPr>
            <w:r>
              <w:rPr>
                <w:rFonts w:ascii="Arial" w:cs="Arial" w:eastAsia="Arial" w:hAnsi="Arial"/>
                <w:sz w:val="11"/>
                <w:szCs w:val="11"/>
                <w:color w:val="2D3243"/>
              </w:rPr>
              <w:t>(2)</w:t>
            </w:r>
          </w:p>
        </w:tc>
        <w:tc>
          <w:tcPr>
            <w:tcW w:w="880" w:type="dxa"/>
            <w:vAlign w:val="bottom"/>
            <w:shd w:val="clear" w:color="auto" w:fill="F0F1F2"/>
          </w:tcPr>
          <w:p>
            <w:pPr>
              <w:jc w:val="right"/>
              <w:ind w:right="68"/>
              <w:spacing w:after="0"/>
              <w:rPr>
                <w:sz w:val="20"/>
                <w:szCs w:val="20"/>
                <w:color w:val="auto"/>
              </w:rPr>
            </w:pPr>
            <w:r>
              <w:rPr>
                <w:rFonts w:ascii="Arial" w:cs="Arial" w:eastAsia="Arial" w:hAnsi="Arial"/>
                <w:sz w:val="14"/>
                <w:szCs w:val="14"/>
                <w:color w:val="2D3243"/>
              </w:rPr>
              <w:t>73.28</w:t>
            </w:r>
          </w:p>
        </w:tc>
        <w:tc>
          <w:tcPr>
            <w:tcW w:w="1080" w:type="dxa"/>
            <w:vAlign w:val="bottom"/>
            <w:shd w:val="clear" w:color="auto" w:fill="F0F1F2"/>
          </w:tcPr>
          <w:p>
            <w:pPr>
              <w:jc w:val="center"/>
              <w:ind w:right="168"/>
              <w:spacing w:after="0"/>
              <w:rPr>
                <w:sz w:val="20"/>
                <w:szCs w:val="20"/>
                <w:color w:val="auto"/>
              </w:rPr>
            </w:pPr>
            <w:r>
              <w:rPr>
                <w:rFonts w:ascii="Arial" w:cs="Arial" w:eastAsia="Arial" w:hAnsi="Arial"/>
                <w:sz w:val="14"/>
                <w:szCs w:val="14"/>
                <w:color w:val="2D3243"/>
              </w:rPr>
              <w:t>02/05/30</w:t>
            </w:r>
          </w:p>
        </w:tc>
        <w:tc>
          <w:tcPr>
            <w:tcW w:w="1900" w:type="dxa"/>
            <w:vAlign w:val="bottom"/>
            <w:shd w:val="clear" w:color="auto" w:fill="F0F1F2"/>
          </w:tcPr>
          <w:p>
            <w:pPr>
              <w:spacing w:after="0"/>
              <w:rPr>
                <w:sz w:val="24"/>
                <w:szCs w:val="24"/>
                <w:color w:val="auto"/>
              </w:rPr>
            </w:pPr>
          </w:p>
        </w:tc>
        <w:tc>
          <w:tcPr>
            <w:tcW w:w="1000" w:type="dxa"/>
            <w:vAlign w:val="bottom"/>
            <w:shd w:val="clear" w:color="auto" w:fill="F0F1F2"/>
          </w:tcPr>
          <w:p>
            <w:pPr>
              <w:spacing w:after="0"/>
              <w:rPr>
                <w:sz w:val="24"/>
                <w:szCs w:val="24"/>
                <w:color w:val="auto"/>
              </w:rPr>
            </w:pPr>
          </w:p>
        </w:tc>
      </w:tr>
      <w:tr>
        <w:trPr>
          <w:trHeight w:val="324"/>
        </w:trPr>
        <w:tc>
          <w:tcPr>
            <w:tcW w:w="2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2D3243"/>
              </w:rPr>
              <w:t>02/24/20</w:t>
            </w:r>
          </w:p>
        </w:tc>
        <w:tc>
          <w:tcPr>
            <w:tcW w:w="13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2,583</w:t>
            </w:r>
          </w:p>
        </w:tc>
        <w:tc>
          <w:tcPr>
            <w:tcW w:w="146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304</w:t>
            </w:r>
          </w:p>
        </w:tc>
        <w:tc>
          <w:tcPr>
            <w:tcW w:w="380" w:type="dxa"/>
            <w:vAlign w:val="bottom"/>
            <w:shd w:val="clear" w:color="auto" w:fill="F0F1F2"/>
          </w:tcPr>
          <w:p>
            <w:pPr>
              <w:jc w:val="right"/>
              <w:ind w:right="166"/>
              <w:spacing w:after="0"/>
              <w:rPr>
                <w:sz w:val="20"/>
                <w:szCs w:val="20"/>
                <w:color w:val="auto"/>
              </w:rPr>
            </w:pPr>
            <w:r>
              <w:rPr>
                <w:rFonts w:ascii="Arial" w:cs="Arial" w:eastAsia="Arial" w:hAnsi="Arial"/>
                <w:sz w:val="11"/>
                <w:szCs w:val="11"/>
                <w:color w:val="2D3243"/>
              </w:rPr>
              <w:t>(2)</w:t>
            </w:r>
          </w:p>
        </w:tc>
        <w:tc>
          <w:tcPr>
            <w:tcW w:w="880" w:type="dxa"/>
            <w:vAlign w:val="bottom"/>
            <w:shd w:val="clear" w:color="auto" w:fill="F0F1F2"/>
          </w:tcPr>
          <w:p>
            <w:pPr>
              <w:jc w:val="right"/>
              <w:ind w:right="68"/>
              <w:spacing w:after="0"/>
              <w:rPr>
                <w:sz w:val="20"/>
                <w:szCs w:val="20"/>
                <w:color w:val="auto"/>
              </w:rPr>
            </w:pPr>
            <w:r>
              <w:rPr>
                <w:rFonts w:ascii="Arial" w:cs="Arial" w:eastAsia="Arial" w:hAnsi="Arial"/>
                <w:sz w:val="14"/>
                <w:szCs w:val="14"/>
                <w:color w:val="2D3243"/>
              </w:rPr>
              <w:t>72.29</w:t>
            </w:r>
          </w:p>
        </w:tc>
        <w:tc>
          <w:tcPr>
            <w:tcW w:w="1080" w:type="dxa"/>
            <w:vAlign w:val="bottom"/>
            <w:shd w:val="clear" w:color="auto" w:fill="F0F1F2"/>
          </w:tcPr>
          <w:p>
            <w:pPr>
              <w:jc w:val="center"/>
              <w:ind w:right="168"/>
              <w:spacing w:after="0"/>
              <w:rPr>
                <w:sz w:val="20"/>
                <w:szCs w:val="20"/>
                <w:color w:val="auto"/>
              </w:rPr>
            </w:pPr>
            <w:r>
              <w:rPr>
                <w:rFonts w:ascii="Arial" w:cs="Arial" w:eastAsia="Arial" w:hAnsi="Arial"/>
                <w:sz w:val="14"/>
                <w:szCs w:val="14"/>
                <w:color w:val="2D3243"/>
              </w:rPr>
              <w:t>02/24/30</w:t>
            </w:r>
          </w:p>
        </w:tc>
        <w:tc>
          <w:tcPr>
            <w:tcW w:w="1900" w:type="dxa"/>
            <w:vAlign w:val="bottom"/>
            <w:shd w:val="clear" w:color="auto" w:fill="F0F1F2"/>
          </w:tcPr>
          <w:p>
            <w:pPr>
              <w:spacing w:after="0"/>
              <w:rPr>
                <w:sz w:val="24"/>
                <w:szCs w:val="24"/>
                <w:color w:val="auto"/>
              </w:rPr>
            </w:pPr>
          </w:p>
        </w:tc>
        <w:tc>
          <w:tcPr>
            <w:tcW w:w="1000" w:type="dxa"/>
            <w:vAlign w:val="bottom"/>
            <w:shd w:val="clear" w:color="auto" w:fill="F0F1F2"/>
          </w:tcPr>
          <w:p>
            <w:pPr>
              <w:spacing w:after="0"/>
              <w:rPr>
                <w:sz w:val="24"/>
                <w:szCs w:val="24"/>
                <w:color w:val="auto"/>
              </w:rPr>
            </w:pPr>
          </w:p>
        </w:tc>
      </w:tr>
      <w:tr>
        <w:trPr>
          <w:trHeight w:val="324"/>
        </w:trPr>
        <w:tc>
          <w:tcPr>
            <w:tcW w:w="2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2D3243"/>
              </w:rPr>
              <w:t>02/28/22</w:t>
            </w:r>
          </w:p>
        </w:tc>
        <w:tc>
          <w:tcPr>
            <w:tcW w:w="13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3,746</w:t>
            </w:r>
          </w:p>
        </w:tc>
        <w:tc>
          <w:tcPr>
            <w:tcW w:w="146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4,429</w:t>
            </w:r>
          </w:p>
        </w:tc>
        <w:tc>
          <w:tcPr>
            <w:tcW w:w="380" w:type="dxa"/>
            <w:vAlign w:val="bottom"/>
            <w:shd w:val="clear" w:color="auto" w:fill="F0F1F2"/>
          </w:tcPr>
          <w:p>
            <w:pPr>
              <w:jc w:val="right"/>
              <w:ind w:right="166"/>
              <w:spacing w:after="0"/>
              <w:rPr>
                <w:sz w:val="20"/>
                <w:szCs w:val="20"/>
                <w:color w:val="auto"/>
              </w:rPr>
            </w:pPr>
            <w:r>
              <w:rPr>
                <w:rFonts w:ascii="Arial" w:cs="Arial" w:eastAsia="Arial" w:hAnsi="Arial"/>
                <w:sz w:val="11"/>
                <w:szCs w:val="11"/>
                <w:color w:val="2D3243"/>
              </w:rPr>
              <w:t>(2)</w:t>
            </w:r>
          </w:p>
        </w:tc>
        <w:tc>
          <w:tcPr>
            <w:tcW w:w="880" w:type="dxa"/>
            <w:vAlign w:val="bottom"/>
            <w:shd w:val="clear" w:color="auto" w:fill="F0F1F2"/>
          </w:tcPr>
          <w:p>
            <w:pPr>
              <w:jc w:val="right"/>
              <w:ind w:right="68"/>
              <w:spacing w:after="0"/>
              <w:rPr>
                <w:sz w:val="20"/>
                <w:szCs w:val="20"/>
                <w:color w:val="auto"/>
              </w:rPr>
            </w:pPr>
            <w:r>
              <w:rPr>
                <w:rFonts w:ascii="Arial" w:cs="Arial" w:eastAsia="Arial" w:hAnsi="Arial"/>
                <w:sz w:val="14"/>
                <w:szCs w:val="14"/>
                <w:color w:val="2D3243"/>
              </w:rPr>
              <w:t>110.00</w:t>
            </w:r>
          </w:p>
        </w:tc>
        <w:tc>
          <w:tcPr>
            <w:tcW w:w="1080" w:type="dxa"/>
            <w:vAlign w:val="bottom"/>
            <w:shd w:val="clear" w:color="auto" w:fill="F0F1F2"/>
          </w:tcPr>
          <w:p>
            <w:pPr>
              <w:jc w:val="center"/>
              <w:ind w:right="168"/>
              <w:spacing w:after="0"/>
              <w:rPr>
                <w:sz w:val="20"/>
                <w:szCs w:val="20"/>
                <w:color w:val="auto"/>
              </w:rPr>
            </w:pPr>
            <w:r>
              <w:rPr>
                <w:rFonts w:ascii="Arial" w:cs="Arial" w:eastAsia="Arial" w:hAnsi="Arial"/>
                <w:sz w:val="14"/>
                <w:szCs w:val="14"/>
                <w:color w:val="2D3243"/>
              </w:rPr>
              <w:t>02/28/32</w:t>
            </w:r>
          </w:p>
        </w:tc>
        <w:tc>
          <w:tcPr>
            <w:tcW w:w="1900" w:type="dxa"/>
            <w:vAlign w:val="bottom"/>
            <w:shd w:val="clear" w:color="auto" w:fill="F0F1F2"/>
          </w:tcPr>
          <w:p>
            <w:pPr>
              <w:spacing w:after="0"/>
              <w:rPr>
                <w:sz w:val="24"/>
                <w:szCs w:val="24"/>
                <w:color w:val="auto"/>
              </w:rPr>
            </w:pPr>
          </w:p>
        </w:tc>
        <w:tc>
          <w:tcPr>
            <w:tcW w:w="1000" w:type="dxa"/>
            <w:vAlign w:val="bottom"/>
            <w:shd w:val="clear" w:color="auto" w:fill="F0F1F2"/>
          </w:tcPr>
          <w:p>
            <w:pPr>
              <w:spacing w:after="0"/>
              <w:rPr>
                <w:sz w:val="24"/>
                <w:szCs w:val="24"/>
                <w:color w:val="auto"/>
              </w:rPr>
            </w:pPr>
          </w:p>
        </w:tc>
      </w:tr>
      <w:tr>
        <w:trPr>
          <w:trHeight w:val="76"/>
        </w:trPr>
        <w:tc>
          <w:tcPr>
            <w:tcW w:w="2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40" w:type="dxa"/>
            <w:vAlign w:val="bottom"/>
            <w:shd w:val="clear" w:color="auto" w:fill="F0F1F2"/>
          </w:tcPr>
          <w:p>
            <w:pPr>
              <w:spacing w:after="0"/>
              <w:rPr>
                <w:sz w:val="6"/>
                <w:szCs w:val="6"/>
                <w:color w:val="auto"/>
              </w:rPr>
            </w:pPr>
          </w:p>
        </w:tc>
        <w:tc>
          <w:tcPr>
            <w:tcW w:w="1460" w:type="dxa"/>
            <w:vAlign w:val="bottom"/>
            <w:shd w:val="clear" w:color="auto" w:fill="F0F1F2"/>
          </w:tcPr>
          <w:p>
            <w:pPr>
              <w:spacing w:after="0"/>
              <w:rPr>
                <w:sz w:val="6"/>
                <w:szCs w:val="6"/>
                <w:color w:val="auto"/>
              </w:rPr>
            </w:pPr>
          </w:p>
        </w:tc>
        <w:tc>
          <w:tcPr>
            <w:tcW w:w="380" w:type="dxa"/>
            <w:vAlign w:val="bottom"/>
            <w:shd w:val="clear" w:color="auto" w:fill="F0F1F2"/>
          </w:tcPr>
          <w:p>
            <w:pPr>
              <w:spacing w:after="0"/>
              <w:rPr>
                <w:sz w:val="6"/>
                <w:szCs w:val="6"/>
                <w:color w:val="auto"/>
              </w:rPr>
            </w:pPr>
          </w:p>
        </w:tc>
        <w:tc>
          <w:tcPr>
            <w:tcW w:w="880" w:type="dxa"/>
            <w:vAlign w:val="bottom"/>
            <w:shd w:val="clear" w:color="auto" w:fill="F0F1F2"/>
          </w:tcPr>
          <w:p>
            <w:pPr>
              <w:spacing w:after="0"/>
              <w:rPr>
                <w:sz w:val="6"/>
                <w:szCs w:val="6"/>
                <w:color w:val="auto"/>
              </w:rPr>
            </w:pPr>
          </w:p>
        </w:tc>
        <w:tc>
          <w:tcPr>
            <w:tcW w:w="1080" w:type="dxa"/>
            <w:vAlign w:val="bottom"/>
            <w:shd w:val="clear" w:color="auto" w:fill="F0F1F2"/>
          </w:tcPr>
          <w:p>
            <w:pPr>
              <w:spacing w:after="0"/>
              <w:rPr>
                <w:sz w:val="6"/>
                <w:szCs w:val="6"/>
                <w:color w:val="auto"/>
              </w:rPr>
            </w:pPr>
          </w:p>
        </w:tc>
        <w:tc>
          <w:tcPr>
            <w:tcW w:w="1900" w:type="dxa"/>
            <w:vAlign w:val="bottom"/>
            <w:shd w:val="clear" w:color="auto" w:fill="F0F1F2"/>
          </w:tcPr>
          <w:p>
            <w:pPr>
              <w:spacing w:after="0"/>
              <w:rPr>
                <w:sz w:val="6"/>
                <w:szCs w:val="6"/>
                <w:color w:val="auto"/>
              </w:rPr>
            </w:pPr>
          </w:p>
        </w:tc>
        <w:tc>
          <w:tcPr>
            <w:tcW w:w="1000" w:type="dxa"/>
            <w:vAlign w:val="bottom"/>
            <w:shd w:val="clear" w:color="auto" w:fill="F0F1F2"/>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2031365" cy="2674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31365" cy="267462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-1877060</wp:posOffset>
            </wp:positionV>
            <wp:extent cx="50406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406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820" w:type="dxa"/>
            <w:vAlign w:val="bottom"/>
          </w:tcPr>
          <w:p>
            <w:pPr>
              <w:spacing w:after="0"/>
              <w:rPr>
                <w:sz w:val="19"/>
                <w:szCs w:val="19"/>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02/05/20</w:t>
            </w:r>
          </w:p>
        </w:tc>
        <w:tc>
          <w:tcPr>
            <w:tcW w:w="1340" w:type="dxa"/>
            <w:vAlign w:val="bottom"/>
            <w:shd w:val="clear" w:color="auto" w:fill="F0F1F2"/>
          </w:tcPr>
          <w:p>
            <w:pPr>
              <w:spacing w:after="0"/>
              <w:rPr>
                <w:sz w:val="19"/>
                <w:szCs w:val="19"/>
                <w:color w:val="auto"/>
              </w:rPr>
            </w:pPr>
          </w:p>
        </w:tc>
        <w:tc>
          <w:tcPr>
            <w:tcW w:w="1460" w:type="dxa"/>
            <w:vAlign w:val="bottom"/>
            <w:shd w:val="clear" w:color="auto" w:fill="F0F1F2"/>
          </w:tcPr>
          <w:p>
            <w:pPr>
              <w:spacing w:after="0"/>
              <w:rPr>
                <w:sz w:val="19"/>
                <w:szCs w:val="19"/>
                <w:color w:val="auto"/>
              </w:rPr>
            </w:pPr>
          </w:p>
        </w:tc>
        <w:tc>
          <w:tcPr>
            <w:tcW w:w="360" w:type="dxa"/>
            <w:vAlign w:val="bottom"/>
            <w:shd w:val="clear" w:color="auto" w:fill="F0F1F2"/>
          </w:tcPr>
          <w:p>
            <w:pPr>
              <w:spacing w:after="0"/>
              <w:rPr>
                <w:sz w:val="19"/>
                <w:szCs w:val="19"/>
                <w:color w:val="auto"/>
              </w:rPr>
            </w:pPr>
          </w:p>
        </w:tc>
        <w:tc>
          <w:tcPr>
            <w:tcW w:w="780" w:type="dxa"/>
            <w:vAlign w:val="bottom"/>
            <w:shd w:val="clear" w:color="auto" w:fill="F0F1F2"/>
          </w:tcPr>
          <w:p>
            <w:pPr>
              <w:spacing w:after="0"/>
              <w:rPr>
                <w:sz w:val="19"/>
                <w:szCs w:val="19"/>
                <w:color w:val="auto"/>
              </w:rPr>
            </w:pPr>
          </w:p>
        </w:tc>
        <w:tc>
          <w:tcPr>
            <w:tcW w:w="2280" w:type="dxa"/>
            <w:vAlign w:val="bottom"/>
            <w:gridSpan w:val="2"/>
            <w:shd w:val="clear" w:color="auto" w:fill="F0F1F2"/>
          </w:tcPr>
          <w:p>
            <w:pPr>
              <w:jc w:val="right"/>
              <w:spacing w:after="0"/>
              <w:rPr>
                <w:sz w:val="20"/>
                <w:szCs w:val="20"/>
                <w:color w:val="auto"/>
              </w:rPr>
            </w:pPr>
            <w:r>
              <w:rPr>
                <w:rFonts w:ascii="Arial" w:cs="Arial" w:eastAsia="Arial" w:hAnsi="Arial"/>
                <w:sz w:val="14"/>
                <w:szCs w:val="14"/>
                <w:color w:val="2D3243"/>
              </w:rPr>
              <w:t>158</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(6)</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12,433</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02/24/20</w:t>
            </w:r>
          </w:p>
        </w:tc>
        <w:tc>
          <w:tcPr>
            <w:tcW w:w="1340" w:type="dxa"/>
            <w:vAlign w:val="bottom"/>
            <w:shd w:val="clear" w:color="auto" w:fill="F0F1F2"/>
          </w:tcPr>
          <w:p>
            <w:pPr>
              <w:spacing w:after="0"/>
              <w:rPr>
                <w:sz w:val="24"/>
                <w:szCs w:val="24"/>
                <w:color w:val="auto"/>
              </w:rPr>
            </w:pPr>
          </w:p>
        </w:tc>
        <w:tc>
          <w:tcPr>
            <w:tcW w:w="146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2280" w:type="dxa"/>
            <w:vAlign w:val="bottom"/>
            <w:gridSpan w:val="2"/>
            <w:shd w:val="clear" w:color="auto" w:fill="F0F1F2"/>
          </w:tcPr>
          <w:p>
            <w:pPr>
              <w:jc w:val="right"/>
              <w:spacing w:after="0"/>
              <w:rPr>
                <w:sz w:val="20"/>
                <w:szCs w:val="20"/>
                <w:color w:val="auto"/>
              </w:rPr>
            </w:pPr>
            <w:r>
              <w:rPr>
                <w:rFonts w:ascii="Arial" w:cs="Arial" w:eastAsia="Arial" w:hAnsi="Arial"/>
                <w:sz w:val="14"/>
                <w:szCs w:val="14"/>
                <w:color w:val="2D3243"/>
              </w:rPr>
              <w:t>634</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(6)</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49,889</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02/25/21</w:t>
            </w:r>
          </w:p>
        </w:tc>
        <w:tc>
          <w:tcPr>
            <w:tcW w:w="1340" w:type="dxa"/>
            <w:vAlign w:val="bottom"/>
            <w:shd w:val="clear" w:color="auto" w:fill="F0F1F2"/>
          </w:tcPr>
          <w:p>
            <w:pPr>
              <w:spacing w:after="0"/>
              <w:rPr>
                <w:sz w:val="24"/>
                <w:szCs w:val="24"/>
                <w:color w:val="auto"/>
              </w:rPr>
            </w:pPr>
          </w:p>
        </w:tc>
        <w:tc>
          <w:tcPr>
            <w:tcW w:w="146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2280" w:type="dxa"/>
            <w:vAlign w:val="bottom"/>
            <w:gridSpan w:val="2"/>
            <w:shd w:val="clear" w:color="auto" w:fill="F0F1F2"/>
          </w:tcPr>
          <w:p>
            <w:pPr>
              <w:jc w:val="right"/>
              <w:spacing w:after="0"/>
              <w:rPr>
                <w:sz w:val="20"/>
                <w:szCs w:val="20"/>
                <w:color w:val="auto"/>
              </w:rPr>
            </w:pPr>
            <w:r>
              <w:rPr>
                <w:rFonts w:ascii="Arial" w:cs="Arial" w:eastAsia="Arial" w:hAnsi="Arial"/>
                <w:sz w:val="14"/>
                <w:szCs w:val="14"/>
                <w:color w:val="2D3243"/>
              </w:rPr>
              <w:t>630</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(6)</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49,575</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02/28/22</w:t>
            </w:r>
          </w:p>
        </w:tc>
        <w:tc>
          <w:tcPr>
            <w:tcW w:w="1340" w:type="dxa"/>
            <w:vAlign w:val="bottom"/>
            <w:shd w:val="clear" w:color="auto" w:fill="F0F1F2"/>
          </w:tcPr>
          <w:p>
            <w:pPr>
              <w:spacing w:after="0"/>
              <w:rPr>
                <w:sz w:val="24"/>
                <w:szCs w:val="24"/>
                <w:color w:val="auto"/>
              </w:rPr>
            </w:pPr>
          </w:p>
        </w:tc>
        <w:tc>
          <w:tcPr>
            <w:tcW w:w="146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2280" w:type="dxa"/>
            <w:vAlign w:val="bottom"/>
            <w:gridSpan w:val="2"/>
            <w:shd w:val="clear" w:color="auto" w:fill="F0F1F2"/>
          </w:tcPr>
          <w:p>
            <w:pPr>
              <w:jc w:val="right"/>
              <w:spacing w:after="0"/>
              <w:rPr>
                <w:sz w:val="20"/>
                <w:szCs w:val="20"/>
                <w:color w:val="auto"/>
              </w:rPr>
            </w:pPr>
            <w:r>
              <w:rPr>
                <w:rFonts w:ascii="Arial" w:cs="Arial" w:eastAsia="Arial" w:hAnsi="Arial"/>
                <w:sz w:val="14"/>
                <w:szCs w:val="14"/>
                <w:color w:val="2D3243"/>
              </w:rPr>
              <w:t>6,794</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(6)</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534,620</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68"/>
              <w:spacing w:after="0"/>
              <w:rPr>
                <w:sz w:val="20"/>
                <w:szCs w:val="20"/>
                <w:color w:val="auto"/>
              </w:rPr>
            </w:pPr>
            <w:r>
              <w:rPr>
                <w:rFonts w:ascii="Arial" w:cs="Arial" w:eastAsia="Arial" w:hAnsi="Arial"/>
                <w:sz w:val="14"/>
                <w:szCs w:val="14"/>
                <w:color w:val="2D3243"/>
              </w:rPr>
              <w:t>11/23/22</w:t>
            </w:r>
          </w:p>
        </w:tc>
        <w:tc>
          <w:tcPr>
            <w:tcW w:w="1340" w:type="dxa"/>
            <w:vAlign w:val="bottom"/>
            <w:shd w:val="clear" w:color="auto" w:fill="F0F1F2"/>
          </w:tcPr>
          <w:p>
            <w:pPr>
              <w:spacing w:after="0"/>
              <w:rPr>
                <w:sz w:val="24"/>
                <w:szCs w:val="24"/>
                <w:color w:val="auto"/>
              </w:rPr>
            </w:pPr>
          </w:p>
        </w:tc>
        <w:tc>
          <w:tcPr>
            <w:tcW w:w="146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1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8,654</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(11)</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680,983</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68"/>
              <w:spacing w:after="0"/>
              <w:rPr>
                <w:sz w:val="20"/>
                <w:szCs w:val="20"/>
                <w:color w:val="auto"/>
              </w:rPr>
            </w:pPr>
            <w:r>
              <w:rPr>
                <w:rFonts w:ascii="Arial" w:cs="Arial" w:eastAsia="Arial" w:hAnsi="Arial"/>
                <w:sz w:val="14"/>
                <w:szCs w:val="14"/>
                <w:color w:val="2D3243"/>
              </w:rPr>
              <w:t>11/23/22</w:t>
            </w:r>
          </w:p>
        </w:tc>
        <w:tc>
          <w:tcPr>
            <w:tcW w:w="1340" w:type="dxa"/>
            <w:vAlign w:val="bottom"/>
            <w:shd w:val="clear" w:color="auto" w:fill="F0F1F2"/>
          </w:tcPr>
          <w:p>
            <w:pPr>
              <w:spacing w:after="0"/>
              <w:rPr>
                <w:sz w:val="24"/>
                <w:szCs w:val="24"/>
                <w:color w:val="auto"/>
              </w:rPr>
            </w:pPr>
          </w:p>
        </w:tc>
        <w:tc>
          <w:tcPr>
            <w:tcW w:w="146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1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25,961</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(6)</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2,042,871</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02/27/23</w:t>
            </w:r>
          </w:p>
        </w:tc>
        <w:tc>
          <w:tcPr>
            <w:tcW w:w="1340" w:type="dxa"/>
            <w:vAlign w:val="bottom"/>
            <w:shd w:val="clear" w:color="auto" w:fill="F0F1F2"/>
          </w:tcPr>
          <w:p>
            <w:pPr>
              <w:spacing w:after="0"/>
              <w:rPr>
                <w:sz w:val="24"/>
                <w:szCs w:val="24"/>
                <w:color w:val="auto"/>
              </w:rPr>
            </w:pPr>
          </w:p>
        </w:tc>
        <w:tc>
          <w:tcPr>
            <w:tcW w:w="146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1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30,306</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(6)</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2,384,779</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68"/>
              <w:spacing w:after="0"/>
              <w:rPr>
                <w:sz w:val="20"/>
                <w:szCs w:val="20"/>
                <w:color w:val="auto"/>
              </w:rPr>
            </w:pPr>
            <w:r>
              <w:rPr>
                <w:rFonts w:ascii="Arial" w:cs="Arial" w:eastAsia="Arial" w:hAnsi="Arial"/>
                <w:sz w:val="14"/>
                <w:szCs w:val="14"/>
                <w:color w:val="2D3243"/>
              </w:rPr>
              <w:t>11/24/23</w:t>
            </w:r>
          </w:p>
        </w:tc>
        <w:tc>
          <w:tcPr>
            <w:tcW w:w="1340" w:type="dxa"/>
            <w:vAlign w:val="bottom"/>
            <w:shd w:val="clear" w:color="auto" w:fill="F0F1F2"/>
          </w:tcPr>
          <w:p>
            <w:pPr>
              <w:spacing w:after="0"/>
              <w:rPr>
                <w:sz w:val="24"/>
                <w:szCs w:val="24"/>
                <w:color w:val="auto"/>
              </w:rPr>
            </w:pPr>
          </w:p>
        </w:tc>
        <w:tc>
          <w:tcPr>
            <w:tcW w:w="1460" w:type="dxa"/>
            <w:vAlign w:val="bottom"/>
            <w:shd w:val="clear" w:color="auto" w:fill="F0F1F2"/>
          </w:tcPr>
          <w:p>
            <w:pPr>
              <w:spacing w:after="0"/>
              <w:rPr>
                <w:sz w:val="24"/>
                <w:szCs w:val="24"/>
                <w:color w:val="auto"/>
              </w:rPr>
            </w:pPr>
          </w:p>
        </w:tc>
        <w:tc>
          <w:tcPr>
            <w:tcW w:w="360" w:type="dxa"/>
            <w:vAlign w:val="bottom"/>
            <w:shd w:val="clear" w:color="auto" w:fill="F0F1F2"/>
          </w:tcPr>
          <w:p>
            <w:pPr>
              <w:spacing w:after="0"/>
              <w:rPr>
                <w:sz w:val="24"/>
                <w:szCs w:val="24"/>
                <w:color w:val="auto"/>
              </w:rPr>
            </w:pPr>
          </w:p>
        </w:tc>
        <w:tc>
          <w:tcPr>
            <w:tcW w:w="78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1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27,468</w:t>
            </w:r>
          </w:p>
        </w:tc>
        <w:tc>
          <w:tcPr>
            <w:tcW w:w="620" w:type="dxa"/>
            <w:vAlign w:val="bottom"/>
            <w:shd w:val="clear" w:color="auto" w:fill="F0F1F2"/>
          </w:tcPr>
          <w:p>
            <w:pPr>
              <w:ind w:left="40"/>
              <w:spacing w:after="0"/>
              <w:rPr>
                <w:sz w:val="20"/>
                <w:szCs w:val="20"/>
                <w:color w:val="auto"/>
              </w:rPr>
            </w:pPr>
            <w:r>
              <w:rPr>
                <w:rFonts w:ascii="Arial" w:cs="Arial" w:eastAsia="Arial" w:hAnsi="Arial"/>
                <w:sz w:val="9"/>
                <w:szCs w:val="9"/>
                <w:color w:val="2D3243"/>
              </w:rPr>
              <w:t>(6)</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2,161,457</w:t>
            </w:r>
          </w:p>
        </w:tc>
        <w:tc>
          <w:tcPr>
            <w:tcW w:w="0" w:type="dxa"/>
            <w:vAlign w:val="bottom"/>
          </w:tcPr>
          <w:p>
            <w:pPr>
              <w:spacing w:after="0"/>
              <w:rPr>
                <w:sz w:val="1"/>
                <w:szCs w:val="1"/>
                <w:color w:val="auto"/>
              </w:rPr>
            </w:pPr>
          </w:p>
        </w:tc>
      </w:tr>
      <w:tr>
        <w:trPr>
          <w:trHeight w:val="76"/>
        </w:trPr>
        <w:tc>
          <w:tcPr>
            <w:tcW w:w="1820" w:type="dxa"/>
            <w:vAlign w:val="bottom"/>
            <w:vMerge w:val="restart"/>
          </w:tcPr>
          <w:p>
            <w:pPr>
              <w:ind w:left="100"/>
              <w:spacing w:after="0"/>
              <w:rPr>
                <w:sz w:val="20"/>
                <w:szCs w:val="20"/>
                <w:color w:val="auto"/>
              </w:rPr>
            </w:pPr>
            <w:r>
              <w:rPr>
                <w:rFonts w:ascii="Arial" w:cs="Arial" w:eastAsia="Arial" w:hAnsi="Arial"/>
                <w:sz w:val="14"/>
                <w:szCs w:val="14"/>
                <w:b w:val="1"/>
                <w:bCs w:val="1"/>
                <w:color w:val="2D3243"/>
              </w:rPr>
              <w:t>Panos Kozanian</w:t>
            </w:r>
          </w:p>
        </w:tc>
        <w:tc>
          <w:tcPr>
            <w:tcW w:w="1380" w:type="dxa"/>
            <w:vAlign w:val="bottom"/>
          </w:tcPr>
          <w:p>
            <w:pPr>
              <w:spacing w:after="0"/>
              <w:rPr>
                <w:sz w:val="6"/>
                <w:szCs w:val="6"/>
                <w:color w:val="auto"/>
              </w:rPr>
            </w:pPr>
          </w:p>
        </w:tc>
        <w:tc>
          <w:tcPr>
            <w:tcW w:w="1340" w:type="dxa"/>
            <w:vAlign w:val="bottom"/>
            <w:shd w:val="clear" w:color="auto" w:fill="F0F1F2"/>
          </w:tcPr>
          <w:p>
            <w:pPr>
              <w:spacing w:after="0"/>
              <w:rPr>
                <w:sz w:val="6"/>
                <w:szCs w:val="6"/>
                <w:color w:val="auto"/>
              </w:rPr>
            </w:pPr>
          </w:p>
        </w:tc>
        <w:tc>
          <w:tcPr>
            <w:tcW w:w="1460" w:type="dxa"/>
            <w:vAlign w:val="bottom"/>
            <w:shd w:val="clear" w:color="auto" w:fill="F0F1F2"/>
          </w:tcPr>
          <w:p>
            <w:pPr>
              <w:spacing w:after="0"/>
              <w:rPr>
                <w:sz w:val="6"/>
                <w:szCs w:val="6"/>
                <w:color w:val="auto"/>
              </w:rPr>
            </w:pPr>
          </w:p>
        </w:tc>
        <w:tc>
          <w:tcPr>
            <w:tcW w:w="360" w:type="dxa"/>
            <w:vAlign w:val="bottom"/>
            <w:shd w:val="clear" w:color="auto" w:fill="F0F1F2"/>
          </w:tcPr>
          <w:p>
            <w:pPr>
              <w:spacing w:after="0"/>
              <w:rPr>
                <w:sz w:val="6"/>
                <w:szCs w:val="6"/>
                <w:color w:val="auto"/>
              </w:rPr>
            </w:pPr>
          </w:p>
        </w:tc>
        <w:tc>
          <w:tcPr>
            <w:tcW w:w="780" w:type="dxa"/>
            <w:vAlign w:val="bottom"/>
            <w:shd w:val="clear" w:color="auto" w:fill="F0F1F2"/>
          </w:tcPr>
          <w:p>
            <w:pPr>
              <w:spacing w:after="0"/>
              <w:rPr>
                <w:sz w:val="6"/>
                <w:szCs w:val="6"/>
                <w:color w:val="auto"/>
              </w:rPr>
            </w:pPr>
          </w:p>
        </w:tc>
        <w:tc>
          <w:tcPr>
            <w:tcW w:w="1100" w:type="dxa"/>
            <w:vAlign w:val="bottom"/>
            <w:shd w:val="clear" w:color="auto" w:fill="F0F1F2"/>
          </w:tcPr>
          <w:p>
            <w:pPr>
              <w:spacing w:after="0"/>
              <w:rPr>
                <w:sz w:val="6"/>
                <w:szCs w:val="6"/>
                <w:color w:val="auto"/>
              </w:rPr>
            </w:pPr>
          </w:p>
        </w:tc>
        <w:tc>
          <w:tcPr>
            <w:tcW w:w="1180" w:type="dxa"/>
            <w:vAlign w:val="bottom"/>
            <w:shd w:val="clear" w:color="auto" w:fill="F0F1F2"/>
          </w:tcPr>
          <w:p>
            <w:pPr>
              <w:spacing w:after="0"/>
              <w:rPr>
                <w:sz w:val="6"/>
                <w:szCs w:val="6"/>
                <w:color w:val="auto"/>
              </w:rPr>
            </w:pPr>
          </w:p>
        </w:tc>
        <w:tc>
          <w:tcPr>
            <w:tcW w:w="620" w:type="dxa"/>
            <w:vAlign w:val="bottom"/>
            <w:shd w:val="clear" w:color="auto" w:fill="F0F1F2"/>
          </w:tcPr>
          <w:p>
            <w:pPr>
              <w:spacing w:after="0"/>
              <w:rPr>
                <w:sz w:val="6"/>
                <w:szCs w:val="6"/>
                <w:color w:val="auto"/>
              </w:rPr>
            </w:pPr>
          </w:p>
        </w:tc>
        <w:tc>
          <w:tcPr>
            <w:tcW w:w="1200" w:type="dxa"/>
            <w:vAlign w:val="bottom"/>
            <w:shd w:val="clear" w:color="auto" w:fill="F0F1F2"/>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820" w:type="dxa"/>
            <w:vAlign w:val="bottom"/>
            <w:vMerge w:val="continue"/>
          </w:tcPr>
          <w:p>
            <w:pPr>
              <w:spacing w:after="0"/>
              <w:rPr>
                <w:sz w:val="21"/>
                <w:szCs w:val="21"/>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02/16/21</w:t>
            </w:r>
          </w:p>
        </w:tc>
        <w:tc>
          <w:tcPr>
            <w:tcW w:w="1340" w:type="dxa"/>
            <w:vAlign w:val="bottom"/>
          </w:tcPr>
          <w:p>
            <w:pPr>
              <w:jc w:val="right"/>
              <w:spacing w:after="0"/>
              <w:rPr>
                <w:sz w:val="20"/>
                <w:szCs w:val="20"/>
                <w:color w:val="auto"/>
              </w:rPr>
            </w:pPr>
            <w:r>
              <w:rPr>
                <w:rFonts w:ascii="Arial" w:cs="Arial" w:eastAsia="Arial" w:hAnsi="Arial"/>
                <w:sz w:val="14"/>
                <w:szCs w:val="14"/>
                <w:color w:val="2D3243"/>
              </w:rPr>
              <w:t>7,141</w:t>
            </w:r>
          </w:p>
        </w:tc>
        <w:tc>
          <w:tcPr>
            <w:tcW w:w="1460" w:type="dxa"/>
            <w:vAlign w:val="bottom"/>
          </w:tcPr>
          <w:p>
            <w:pPr>
              <w:jc w:val="right"/>
              <w:spacing w:after="0"/>
              <w:rPr>
                <w:sz w:val="20"/>
                <w:szCs w:val="20"/>
                <w:color w:val="auto"/>
              </w:rPr>
            </w:pPr>
            <w:r>
              <w:rPr>
                <w:rFonts w:ascii="Arial" w:cs="Arial" w:eastAsia="Arial" w:hAnsi="Arial"/>
                <w:sz w:val="14"/>
                <w:szCs w:val="14"/>
                <w:color w:val="2D3243"/>
              </w:rPr>
              <w:t>2,941</w:t>
            </w:r>
          </w:p>
        </w:tc>
        <w:tc>
          <w:tcPr>
            <w:tcW w:w="360" w:type="dxa"/>
            <w:vAlign w:val="bottom"/>
          </w:tcPr>
          <w:p>
            <w:pPr>
              <w:jc w:val="right"/>
              <w:ind w:right="146"/>
              <w:spacing w:after="0"/>
              <w:rPr>
                <w:sz w:val="20"/>
                <w:szCs w:val="20"/>
                <w:color w:val="auto"/>
              </w:rPr>
            </w:pPr>
            <w:r>
              <w:rPr>
                <w:rFonts w:ascii="Arial" w:cs="Arial" w:eastAsia="Arial" w:hAnsi="Arial"/>
                <w:sz w:val="11"/>
                <w:szCs w:val="11"/>
                <w:color w:val="2D3243"/>
              </w:rPr>
              <w:t>(3)</w:t>
            </w:r>
          </w:p>
        </w:tc>
        <w:tc>
          <w:tcPr>
            <w:tcW w:w="780" w:type="dxa"/>
            <w:vAlign w:val="bottom"/>
          </w:tcPr>
          <w:p>
            <w:pPr>
              <w:jc w:val="right"/>
              <w:spacing w:after="0"/>
              <w:rPr>
                <w:sz w:val="20"/>
                <w:szCs w:val="20"/>
                <w:color w:val="auto"/>
              </w:rPr>
            </w:pPr>
            <w:r>
              <w:rPr>
                <w:rFonts w:ascii="Arial" w:cs="Arial" w:eastAsia="Arial" w:hAnsi="Arial"/>
                <w:sz w:val="14"/>
                <w:szCs w:val="14"/>
                <w:color w:val="2D3243"/>
              </w:rPr>
              <w:t>182.74</w:t>
            </w:r>
          </w:p>
        </w:tc>
        <w:tc>
          <w:tcPr>
            <w:tcW w:w="1100" w:type="dxa"/>
            <w:vAlign w:val="bottom"/>
          </w:tcPr>
          <w:p>
            <w:pPr>
              <w:jc w:val="right"/>
              <w:ind w:right="208"/>
              <w:spacing w:after="0"/>
              <w:rPr>
                <w:sz w:val="20"/>
                <w:szCs w:val="20"/>
                <w:color w:val="auto"/>
              </w:rPr>
            </w:pPr>
            <w:r>
              <w:rPr>
                <w:rFonts w:ascii="Arial" w:cs="Arial" w:eastAsia="Arial" w:hAnsi="Arial"/>
                <w:sz w:val="14"/>
                <w:szCs w:val="14"/>
                <w:color w:val="2D3243"/>
              </w:rPr>
              <w:t>02/16/31</w:t>
            </w: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02/28/22</w:t>
            </w:r>
          </w:p>
        </w:tc>
        <w:tc>
          <w:tcPr>
            <w:tcW w:w="1340" w:type="dxa"/>
            <w:vAlign w:val="bottom"/>
          </w:tcPr>
          <w:p>
            <w:pPr>
              <w:jc w:val="right"/>
              <w:spacing w:after="0"/>
              <w:rPr>
                <w:sz w:val="20"/>
                <w:szCs w:val="20"/>
                <w:color w:val="auto"/>
              </w:rPr>
            </w:pPr>
            <w:r>
              <w:rPr>
                <w:rFonts w:ascii="Arial" w:cs="Arial" w:eastAsia="Arial" w:hAnsi="Arial"/>
                <w:sz w:val="14"/>
                <w:szCs w:val="14"/>
                <w:color w:val="2D3243"/>
              </w:rPr>
              <w:t>4,683</w:t>
            </w:r>
          </w:p>
        </w:tc>
        <w:tc>
          <w:tcPr>
            <w:tcW w:w="1460" w:type="dxa"/>
            <w:vAlign w:val="bottom"/>
          </w:tcPr>
          <w:p>
            <w:pPr>
              <w:jc w:val="right"/>
              <w:spacing w:after="0"/>
              <w:rPr>
                <w:sz w:val="20"/>
                <w:szCs w:val="20"/>
                <w:color w:val="auto"/>
              </w:rPr>
            </w:pPr>
            <w:r>
              <w:rPr>
                <w:rFonts w:ascii="Arial" w:cs="Arial" w:eastAsia="Arial" w:hAnsi="Arial"/>
                <w:sz w:val="14"/>
                <w:szCs w:val="14"/>
                <w:color w:val="2D3243"/>
              </w:rPr>
              <w:t>5,535</w:t>
            </w:r>
          </w:p>
        </w:tc>
        <w:tc>
          <w:tcPr>
            <w:tcW w:w="360" w:type="dxa"/>
            <w:vAlign w:val="bottom"/>
          </w:tcPr>
          <w:p>
            <w:pPr>
              <w:jc w:val="right"/>
              <w:ind w:right="146"/>
              <w:spacing w:after="0"/>
              <w:rPr>
                <w:sz w:val="20"/>
                <w:szCs w:val="20"/>
                <w:color w:val="auto"/>
              </w:rPr>
            </w:pPr>
            <w:r>
              <w:rPr>
                <w:rFonts w:ascii="Arial" w:cs="Arial" w:eastAsia="Arial" w:hAnsi="Arial"/>
                <w:sz w:val="11"/>
                <w:szCs w:val="11"/>
                <w:color w:val="2D3243"/>
              </w:rPr>
              <w:t>(2)</w:t>
            </w:r>
          </w:p>
        </w:tc>
        <w:tc>
          <w:tcPr>
            <w:tcW w:w="780" w:type="dxa"/>
            <w:vAlign w:val="bottom"/>
          </w:tcPr>
          <w:p>
            <w:pPr>
              <w:jc w:val="right"/>
              <w:spacing w:after="0"/>
              <w:rPr>
                <w:sz w:val="20"/>
                <w:szCs w:val="20"/>
                <w:color w:val="auto"/>
              </w:rPr>
            </w:pPr>
            <w:r>
              <w:rPr>
                <w:rFonts w:ascii="Arial" w:cs="Arial" w:eastAsia="Arial" w:hAnsi="Arial"/>
                <w:sz w:val="14"/>
                <w:szCs w:val="14"/>
                <w:color w:val="2D3243"/>
              </w:rPr>
              <w:t>110.00</w:t>
            </w:r>
          </w:p>
        </w:tc>
        <w:tc>
          <w:tcPr>
            <w:tcW w:w="1100" w:type="dxa"/>
            <w:vAlign w:val="bottom"/>
          </w:tcPr>
          <w:p>
            <w:pPr>
              <w:jc w:val="right"/>
              <w:ind w:right="208"/>
              <w:spacing w:after="0"/>
              <w:rPr>
                <w:sz w:val="20"/>
                <w:szCs w:val="20"/>
                <w:color w:val="auto"/>
              </w:rPr>
            </w:pPr>
            <w:r>
              <w:rPr>
                <w:rFonts w:ascii="Arial" w:cs="Arial" w:eastAsia="Arial" w:hAnsi="Arial"/>
                <w:sz w:val="14"/>
                <w:szCs w:val="14"/>
                <w:color w:val="2D3243"/>
              </w:rPr>
              <w:t>02/28/32</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02/16/21</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4,096</w:t>
            </w:r>
          </w:p>
        </w:tc>
        <w:tc>
          <w:tcPr>
            <w:tcW w:w="620" w:type="dxa"/>
            <w:vAlign w:val="bottom"/>
          </w:tcPr>
          <w:p>
            <w:pPr>
              <w:ind w:left="40"/>
              <w:spacing w:after="0"/>
              <w:rPr>
                <w:sz w:val="20"/>
                <w:szCs w:val="20"/>
                <w:color w:val="auto"/>
              </w:rPr>
            </w:pPr>
            <w:r>
              <w:rPr>
                <w:rFonts w:ascii="Arial" w:cs="Arial" w:eastAsia="Arial" w:hAnsi="Arial"/>
                <w:sz w:val="9"/>
                <w:szCs w:val="9"/>
                <w:color w:val="2D3243"/>
              </w:rPr>
              <w:t>(12)</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322,314</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02/28/22</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8,493</w:t>
            </w:r>
          </w:p>
        </w:tc>
        <w:tc>
          <w:tcPr>
            <w:tcW w:w="620" w:type="dxa"/>
            <w:vAlign w:val="bottom"/>
          </w:tcPr>
          <w:p>
            <w:pPr>
              <w:ind w:left="40"/>
              <w:spacing w:after="0"/>
              <w:rPr>
                <w:sz w:val="20"/>
                <w:szCs w:val="20"/>
                <w:color w:val="auto"/>
              </w:rPr>
            </w:pPr>
            <w:r>
              <w:rPr>
                <w:rFonts w:ascii="Arial" w:cs="Arial" w:eastAsia="Arial" w:hAnsi="Arial"/>
                <w:sz w:val="9"/>
                <w:szCs w:val="9"/>
                <w:color w:val="2D3243"/>
              </w:rPr>
              <w:t>(6)</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668,314</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08/08/22</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15,133</w:t>
            </w:r>
          </w:p>
        </w:tc>
        <w:tc>
          <w:tcPr>
            <w:tcW w:w="620" w:type="dxa"/>
            <w:vAlign w:val="bottom"/>
          </w:tcPr>
          <w:p>
            <w:pPr>
              <w:ind w:left="40"/>
              <w:spacing w:after="0"/>
              <w:rPr>
                <w:sz w:val="20"/>
                <w:szCs w:val="20"/>
                <w:color w:val="auto"/>
              </w:rPr>
            </w:pPr>
            <w:r>
              <w:rPr>
                <w:rFonts w:ascii="Arial" w:cs="Arial" w:eastAsia="Arial" w:hAnsi="Arial"/>
                <w:sz w:val="9"/>
                <w:szCs w:val="9"/>
                <w:color w:val="2D3243"/>
              </w:rPr>
              <w:t>(6)</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1,190,816</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68"/>
              <w:spacing w:after="0"/>
              <w:rPr>
                <w:sz w:val="20"/>
                <w:szCs w:val="20"/>
                <w:color w:val="auto"/>
              </w:rPr>
            </w:pPr>
            <w:r>
              <w:rPr>
                <w:rFonts w:ascii="Arial" w:cs="Arial" w:eastAsia="Arial" w:hAnsi="Arial"/>
                <w:sz w:val="14"/>
                <w:szCs w:val="14"/>
                <w:color w:val="2D3243"/>
              </w:rPr>
              <w:t>11/23/22</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11,711</w:t>
            </w:r>
          </w:p>
        </w:tc>
        <w:tc>
          <w:tcPr>
            <w:tcW w:w="620" w:type="dxa"/>
            <w:vAlign w:val="bottom"/>
          </w:tcPr>
          <w:p>
            <w:pPr>
              <w:ind w:left="40"/>
              <w:spacing w:after="0"/>
              <w:rPr>
                <w:sz w:val="20"/>
                <w:szCs w:val="20"/>
                <w:color w:val="auto"/>
              </w:rPr>
            </w:pPr>
            <w:r>
              <w:rPr>
                <w:rFonts w:ascii="Arial" w:cs="Arial" w:eastAsia="Arial" w:hAnsi="Arial"/>
                <w:sz w:val="9"/>
                <w:szCs w:val="9"/>
                <w:color w:val="2D3243"/>
              </w:rPr>
              <w:t>(8)</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921,539</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02/27/23</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29,246</w:t>
            </w:r>
          </w:p>
        </w:tc>
        <w:tc>
          <w:tcPr>
            <w:tcW w:w="620" w:type="dxa"/>
            <w:vAlign w:val="bottom"/>
          </w:tcPr>
          <w:p>
            <w:pPr>
              <w:ind w:left="40"/>
              <w:spacing w:after="0"/>
              <w:rPr>
                <w:sz w:val="20"/>
                <w:szCs w:val="20"/>
                <w:color w:val="auto"/>
              </w:rPr>
            </w:pPr>
            <w:r>
              <w:rPr>
                <w:rFonts w:ascii="Arial" w:cs="Arial" w:eastAsia="Arial" w:hAnsi="Arial"/>
                <w:sz w:val="9"/>
                <w:szCs w:val="9"/>
                <w:color w:val="2D3243"/>
              </w:rPr>
              <w:t>(6)</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2,301,368</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2D3243"/>
              </w:rPr>
              <w:t>02/27/23</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2D3243"/>
              </w:rPr>
              <w:t>11,998</w:t>
            </w:r>
          </w:p>
        </w:tc>
        <w:tc>
          <w:tcPr>
            <w:tcW w:w="620" w:type="dxa"/>
            <w:vAlign w:val="bottom"/>
          </w:tcPr>
          <w:p>
            <w:pPr>
              <w:ind w:left="40"/>
              <w:spacing w:after="0"/>
              <w:rPr>
                <w:sz w:val="20"/>
                <w:szCs w:val="20"/>
                <w:color w:val="auto"/>
              </w:rPr>
            </w:pPr>
            <w:r>
              <w:rPr>
                <w:rFonts w:ascii="Arial" w:cs="Arial" w:eastAsia="Arial" w:hAnsi="Arial"/>
                <w:sz w:val="9"/>
                <w:szCs w:val="9"/>
                <w:color w:val="2D3243"/>
              </w:rPr>
              <w:t>(5)</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944,123</w:t>
            </w:r>
          </w:p>
        </w:tc>
        <w:tc>
          <w:tcPr>
            <w:tcW w:w="0" w:type="dxa"/>
            <w:vAlign w:val="bottom"/>
          </w:tcPr>
          <w:p>
            <w:pPr>
              <w:spacing w:after="0"/>
              <w:rPr>
                <w:sz w:val="1"/>
                <w:szCs w:val="1"/>
                <w:color w:val="auto"/>
              </w:rPr>
            </w:pPr>
          </w:p>
        </w:tc>
      </w:tr>
      <w:tr>
        <w:trPr>
          <w:trHeight w:val="75"/>
        </w:trPr>
        <w:tc>
          <w:tcPr>
            <w:tcW w:w="1820" w:type="dxa"/>
            <w:vAlign w:val="bottom"/>
            <w:tcBorders>
              <w:bottom w:val="single" w:sz="8" w:color="0336FF"/>
            </w:tcBorders>
          </w:tcPr>
          <w:p>
            <w:pPr>
              <w:spacing w:after="0"/>
              <w:rPr>
                <w:sz w:val="6"/>
                <w:szCs w:val="6"/>
                <w:color w:val="auto"/>
              </w:rPr>
            </w:pPr>
          </w:p>
        </w:tc>
        <w:tc>
          <w:tcPr>
            <w:tcW w:w="1380" w:type="dxa"/>
            <w:vAlign w:val="bottom"/>
            <w:tcBorders>
              <w:bottom w:val="single" w:sz="8" w:color="0336FF"/>
            </w:tcBorders>
          </w:tcPr>
          <w:p>
            <w:pPr>
              <w:spacing w:after="0"/>
              <w:rPr>
                <w:sz w:val="6"/>
                <w:szCs w:val="6"/>
                <w:color w:val="auto"/>
              </w:rPr>
            </w:pPr>
          </w:p>
        </w:tc>
        <w:tc>
          <w:tcPr>
            <w:tcW w:w="1340" w:type="dxa"/>
            <w:vAlign w:val="bottom"/>
            <w:tcBorders>
              <w:bottom w:val="single" w:sz="8" w:color="0336FF"/>
            </w:tcBorders>
          </w:tcPr>
          <w:p>
            <w:pPr>
              <w:spacing w:after="0"/>
              <w:rPr>
                <w:sz w:val="6"/>
                <w:szCs w:val="6"/>
                <w:color w:val="auto"/>
              </w:rPr>
            </w:pPr>
          </w:p>
        </w:tc>
        <w:tc>
          <w:tcPr>
            <w:tcW w:w="1460" w:type="dxa"/>
            <w:vAlign w:val="bottom"/>
            <w:tcBorders>
              <w:bottom w:val="single" w:sz="8" w:color="0336FF"/>
            </w:tcBorders>
          </w:tcPr>
          <w:p>
            <w:pPr>
              <w:spacing w:after="0"/>
              <w:rPr>
                <w:sz w:val="6"/>
                <w:szCs w:val="6"/>
                <w:color w:val="auto"/>
              </w:rPr>
            </w:pPr>
          </w:p>
        </w:tc>
        <w:tc>
          <w:tcPr>
            <w:tcW w:w="360" w:type="dxa"/>
            <w:vAlign w:val="bottom"/>
            <w:tcBorders>
              <w:bottom w:val="single" w:sz="8" w:color="0336FF"/>
            </w:tcBorders>
          </w:tcPr>
          <w:p>
            <w:pPr>
              <w:spacing w:after="0"/>
              <w:rPr>
                <w:sz w:val="6"/>
                <w:szCs w:val="6"/>
                <w:color w:val="auto"/>
              </w:rPr>
            </w:pPr>
          </w:p>
        </w:tc>
        <w:tc>
          <w:tcPr>
            <w:tcW w:w="780" w:type="dxa"/>
            <w:vAlign w:val="bottom"/>
            <w:tcBorders>
              <w:bottom w:val="single" w:sz="8" w:color="0336FF"/>
            </w:tcBorders>
          </w:tcPr>
          <w:p>
            <w:pPr>
              <w:spacing w:after="0"/>
              <w:rPr>
                <w:sz w:val="6"/>
                <w:szCs w:val="6"/>
                <w:color w:val="auto"/>
              </w:rPr>
            </w:pPr>
          </w:p>
        </w:tc>
        <w:tc>
          <w:tcPr>
            <w:tcW w:w="1100" w:type="dxa"/>
            <w:vAlign w:val="bottom"/>
            <w:tcBorders>
              <w:bottom w:val="single" w:sz="8" w:color="0336FF"/>
            </w:tcBorders>
          </w:tcPr>
          <w:p>
            <w:pPr>
              <w:spacing w:after="0"/>
              <w:rPr>
                <w:sz w:val="6"/>
                <w:szCs w:val="6"/>
                <w:color w:val="auto"/>
              </w:rPr>
            </w:pPr>
          </w:p>
        </w:tc>
        <w:tc>
          <w:tcPr>
            <w:tcW w:w="1180" w:type="dxa"/>
            <w:vAlign w:val="bottom"/>
            <w:tcBorders>
              <w:bottom w:val="single" w:sz="8" w:color="0336FF"/>
            </w:tcBorders>
          </w:tcPr>
          <w:p>
            <w:pPr>
              <w:spacing w:after="0"/>
              <w:rPr>
                <w:sz w:val="6"/>
                <w:szCs w:val="6"/>
                <w:color w:val="auto"/>
              </w:rPr>
            </w:pPr>
          </w:p>
        </w:tc>
        <w:tc>
          <w:tcPr>
            <w:tcW w:w="620" w:type="dxa"/>
            <w:vAlign w:val="bottom"/>
            <w:tcBorders>
              <w:bottom w:val="single" w:sz="8" w:color="0336FF"/>
            </w:tcBorders>
          </w:tcPr>
          <w:p>
            <w:pPr>
              <w:spacing w:after="0"/>
              <w:rPr>
                <w:sz w:val="6"/>
                <w:szCs w:val="6"/>
                <w:color w:val="auto"/>
              </w:rPr>
            </w:pPr>
          </w:p>
        </w:tc>
        <w:tc>
          <w:tcPr>
            <w:tcW w:w="1200" w:type="dxa"/>
            <w:vAlign w:val="bottom"/>
            <w:tcBorders>
              <w:bottom w:val="single" w:sz="8" w:color="0336F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120" w:hanging="332"/>
        <w:spacing w:after="0" w:line="362" w:lineRule="auto"/>
        <w:tabs>
          <w:tab w:leader="none" w:pos="338" w:val="left"/>
        </w:tabs>
        <w:numPr>
          <w:ilvl w:val="0"/>
          <w:numId w:val="59"/>
        </w:numPr>
        <w:rPr>
          <w:rFonts w:ascii="Arial" w:cs="Arial" w:eastAsia="Arial" w:hAnsi="Arial"/>
          <w:sz w:val="14"/>
          <w:szCs w:val="14"/>
          <w:color w:val="2D3243"/>
        </w:rPr>
      </w:pPr>
      <w:r>
        <w:rPr>
          <w:rFonts w:ascii="Arial" w:cs="Arial" w:eastAsia="Arial" w:hAnsi="Arial"/>
          <w:sz w:val="14"/>
          <w:szCs w:val="14"/>
          <w:color w:val="2D3243"/>
        </w:rPr>
        <w:t>The amounts listed in this column represent the product of the closing market price of our common stock as of December 29, 2023, the last trading day of 2023, of $78.69 per share and the number of shares of stock or units subject to the award.</w:t>
      </w:r>
    </w:p>
    <w:p>
      <w:pPr>
        <w:ind w:left="340" w:right="600" w:hanging="332"/>
        <w:spacing w:after="0" w:line="362" w:lineRule="auto"/>
        <w:tabs>
          <w:tab w:leader="none" w:pos="338" w:val="left"/>
        </w:tabs>
        <w:numPr>
          <w:ilvl w:val="0"/>
          <w:numId w:val="59"/>
        </w:numPr>
        <w:rPr>
          <w:rFonts w:ascii="Arial" w:cs="Arial" w:eastAsia="Arial" w:hAnsi="Arial"/>
          <w:sz w:val="14"/>
          <w:szCs w:val="14"/>
          <w:color w:val="2D3243"/>
        </w:rPr>
      </w:pPr>
      <w:r>
        <w:rPr>
          <w:rFonts w:ascii="Arial" w:cs="Arial" w:eastAsia="Arial" w:hAnsi="Arial"/>
          <w:sz w:val="14"/>
          <w:szCs w:val="14"/>
          <w:color w:val="2D3243"/>
        </w:rPr>
        <w:t>Award is subject to a four-year vesting schedule and the NEO’s continued service with us on each vesting date, with 1/48th of the options vesting on each monthly anniversary following the applicable vesting commencement date, until all options are vested.</w:t>
      </w:r>
    </w:p>
    <w:p>
      <w:pPr>
        <w:ind w:left="340" w:right="100" w:hanging="332"/>
        <w:spacing w:after="0" w:line="343" w:lineRule="auto"/>
        <w:tabs>
          <w:tab w:leader="none" w:pos="338" w:val="left"/>
        </w:tabs>
        <w:numPr>
          <w:ilvl w:val="0"/>
          <w:numId w:val="59"/>
        </w:numPr>
        <w:rPr>
          <w:rFonts w:ascii="Arial" w:cs="Arial" w:eastAsia="Arial" w:hAnsi="Arial"/>
          <w:sz w:val="14"/>
          <w:szCs w:val="14"/>
          <w:color w:val="2D3243"/>
        </w:rPr>
      </w:pPr>
      <w:r>
        <w:rPr>
          <w:rFonts w:ascii="Arial" w:cs="Arial" w:eastAsia="Arial" w:hAnsi="Arial"/>
          <w:sz w:val="14"/>
          <w:szCs w:val="14"/>
          <w:color w:val="2D3243"/>
        </w:rPr>
        <w:t>Award is subject to a four-year vesting schedule and the NEO’s continued service with us on each vesting date, with 25% of the total number of options vesting on the first anniversary of the vesting commencement date, and 1/36th of the total number of options vesting on each monthly anniversary following the applicable vesting commencement date until all options are vested.</w:t>
      </w:r>
    </w:p>
    <w:p>
      <w:pPr>
        <w:spacing w:after="0" w:line="11" w:lineRule="exact"/>
        <w:rPr>
          <w:rFonts w:ascii="Arial" w:cs="Arial" w:eastAsia="Arial" w:hAnsi="Arial"/>
          <w:sz w:val="14"/>
          <w:szCs w:val="14"/>
          <w:color w:val="2D3243"/>
        </w:rPr>
      </w:pPr>
    </w:p>
    <w:p>
      <w:pPr>
        <w:ind w:left="340" w:right="320" w:hanging="332"/>
        <w:spacing w:after="0" w:line="362" w:lineRule="auto"/>
        <w:tabs>
          <w:tab w:leader="none" w:pos="338" w:val="left"/>
        </w:tabs>
        <w:numPr>
          <w:ilvl w:val="0"/>
          <w:numId w:val="59"/>
        </w:numPr>
        <w:rPr>
          <w:rFonts w:ascii="Arial" w:cs="Arial" w:eastAsia="Arial" w:hAnsi="Arial"/>
          <w:sz w:val="14"/>
          <w:szCs w:val="14"/>
          <w:color w:val="2D3243"/>
        </w:rPr>
      </w:pPr>
      <w:r>
        <w:rPr>
          <w:rFonts w:ascii="Arial" w:cs="Arial" w:eastAsia="Arial" w:hAnsi="Arial"/>
          <w:sz w:val="14"/>
          <w:szCs w:val="14"/>
          <w:color w:val="2D3243"/>
        </w:rPr>
        <w:t>Award is subject to a three-year vesting schedule and the NEO’s continued service with us on each vesting date, with 1/12th of the total number of RSUs vesting every three months after the vesting commencement date, until all RSUs are vested.</w:t>
      </w:r>
    </w:p>
    <w:p>
      <w:pPr>
        <w:ind w:left="340" w:right="180" w:hanging="332"/>
        <w:spacing w:after="0" w:line="332" w:lineRule="auto"/>
        <w:tabs>
          <w:tab w:leader="none" w:pos="338" w:val="left"/>
        </w:tabs>
        <w:numPr>
          <w:ilvl w:val="0"/>
          <w:numId w:val="59"/>
        </w:numPr>
        <w:rPr>
          <w:rFonts w:ascii="Arial" w:cs="Arial" w:eastAsia="Arial" w:hAnsi="Arial"/>
          <w:sz w:val="14"/>
          <w:szCs w:val="14"/>
          <w:color w:val="2D3243"/>
        </w:rPr>
      </w:pPr>
      <w:r>
        <w:rPr>
          <w:rFonts w:ascii="Arial" w:cs="Arial" w:eastAsia="Arial" w:hAnsi="Arial"/>
          <w:sz w:val="14"/>
          <w:szCs w:val="14"/>
          <w:color w:val="2D3243"/>
        </w:rPr>
        <w:t>The amount of PRSUs that may be earned pursuant to the PRSU Award ranges from 0% to 200% of the target number of PRSUs based on the Company’s RTSR performance as compared to the companies in the S&amp;P Software and Services Select Index during three one-year measurement periods consisting of the Company’s 2023, 2024 and 2025 fiscal years. One-third of the total PRSUs may be earned and settled in shares following the end of each one-year measurement period based on RTSR performance and subject to continued employment through the payment date, but the amount initially paid in 2024 and 2025 (for the 2023 and 2024 measurement periods) is limited to 100% of the target amount for the year, and</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64</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72" w:name="page73"/>
    <w:bookmarkEnd w:id="72"/>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right="160"/>
        <w:spacing w:after="0" w:line="343" w:lineRule="auto"/>
        <w:rPr>
          <w:sz w:val="20"/>
          <w:szCs w:val="20"/>
          <w:color w:val="auto"/>
        </w:rPr>
      </w:pPr>
      <w:r>
        <w:rPr>
          <w:rFonts w:ascii="Arial" w:cs="Arial" w:eastAsia="Arial" w:hAnsi="Arial"/>
          <w:sz w:val="14"/>
          <w:szCs w:val="14"/>
          <w:color w:val="2D3243"/>
        </w:rPr>
        <w:t>any PRSUs resulting from above-target performance in those years will be paid following the end of 2025, subject to the NEO's continued employment through the payment date. If the Company’s actual total shareholder return for any measurement period is negative, then no more than 100% of the target amount of PRSUs for such period may be earned.</w:t>
      </w:r>
    </w:p>
    <w:p>
      <w:pPr>
        <w:spacing w:after="0" w:line="12" w:lineRule="exact"/>
        <w:rPr>
          <w:sz w:val="20"/>
          <w:szCs w:val="20"/>
          <w:color w:val="auto"/>
        </w:rPr>
      </w:pPr>
    </w:p>
    <w:p>
      <w:pPr>
        <w:ind w:left="340" w:right="20" w:hanging="332"/>
        <w:spacing w:after="0" w:line="362" w:lineRule="auto"/>
        <w:tabs>
          <w:tab w:leader="none" w:pos="338" w:val="left"/>
        </w:tabs>
        <w:numPr>
          <w:ilvl w:val="0"/>
          <w:numId w:val="60"/>
        </w:numPr>
        <w:rPr>
          <w:rFonts w:ascii="Arial" w:cs="Arial" w:eastAsia="Arial" w:hAnsi="Arial"/>
          <w:sz w:val="14"/>
          <w:szCs w:val="14"/>
          <w:color w:val="2D3243"/>
        </w:rPr>
      </w:pPr>
      <w:r>
        <w:rPr>
          <w:rFonts w:ascii="Arial" w:cs="Arial" w:eastAsia="Arial" w:hAnsi="Arial"/>
          <w:sz w:val="14"/>
          <w:szCs w:val="14"/>
          <w:color w:val="2D3243"/>
        </w:rPr>
        <w:t>Award is subject to a four-year vesting schedule and the NEO’s continued service with us on each vesting date, with 1/16th of the total number of RSUs vesting every three months after the vesting commencement date, until all RSUs are vested.</w:t>
      </w:r>
    </w:p>
    <w:p>
      <w:pPr>
        <w:ind w:left="340" w:right="140" w:hanging="332"/>
        <w:spacing w:after="0" w:line="329" w:lineRule="auto"/>
        <w:tabs>
          <w:tab w:leader="none" w:pos="338" w:val="left"/>
        </w:tabs>
        <w:numPr>
          <w:ilvl w:val="0"/>
          <w:numId w:val="60"/>
        </w:numPr>
        <w:rPr>
          <w:rFonts w:ascii="Arial" w:cs="Arial" w:eastAsia="Arial" w:hAnsi="Arial"/>
          <w:sz w:val="14"/>
          <w:szCs w:val="14"/>
          <w:color w:val="2D3243"/>
        </w:rPr>
      </w:pPr>
      <w:r>
        <w:rPr>
          <w:rFonts w:ascii="Arial" w:cs="Arial" w:eastAsia="Arial" w:hAnsi="Arial"/>
          <w:sz w:val="14"/>
          <w:szCs w:val="14"/>
          <w:color w:val="2D3243"/>
        </w:rPr>
        <w:t>The amount that may be earned pursuant to the PRSUs ranges from 0% to 200% of the target number based on the Company’s RTSR performance as compared to the companies in the S&amp;P Software and Services Select Index during three one-year measurement periods consisting of the Company’s 2022, 2023 and 2024 fiscal years. One-third of the total PRSUs may be earned and settled in shares following the end of each one-year measurement period based on RTSR performance and subject to continued employment through the payment date, but the amount initially paid in 2023 and 2024 (for the 2022 and 2023 measurement periods) is limited to 100% of the target amount for the year, and any PRSUs resulting from above-target performance in those years will be paid following the end of 2024, subject to the executive’s continued employment through the payment date. If the Company’s absolute total shareholder return for any measurement period is negative, then no more than 100% of the target amount of PRSUs for such period may be earned.</w:t>
      </w:r>
    </w:p>
    <w:p>
      <w:pPr>
        <w:spacing w:after="0" w:line="21" w:lineRule="exact"/>
        <w:rPr>
          <w:rFonts w:ascii="Arial" w:cs="Arial" w:eastAsia="Arial" w:hAnsi="Arial"/>
          <w:sz w:val="14"/>
          <w:szCs w:val="14"/>
          <w:color w:val="2D3243"/>
        </w:rPr>
      </w:pPr>
    </w:p>
    <w:p>
      <w:pPr>
        <w:ind w:left="340" w:right="100" w:hanging="332"/>
        <w:spacing w:after="0" w:line="362" w:lineRule="auto"/>
        <w:tabs>
          <w:tab w:leader="none" w:pos="338" w:val="left"/>
        </w:tabs>
        <w:numPr>
          <w:ilvl w:val="0"/>
          <w:numId w:val="60"/>
        </w:numPr>
        <w:rPr>
          <w:rFonts w:ascii="Arial" w:cs="Arial" w:eastAsia="Arial" w:hAnsi="Arial"/>
          <w:sz w:val="14"/>
          <w:szCs w:val="14"/>
          <w:color w:val="2D3243"/>
        </w:rPr>
      </w:pPr>
      <w:r>
        <w:rPr>
          <w:rFonts w:ascii="Arial" w:cs="Arial" w:eastAsia="Arial" w:hAnsi="Arial"/>
          <w:sz w:val="14"/>
          <w:szCs w:val="14"/>
          <w:color w:val="2D3243"/>
        </w:rPr>
        <w:t>Award is subject to an 18-month vesting schedule and the NEO's continuous service on each vesting date, with l/3rd of the total number of RSUs vesting on the six-month anniversary of the vesting commencement date and 1/6th of the total number of RSUs vesting every three months after thereafter until all RSUs are vested.</w:t>
      </w:r>
    </w:p>
    <w:p>
      <w:pPr>
        <w:ind w:left="340" w:right="120" w:hanging="332"/>
        <w:spacing w:after="0" w:line="362" w:lineRule="auto"/>
        <w:tabs>
          <w:tab w:leader="none" w:pos="338" w:val="left"/>
        </w:tabs>
        <w:numPr>
          <w:ilvl w:val="0"/>
          <w:numId w:val="60"/>
        </w:numPr>
        <w:rPr>
          <w:rFonts w:ascii="Arial" w:cs="Arial" w:eastAsia="Arial" w:hAnsi="Arial"/>
          <w:sz w:val="14"/>
          <w:szCs w:val="14"/>
          <w:color w:val="2D3243"/>
        </w:rPr>
      </w:pPr>
      <w:r>
        <w:rPr>
          <w:rFonts w:ascii="Arial" w:cs="Arial" w:eastAsia="Arial" w:hAnsi="Arial"/>
          <w:sz w:val="14"/>
          <w:szCs w:val="14"/>
          <w:color w:val="2D3243"/>
        </w:rPr>
        <w:t>Award is subject to a two-year vesting schedule and the NEO’s continued service with us on each vesting date, with 1/8th of the total number of RSUs vesting every three months after the vesting commencement date, until all RSUs are vested.</w:t>
      </w:r>
    </w:p>
    <w:p>
      <w:pPr>
        <w:ind w:left="340" w:right="80" w:hanging="332"/>
        <w:spacing w:after="0" w:line="332" w:lineRule="auto"/>
        <w:tabs>
          <w:tab w:leader="none" w:pos="337" w:val="left"/>
        </w:tabs>
        <w:numPr>
          <w:ilvl w:val="0"/>
          <w:numId w:val="60"/>
        </w:numPr>
        <w:rPr>
          <w:rFonts w:ascii="Arial" w:cs="Arial" w:eastAsia="Arial" w:hAnsi="Arial"/>
          <w:sz w:val="14"/>
          <w:szCs w:val="14"/>
          <w:color w:val="2D3243"/>
        </w:rPr>
      </w:pPr>
      <w:r>
        <w:rPr>
          <w:rFonts w:ascii="Arial" w:cs="Arial" w:eastAsia="Arial" w:hAnsi="Arial"/>
          <w:sz w:val="14"/>
          <w:szCs w:val="14"/>
          <w:color w:val="2D3243"/>
        </w:rPr>
        <w:t>The amount of PRSUs that may be earned will be determined based on achievement of two quarterly revenue goals. One third of the PRSUs may be earned based on achievement of the first revenue target and, if achieved, will vest in four quarterly installments, with the first installment occurring on the date such achievement is certified, subject to the executive's continuous service through the applicable vesting dates. Two thirds of the PRSUs may be earned based on achievement of the second revenue target and, if achieved, will vest in eight quarterly installments, with the first installment occurring on the date such achievement is certified, subject to the executive's continuous service through the applicable vesting dates.</w:t>
      </w:r>
    </w:p>
    <w:p>
      <w:pPr>
        <w:spacing w:after="0" w:line="20" w:lineRule="exact"/>
        <w:rPr>
          <w:rFonts w:ascii="Arial" w:cs="Arial" w:eastAsia="Arial" w:hAnsi="Arial"/>
          <w:sz w:val="14"/>
          <w:szCs w:val="14"/>
          <w:color w:val="2D3243"/>
        </w:rPr>
      </w:pPr>
    </w:p>
    <w:p>
      <w:pPr>
        <w:ind w:left="340" w:right="680" w:hanging="332"/>
        <w:spacing w:after="0" w:line="362" w:lineRule="auto"/>
        <w:tabs>
          <w:tab w:leader="none" w:pos="327" w:val="left"/>
        </w:tabs>
        <w:numPr>
          <w:ilvl w:val="0"/>
          <w:numId w:val="60"/>
        </w:numPr>
        <w:rPr>
          <w:rFonts w:ascii="Arial" w:cs="Arial" w:eastAsia="Arial" w:hAnsi="Arial"/>
          <w:sz w:val="14"/>
          <w:szCs w:val="14"/>
          <w:color w:val="2D3243"/>
        </w:rPr>
      </w:pPr>
      <w:r>
        <w:rPr>
          <w:rFonts w:ascii="Arial" w:cs="Arial" w:eastAsia="Arial" w:hAnsi="Arial"/>
          <w:sz w:val="14"/>
          <w:szCs w:val="14"/>
          <w:color w:val="2D3243"/>
        </w:rPr>
        <w:t>Award vests as to 1/3rd of the total number of shares subject to the RSU award on the six-month anniversary of the vesting commencement date and 1/4th of the remaining shares subject to each RSU award every three months thereafter.</w:t>
      </w:r>
    </w:p>
    <w:p>
      <w:pPr>
        <w:ind w:left="340" w:right="200" w:hanging="332"/>
        <w:spacing w:after="0" w:line="365" w:lineRule="auto"/>
        <w:tabs>
          <w:tab w:leader="none" w:pos="337" w:val="left"/>
        </w:tabs>
        <w:numPr>
          <w:ilvl w:val="0"/>
          <w:numId w:val="60"/>
        </w:numPr>
        <w:rPr>
          <w:rFonts w:ascii="Arial" w:cs="Arial" w:eastAsia="Arial" w:hAnsi="Arial"/>
          <w:sz w:val="14"/>
          <w:szCs w:val="14"/>
          <w:color w:val="2D3243"/>
        </w:rPr>
      </w:pPr>
      <w:r>
        <w:rPr>
          <w:rFonts w:ascii="Arial" w:cs="Arial" w:eastAsia="Arial" w:hAnsi="Arial"/>
          <w:sz w:val="14"/>
          <w:szCs w:val="14"/>
          <w:color w:val="2D3243"/>
        </w:rPr>
        <w:t>Award is subject to a four-year vesting schedule and the NEO’s continued service with the Company on each vesting date, with 25% of the total number of RSUs vesting on the first anniversary of the vesting commencement date, and 1/16th of the total number of RSUs vesting every three months thereafter until all RSUs are vested.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2023 Option Exercises and Stock Vested Table</w:t>
      </w:r>
    </w:p>
    <w:p>
      <w:pPr>
        <w:spacing w:after="0" w:line="193" w:lineRule="exact"/>
        <w:rPr>
          <w:sz w:val="20"/>
          <w:szCs w:val="20"/>
          <w:color w:val="auto"/>
        </w:rPr>
      </w:pPr>
    </w:p>
    <w:p>
      <w:pPr>
        <w:ind w:right="800"/>
        <w:spacing w:after="0" w:line="374" w:lineRule="auto"/>
        <w:rPr>
          <w:sz w:val="20"/>
          <w:szCs w:val="20"/>
          <w:color w:val="auto"/>
        </w:rPr>
      </w:pPr>
      <w:r>
        <w:rPr>
          <w:rFonts w:ascii="Arial" w:cs="Arial" w:eastAsia="Arial" w:hAnsi="Arial"/>
          <w:sz w:val="16"/>
          <w:szCs w:val="16"/>
          <w:color w:val="2D3243"/>
        </w:rPr>
        <w:t>The following table presents information concerning option exercises and RSU (including PRSU) awards that vested for our NEOs during the year ended December 31,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0336FF"/>
          </w:tcPr>
          <w:p>
            <w:pPr>
              <w:spacing w:after="0"/>
              <w:rPr>
                <w:sz w:val="18"/>
                <w:szCs w:val="18"/>
                <w:color w:val="auto"/>
              </w:rPr>
            </w:pPr>
          </w:p>
        </w:tc>
        <w:tc>
          <w:tcPr>
            <w:tcW w:w="216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Option Awards</w:t>
            </w:r>
          </w:p>
        </w:tc>
        <w:tc>
          <w:tcPr>
            <w:tcW w:w="1280" w:type="dxa"/>
            <w:vAlign w:val="bottom"/>
            <w:shd w:val="clear" w:color="auto" w:fill="0336FF"/>
          </w:tcPr>
          <w:p>
            <w:pPr>
              <w:spacing w:after="0"/>
              <w:rPr>
                <w:sz w:val="18"/>
                <w:szCs w:val="18"/>
                <w:color w:val="auto"/>
              </w:rPr>
            </w:pPr>
          </w:p>
        </w:tc>
        <w:tc>
          <w:tcPr>
            <w:tcW w:w="216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Stock Awards</w:t>
            </w:r>
          </w:p>
        </w:tc>
        <w:tc>
          <w:tcPr>
            <w:tcW w:w="1200" w:type="dxa"/>
            <w:vAlign w:val="bottom"/>
            <w:shd w:val="clear" w:color="auto" w:fill="0336FF"/>
          </w:tcPr>
          <w:p>
            <w:pPr>
              <w:spacing w:after="0"/>
              <w:rPr>
                <w:sz w:val="18"/>
                <w:szCs w:val="18"/>
                <w:color w:val="auto"/>
              </w:rPr>
            </w:pPr>
          </w:p>
        </w:tc>
      </w:tr>
      <w:tr>
        <w:trPr>
          <w:trHeight w:val="207"/>
        </w:trPr>
        <w:tc>
          <w:tcPr>
            <w:tcW w:w="4440" w:type="dxa"/>
            <w:vAlign w:val="bottom"/>
            <w:shd w:val="clear" w:color="auto" w:fill="0336FF"/>
          </w:tcPr>
          <w:p>
            <w:pPr>
              <w:spacing w:after="0"/>
              <w:rPr>
                <w:sz w:val="17"/>
                <w:szCs w:val="17"/>
                <w:color w:val="auto"/>
              </w:rPr>
            </w:pPr>
          </w:p>
        </w:tc>
        <w:tc>
          <w:tcPr>
            <w:tcW w:w="2160" w:type="dxa"/>
            <w:vAlign w:val="bottom"/>
            <w:shd w:val="clear" w:color="auto" w:fill="0336FF"/>
          </w:tcPr>
          <w:p>
            <w:pPr>
              <w:jc w:val="right"/>
              <w:ind w:right="528"/>
              <w:spacing w:after="0"/>
              <w:rPr>
                <w:sz w:val="20"/>
                <w:szCs w:val="20"/>
                <w:color w:val="auto"/>
              </w:rPr>
            </w:pPr>
            <w:r>
              <w:rPr>
                <w:rFonts w:ascii="Arial" w:cs="Arial" w:eastAsia="Arial" w:hAnsi="Arial"/>
                <w:sz w:val="14"/>
                <w:szCs w:val="14"/>
                <w:b w:val="1"/>
                <w:bCs w:val="1"/>
                <w:color w:val="FFFFFF"/>
              </w:rPr>
              <w:t>Number of Shares</w:t>
            </w:r>
          </w:p>
        </w:tc>
        <w:tc>
          <w:tcPr>
            <w:tcW w:w="1280" w:type="dxa"/>
            <w:vAlign w:val="bottom"/>
            <w:shd w:val="clear" w:color="auto" w:fill="0336FF"/>
          </w:tcPr>
          <w:p>
            <w:pPr>
              <w:jc w:val="right"/>
              <w:ind w:right="188"/>
              <w:spacing w:after="0"/>
              <w:rPr>
                <w:sz w:val="20"/>
                <w:szCs w:val="20"/>
                <w:color w:val="auto"/>
              </w:rPr>
            </w:pPr>
            <w:r>
              <w:rPr>
                <w:rFonts w:ascii="Arial" w:cs="Arial" w:eastAsia="Arial" w:hAnsi="Arial"/>
                <w:sz w:val="14"/>
                <w:szCs w:val="14"/>
                <w:b w:val="1"/>
                <w:bCs w:val="1"/>
                <w:color w:val="FFFFFF"/>
              </w:rPr>
              <w:t>Value Realized</w:t>
            </w:r>
          </w:p>
        </w:tc>
        <w:tc>
          <w:tcPr>
            <w:tcW w:w="2160" w:type="dxa"/>
            <w:vAlign w:val="bottom"/>
            <w:shd w:val="clear" w:color="auto" w:fill="0336FF"/>
          </w:tcPr>
          <w:p>
            <w:pPr>
              <w:jc w:val="right"/>
              <w:ind w:right="508"/>
              <w:spacing w:after="0"/>
              <w:rPr>
                <w:sz w:val="20"/>
                <w:szCs w:val="20"/>
                <w:color w:val="auto"/>
              </w:rPr>
            </w:pPr>
            <w:r>
              <w:rPr>
                <w:rFonts w:ascii="Arial" w:cs="Arial" w:eastAsia="Arial" w:hAnsi="Arial"/>
                <w:sz w:val="14"/>
                <w:szCs w:val="14"/>
                <w:b w:val="1"/>
                <w:bCs w:val="1"/>
                <w:color w:val="FFFFFF"/>
              </w:rPr>
              <w:t>Number of Shares</w:t>
            </w:r>
          </w:p>
        </w:tc>
        <w:tc>
          <w:tcPr>
            <w:tcW w:w="1200" w:type="dxa"/>
            <w:vAlign w:val="bottom"/>
            <w:shd w:val="clear" w:color="auto" w:fill="0336FF"/>
          </w:tcPr>
          <w:p>
            <w:pPr>
              <w:jc w:val="right"/>
              <w:ind w:right="88"/>
              <w:spacing w:after="0"/>
              <w:rPr>
                <w:sz w:val="20"/>
                <w:szCs w:val="20"/>
                <w:color w:val="auto"/>
              </w:rPr>
            </w:pPr>
            <w:r>
              <w:rPr>
                <w:rFonts w:ascii="Arial" w:cs="Arial" w:eastAsia="Arial" w:hAnsi="Arial"/>
                <w:sz w:val="14"/>
                <w:szCs w:val="14"/>
                <w:b w:val="1"/>
                <w:bCs w:val="1"/>
                <w:color w:val="FFFFFF"/>
              </w:rPr>
              <w:t>Value Realized</w:t>
            </w:r>
          </w:p>
        </w:tc>
      </w:tr>
      <w:tr>
        <w:trPr>
          <w:trHeight w:val="210"/>
        </w:trPr>
        <w:tc>
          <w:tcPr>
            <w:tcW w:w="4440" w:type="dxa"/>
            <w:vAlign w:val="bottom"/>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2160" w:type="dxa"/>
            <w:vAlign w:val="bottom"/>
            <w:shd w:val="clear" w:color="auto" w:fill="0336FF"/>
          </w:tcPr>
          <w:p>
            <w:pPr>
              <w:jc w:val="right"/>
              <w:ind w:right="488"/>
              <w:spacing w:after="0"/>
              <w:rPr>
                <w:sz w:val="20"/>
                <w:szCs w:val="20"/>
                <w:color w:val="auto"/>
              </w:rPr>
            </w:pPr>
            <w:r>
              <w:rPr>
                <w:rFonts w:ascii="Arial" w:cs="Arial" w:eastAsia="Arial" w:hAnsi="Arial"/>
                <w:sz w:val="14"/>
                <w:szCs w:val="14"/>
                <w:b w:val="1"/>
                <w:bCs w:val="1"/>
                <w:color w:val="FFFFFF"/>
              </w:rPr>
              <w:t>Acquired on Exercise</w:t>
            </w:r>
          </w:p>
        </w:tc>
        <w:tc>
          <w:tcPr>
            <w:tcW w:w="1280" w:type="dxa"/>
            <w:vAlign w:val="bottom"/>
            <w:shd w:val="clear" w:color="auto" w:fill="0336FF"/>
          </w:tcPr>
          <w:p>
            <w:pPr>
              <w:jc w:val="right"/>
              <w:ind w:right="148"/>
              <w:spacing w:after="0"/>
              <w:rPr>
                <w:sz w:val="20"/>
                <w:szCs w:val="20"/>
                <w:color w:val="auto"/>
              </w:rPr>
            </w:pPr>
            <w:r>
              <w:rPr>
                <w:rFonts w:ascii="Arial" w:cs="Arial" w:eastAsia="Arial" w:hAnsi="Arial"/>
                <w:sz w:val="14"/>
                <w:szCs w:val="14"/>
                <w:b w:val="1"/>
                <w:bCs w:val="1"/>
                <w:color w:val="FFFFFF"/>
              </w:rPr>
              <w:t>on Exercise (1)</w:t>
            </w:r>
          </w:p>
        </w:tc>
        <w:tc>
          <w:tcPr>
            <w:tcW w:w="2160" w:type="dxa"/>
            <w:vAlign w:val="bottom"/>
            <w:shd w:val="clear" w:color="auto" w:fill="0336FF"/>
          </w:tcPr>
          <w:p>
            <w:pPr>
              <w:jc w:val="right"/>
              <w:ind w:right="468"/>
              <w:spacing w:after="0"/>
              <w:rPr>
                <w:sz w:val="20"/>
                <w:szCs w:val="20"/>
                <w:color w:val="auto"/>
              </w:rPr>
            </w:pPr>
            <w:r>
              <w:rPr>
                <w:rFonts w:ascii="Arial" w:cs="Arial" w:eastAsia="Arial" w:hAnsi="Arial"/>
                <w:sz w:val="14"/>
                <w:szCs w:val="14"/>
                <w:b w:val="1"/>
                <w:bCs w:val="1"/>
                <w:color w:val="FFFFFF"/>
              </w:rPr>
              <w:t>Acquired on Vesting</w:t>
            </w:r>
          </w:p>
        </w:tc>
        <w:tc>
          <w:tcPr>
            <w:tcW w:w="120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on Vesting (2)</w:t>
            </w:r>
          </w:p>
        </w:tc>
      </w:tr>
      <w:tr>
        <w:trPr>
          <w:trHeight w:val="70"/>
        </w:trPr>
        <w:tc>
          <w:tcPr>
            <w:tcW w:w="4440" w:type="dxa"/>
            <w:vAlign w:val="bottom"/>
            <w:shd w:val="clear" w:color="auto" w:fill="0336FF"/>
          </w:tcPr>
          <w:p>
            <w:pPr>
              <w:spacing w:after="0"/>
              <w:rPr>
                <w:sz w:val="6"/>
                <w:szCs w:val="6"/>
                <w:color w:val="auto"/>
              </w:rPr>
            </w:pPr>
          </w:p>
        </w:tc>
        <w:tc>
          <w:tcPr>
            <w:tcW w:w="2160" w:type="dxa"/>
            <w:vAlign w:val="bottom"/>
            <w:shd w:val="clear" w:color="auto" w:fill="0336FF"/>
          </w:tcPr>
          <w:p>
            <w:pPr>
              <w:spacing w:after="0"/>
              <w:rPr>
                <w:sz w:val="6"/>
                <w:szCs w:val="6"/>
                <w:color w:val="auto"/>
              </w:rPr>
            </w:pPr>
          </w:p>
        </w:tc>
        <w:tc>
          <w:tcPr>
            <w:tcW w:w="1280" w:type="dxa"/>
            <w:vAlign w:val="bottom"/>
            <w:shd w:val="clear" w:color="auto" w:fill="0336FF"/>
          </w:tcPr>
          <w:p>
            <w:pPr>
              <w:spacing w:after="0"/>
              <w:rPr>
                <w:sz w:val="6"/>
                <w:szCs w:val="6"/>
                <w:color w:val="auto"/>
              </w:rPr>
            </w:pPr>
          </w:p>
        </w:tc>
        <w:tc>
          <w:tcPr>
            <w:tcW w:w="2160" w:type="dxa"/>
            <w:vAlign w:val="bottom"/>
            <w:shd w:val="clear" w:color="auto" w:fill="0336FF"/>
          </w:tcPr>
          <w:p>
            <w:pPr>
              <w:spacing w:after="0"/>
              <w:rPr>
                <w:sz w:val="6"/>
                <w:szCs w:val="6"/>
                <w:color w:val="auto"/>
              </w:rPr>
            </w:pPr>
          </w:p>
        </w:tc>
        <w:tc>
          <w:tcPr>
            <w:tcW w:w="1200" w:type="dxa"/>
            <w:vAlign w:val="bottom"/>
            <w:shd w:val="clear" w:color="auto" w:fill="0336FF"/>
          </w:tcPr>
          <w:p>
            <w:pPr>
              <w:spacing w:after="0"/>
              <w:rPr>
                <w:sz w:val="6"/>
                <w:szCs w:val="6"/>
                <w:color w:val="auto"/>
              </w:rPr>
            </w:pPr>
          </w:p>
        </w:tc>
      </w:tr>
      <w:tr>
        <w:trPr>
          <w:trHeight w:val="222"/>
        </w:trPr>
        <w:tc>
          <w:tcPr>
            <w:tcW w:w="444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2160" w:type="dxa"/>
            <w:vAlign w:val="bottom"/>
          </w:tcPr>
          <w:p>
            <w:pPr>
              <w:jc w:val="right"/>
              <w:ind w:right="548"/>
              <w:spacing w:after="0"/>
              <w:rPr>
                <w:sz w:val="20"/>
                <w:szCs w:val="20"/>
                <w:color w:val="auto"/>
              </w:rPr>
            </w:pPr>
            <w:r>
              <w:rPr>
                <w:rFonts w:ascii="Arial" w:cs="Arial" w:eastAsia="Arial" w:hAnsi="Arial"/>
                <w:sz w:val="14"/>
                <w:szCs w:val="14"/>
                <w:color w:val="2D3243"/>
              </w:rPr>
              <w:t>161,011</w:t>
            </w:r>
          </w:p>
        </w:tc>
        <w:tc>
          <w:tcPr>
            <w:tcW w:w="1280" w:type="dxa"/>
            <w:vAlign w:val="bottom"/>
          </w:tcPr>
          <w:p>
            <w:pPr>
              <w:jc w:val="right"/>
              <w:ind w:right="208"/>
              <w:spacing w:after="0"/>
              <w:rPr>
                <w:sz w:val="20"/>
                <w:szCs w:val="20"/>
                <w:color w:val="auto"/>
              </w:rPr>
            </w:pPr>
            <w:r>
              <w:rPr>
                <w:rFonts w:ascii="Arial" w:cs="Arial" w:eastAsia="Arial" w:hAnsi="Arial"/>
                <w:sz w:val="14"/>
                <w:szCs w:val="14"/>
                <w:color w:val="2D3243"/>
              </w:rPr>
              <w:t>10,812,445</w:t>
            </w:r>
          </w:p>
        </w:tc>
        <w:tc>
          <w:tcPr>
            <w:tcW w:w="2160" w:type="dxa"/>
            <w:vAlign w:val="bottom"/>
          </w:tcPr>
          <w:p>
            <w:pPr>
              <w:jc w:val="right"/>
              <w:ind w:right="508"/>
              <w:spacing w:after="0"/>
              <w:rPr>
                <w:sz w:val="20"/>
                <w:szCs w:val="20"/>
                <w:color w:val="auto"/>
              </w:rPr>
            </w:pPr>
            <w:r>
              <w:rPr>
                <w:rFonts w:ascii="Arial" w:cs="Arial" w:eastAsia="Arial" w:hAnsi="Arial"/>
                <w:sz w:val="14"/>
                <w:szCs w:val="14"/>
                <w:color w:val="2D3243"/>
              </w:rPr>
              <w:t>77,098</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5,546,549</w:t>
            </w:r>
          </w:p>
        </w:tc>
      </w:tr>
      <w:tr>
        <w:trPr>
          <w:trHeight w:val="237"/>
        </w:trPr>
        <w:tc>
          <w:tcPr>
            <w:tcW w:w="444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2160" w:type="dxa"/>
            <w:vAlign w:val="bottom"/>
            <w:shd w:val="clear" w:color="auto" w:fill="F0F1F2"/>
          </w:tcPr>
          <w:p>
            <w:pPr>
              <w:jc w:val="right"/>
              <w:ind w:right="548"/>
              <w:spacing w:after="0"/>
              <w:rPr>
                <w:sz w:val="20"/>
                <w:szCs w:val="20"/>
                <w:color w:val="auto"/>
              </w:rPr>
            </w:pPr>
            <w:r>
              <w:rPr>
                <w:rFonts w:ascii="Arial" w:cs="Arial" w:eastAsia="Arial" w:hAnsi="Arial"/>
                <w:sz w:val="14"/>
                <w:szCs w:val="14"/>
                <w:color w:val="2D3243"/>
              </w:rPr>
              <w:t>22,500</w:t>
            </w:r>
          </w:p>
        </w:tc>
        <w:tc>
          <w:tcPr>
            <w:tcW w:w="1280" w:type="dxa"/>
            <w:vAlign w:val="bottom"/>
            <w:shd w:val="clear" w:color="auto" w:fill="F0F1F2"/>
          </w:tcPr>
          <w:p>
            <w:pPr>
              <w:jc w:val="right"/>
              <w:ind w:right="208"/>
              <w:spacing w:after="0"/>
              <w:rPr>
                <w:sz w:val="20"/>
                <w:szCs w:val="20"/>
                <w:color w:val="auto"/>
              </w:rPr>
            </w:pPr>
            <w:r>
              <w:rPr>
                <w:rFonts w:ascii="Arial" w:cs="Arial" w:eastAsia="Arial" w:hAnsi="Arial"/>
                <w:sz w:val="14"/>
                <w:szCs w:val="14"/>
                <w:color w:val="2D3243"/>
              </w:rPr>
              <w:t>1,125,313</w:t>
            </w:r>
          </w:p>
        </w:tc>
        <w:tc>
          <w:tcPr>
            <w:tcW w:w="2160" w:type="dxa"/>
            <w:vAlign w:val="bottom"/>
            <w:shd w:val="clear" w:color="auto" w:fill="F0F1F2"/>
          </w:tcPr>
          <w:p>
            <w:pPr>
              <w:jc w:val="right"/>
              <w:ind w:right="508"/>
              <w:spacing w:after="0"/>
              <w:rPr>
                <w:sz w:val="20"/>
                <w:szCs w:val="20"/>
                <w:color w:val="auto"/>
              </w:rPr>
            </w:pPr>
            <w:r>
              <w:rPr>
                <w:rFonts w:ascii="Arial" w:cs="Arial" w:eastAsia="Arial" w:hAnsi="Arial"/>
                <w:sz w:val="14"/>
                <w:szCs w:val="14"/>
                <w:color w:val="2D3243"/>
              </w:rPr>
              <w:t>48,685</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3,562,439</w:t>
            </w:r>
          </w:p>
        </w:tc>
      </w:tr>
      <w:tr>
        <w:trPr>
          <w:trHeight w:val="222"/>
        </w:trPr>
        <w:tc>
          <w:tcPr>
            <w:tcW w:w="4440" w:type="dxa"/>
            <w:vAlign w:val="bottom"/>
          </w:tcPr>
          <w:p>
            <w:pPr>
              <w:ind w:left="100"/>
              <w:spacing w:after="0"/>
              <w:rPr>
                <w:sz w:val="20"/>
                <w:szCs w:val="20"/>
                <w:color w:val="auto"/>
              </w:rPr>
            </w:pPr>
            <w:r>
              <w:rPr>
                <w:rFonts w:ascii="Arial" w:cs="Arial" w:eastAsia="Arial" w:hAnsi="Arial"/>
                <w:sz w:val="14"/>
                <w:szCs w:val="14"/>
                <w:b w:val="1"/>
                <w:bCs w:val="1"/>
                <w:color w:val="2D3243"/>
              </w:rPr>
              <w:t>Daniel Burkland</w:t>
            </w:r>
          </w:p>
        </w:tc>
        <w:tc>
          <w:tcPr>
            <w:tcW w:w="2160" w:type="dxa"/>
            <w:vAlign w:val="bottom"/>
          </w:tcPr>
          <w:p>
            <w:pPr>
              <w:jc w:val="right"/>
              <w:ind w:right="548"/>
              <w:spacing w:after="0"/>
              <w:rPr>
                <w:sz w:val="20"/>
                <w:szCs w:val="20"/>
                <w:color w:val="auto"/>
              </w:rPr>
            </w:pPr>
            <w:r>
              <w:rPr>
                <w:rFonts w:ascii="Arial" w:cs="Arial" w:eastAsia="Arial" w:hAnsi="Arial"/>
                <w:sz w:val="14"/>
                <w:szCs w:val="14"/>
                <w:color w:val="2D3243"/>
              </w:rPr>
              <w:t>110,369</w:t>
            </w:r>
          </w:p>
        </w:tc>
        <w:tc>
          <w:tcPr>
            <w:tcW w:w="1280" w:type="dxa"/>
            <w:vAlign w:val="bottom"/>
          </w:tcPr>
          <w:p>
            <w:pPr>
              <w:jc w:val="right"/>
              <w:ind w:right="208"/>
              <w:spacing w:after="0"/>
              <w:rPr>
                <w:sz w:val="20"/>
                <w:szCs w:val="20"/>
                <w:color w:val="auto"/>
              </w:rPr>
            </w:pPr>
            <w:r>
              <w:rPr>
                <w:rFonts w:ascii="Arial" w:cs="Arial" w:eastAsia="Arial" w:hAnsi="Arial"/>
                <w:sz w:val="14"/>
                <w:szCs w:val="14"/>
                <w:color w:val="2D3243"/>
              </w:rPr>
              <w:t>7,046,879</w:t>
            </w:r>
          </w:p>
        </w:tc>
        <w:tc>
          <w:tcPr>
            <w:tcW w:w="2160" w:type="dxa"/>
            <w:vAlign w:val="bottom"/>
          </w:tcPr>
          <w:p>
            <w:pPr>
              <w:jc w:val="right"/>
              <w:ind w:right="508"/>
              <w:spacing w:after="0"/>
              <w:rPr>
                <w:sz w:val="20"/>
                <w:szCs w:val="20"/>
                <w:color w:val="auto"/>
              </w:rPr>
            </w:pPr>
            <w:r>
              <w:rPr>
                <w:rFonts w:ascii="Arial" w:cs="Arial" w:eastAsia="Arial" w:hAnsi="Arial"/>
                <w:sz w:val="14"/>
                <w:szCs w:val="14"/>
                <w:color w:val="2D3243"/>
              </w:rPr>
              <w:t>63,872</w:t>
            </w:r>
          </w:p>
        </w:tc>
        <w:tc>
          <w:tcPr>
            <w:tcW w:w="1200" w:type="dxa"/>
            <w:vAlign w:val="bottom"/>
          </w:tcPr>
          <w:p>
            <w:pPr>
              <w:jc w:val="right"/>
              <w:ind w:right="88"/>
              <w:spacing w:after="0"/>
              <w:rPr>
                <w:sz w:val="20"/>
                <w:szCs w:val="20"/>
                <w:color w:val="auto"/>
              </w:rPr>
            </w:pPr>
            <w:r>
              <w:rPr>
                <w:rFonts w:ascii="Arial" w:cs="Arial" w:eastAsia="Arial" w:hAnsi="Arial"/>
                <w:sz w:val="14"/>
                <w:szCs w:val="14"/>
                <w:color w:val="2D3243"/>
              </w:rPr>
              <w:t>4,713,065</w:t>
            </w:r>
          </w:p>
        </w:tc>
      </w:tr>
      <w:tr>
        <w:trPr>
          <w:trHeight w:val="237"/>
        </w:trPr>
        <w:tc>
          <w:tcPr>
            <w:tcW w:w="444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p>
        </w:tc>
        <w:tc>
          <w:tcPr>
            <w:tcW w:w="2160" w:type="dxa"/>
            <w:vAlign w:val="bottom"/>
            <w:shd w:val="clear" w:color="auto" w:fill="F0F1F2"/>
          </w:tcPr>
          <w:p>
            <w:pPr>
              <w:jc w:val="right"/>
              <w:ind w:right="548"/>
              <w:spacing w:after="0"/>
              <w:rPr>
                <w:sz w:val="20"/>
                <w:szCs w:val="20"/>
                <w:color w:val="auto"/>
              </w:rPr>
            </w:pPr>
            <w:r>
              <w:rPr>
                <w:rFonts w:ascii="Arial" w:cs="Arial" w:eastAsia="Arial" w:hAnsi="Arial"/>
                <w:sz w:val="14"/>
                <w:szCs w:val="14"/>
                <w:color w:val="2D3243"/>
              </w:rPr>
              <w:t>—</w:t>
            </w:r>
          </w:p>
        </w:tc>
        <w:tc>
          <w:tcPr>
            <w:tcW w:w="1280" w:type="dxa"/>
            <w:vAlign w:val="bottom"/>
            <w:shd w:val="clear" w:color="auto" w:fill="F0F1F2"/>
          </w:tcPr>
          <w:p>
            <w:pPr>
              <w:jc w:val="right"/>
              <w:ind w:right="208"/>
              <w:spacing w:after="0"/>
              <w:rPr>
                <w:sz w:val="20"/>
                <w:szCs w:val="20"/>
                <w:color w:val="auto"/>
              </w:rPr>
            </w:pPr>
            <w:r>
              <w:rPr>
                <w:rFonts w:ascii="Arial" w:cs="Arial" w:eastAsia="Arial" w:hAnsi="Arial"/>
                <w:sz w:val="14"/>
                <w:szCs w:val="14"/>
                <w:color w:val="2D3243"/>
              </w:rPr>
              <w:t>—</w:t>
            </w:r>
          </w:p>
        </w:tc>
        <w:tc>
          <w:tcPr>
            <w:tcW w:w="2160" w:type="dxa"/>
            <w:vAlign w:val="bottom"/>
            <w:shd w:val="clear" w:color="auto" w:fill="F0F1F2"/>
          </w:tcPr>
          <w:p>
            <w:pPr>
              <w:jc w:val="right"/>
              <w:ind w:right="508"/>
              <w:spacing w:after="0"/>
              <w:rPr>
                <w:sz w:val="20"/>
                <w:szCs w:val="20"/>
                <w:color w:val="auto"/>
              </w:rPr>
            </w:pPr>
            <w:r>
              <w:rPr>
                <w:rFonts w:ascii="Arial" w:cs="Arial" w:eastAsia="Arial" w:hAnsi="Arial"/>
                <w:sz w:val="14"/>
                <w:szCs w:val="14"/>
                <w:color w:val="2D3243"/>
              </w:rPr>
              <w:t>42,700</w:t>
            </w:r>
          </w:p>
        </w:tc>
        <w:tc>
          <w:tcPr>
            <w:tcW w:w="12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3,136,773</w:t>
            </w:r>
          </w:p>
        </w:tc>
      </w:tr>
      <w:tr>
        <w:trPr>
          <w:trHeight w:val="223"/>
        </w:trPr>
        <w:tc>
          <w:tcPr>
            <w:tcW w:w="4440" w:type="dxa"/>
            <w:vAlign w:val="bottom"/>
            <w:tcBorders>
              <w:bottom w:val="single" w:sz="8" w:color="0336FF"/>
            </w:tcBorders>
          </w:tcPr>
          <w:p>
            <w:pPr>
              <w:ind w:left="100"/>
              <w:spacing w:after="0"/>
              <w:rPr>
                <w:sz w:val="20"/>
                <w:szCs w:val="20"/>
                <w:color w:val="auto"/>
              </w:rPr>
            </w:pPr>
            <w:r>
              <w:rPr>
                <w:rFonts w:ascii="Arial" w:cs="Arial" w:eastAsia="Arial" w:hAnsi="Arial"/>
                <w:sz w:val="14"/>
                <w:szCs w:val="14"/>
                <w:b w:val="1"/>
                <w:bCs w:val="1"/>
                <w:color w:val="2D3243"/>
              </w:rPr>
              <w:t>Panos Kozanian</w:t>
            </w:r>
          </w:p>
        </w:tc>
        <w:tc>
          <w:tcPr>
            <w:tcW w:w="2160" w:type="dxa"/>
            <w:vAlign w:val="bottom"/>
            <w:tcBorders>
              <w:bottom w:val="single" w:sz="8" w:color="0336FF"/>
            </w:tcBorders>
          </w:tcPr>
          <w:p>
            <w:pPr>
              <w:jc w:val="right"/>
              <w:ind w:right="548"/>
              <w:spacing w:after="0"/>
              <w:rPr>
                <w:sz w:val="20"/>
                <w:szCs w:val="20"/>
                <w:color w:val="auto"/>
              </w:rPr>
            </w:pPr>
            <w:r>
              <w:rPr>
                <w:rFonts w:ascii="Arial" w:cs="Arial" w:eastAsia="Arial" w:hAnsi="Arial"/>
                <w:sz w:val="14"/>
                <w:szCs w:val="14"/>
                <w:color w:val="2D3243"/>
              </w:rPr>
              <w:t>—</w:t>
            </w:r>
          </w:p>
        </w:tc>
        <w:tc>
          <w:tcPr>
            <w:tcW w:w="1280" w:type="dxa"/>
            <w:vAlign w:val="bottom"/>
            <w:tcBorders>
              <w:bottom w:val="single" w:sz="8" w:color="0336FF"/>
            </w:tcBorders>
          </w:tcPr>
          <w:p>
            <w:pPr>
              <w:jc w:val="right"/>
              <w:ind w:right="208"/>
              <w:spacing w:after="0"/>
              <w:rPr>
                <w:sz w:val="20"/>
                <w:szCs w:val="20"/>
                <w:color w:val="auto"/>
              </w:rPr>
            </w:pPr>
            <w:r>
              <w:rPr>
                <w:rFonts w:ascii="Arial" w:cs="Arial" w:eastAsia="Arial" w:hAnsi="Arial"/>
                <w:sz w:val="14"/>
                <w:szCs w:val="14"/>
                <w:color w:val="2D3243"/>
              </w:rPr>
              <w:t>—</w:t>
            </w:r>
          </w:p>
        </w:tc>
        <w:tc>
          <w:tcPr>
            <w:tcW w:w="2160" w:type="dxa"/>
            <w:vAlign w:val="bottom"/>
            <w:tcBorders>
              <w:bottom w:val="single" w:sz="8" w:color="0336FF"/>
            </w:tcBorders>
          </w:tcPr>
          <w:p>
            <w:pPr>
              <w:jc w:val="right"/>
              <w:ind w:right="508"/>
              <w:spacing w:after="0"/>
              <w:rPr>
                <w:sz w:val="20"/>
                <w:szCs w:val="20"/>
                <w:color w:val="auto"/>
              </w:rPr>
            </w:pPr>
            <w:r>
              <w:rPr>
                <w:rFonts w:ascii="Arial" w:cs="Arial" w:eastAsia="Arial" w:hAnsi="Arial"/>
                <w:sz w:val="14"/>
                <w:szCs w:val="14"/>
                <w:color w:val="2D3243"/>
              </w:rPr>
              <w:t>46,185</w:t>
            </w:r>
          </w:p>
        </w:tc>
        <w:tc>
          <w:tcPr>
            <w:tcW w:w="1200" w:type="dxa"/>
            <w:vAlign w:val="bottom"/>
            <w:tcBorders>
              <w:bottom w:val="single" w:sz="8" w:color="0336FF"/>
            </w:tcBorders>
          </w:tcPr>
          <w:p>
            <w:pPr>
              <w:jc w:val="right"/>
              <w:ind w:right="88"/>
              <w:spacing w:after="0"/>
              <w:rPr>
                <w:sz w:val="20"/>
                <w:szCs w:val="20"/>
                <w:color w:val="auto"/>
              </w:rPr>
            </w:pPr>
            <w:r>
              <w:rPr>
                <w:rFonts w:ascii="Arial" w:cs="Arial" w:eastAsia="Arial" w:hAnsi="Arial"/>
                <w:sz w:val="14"/>
                <w:szCs w:val="14"/>
                <w:color w:val="2D3243"/>
              </w:rPr>
              <w:t>3,380,179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-1036320</wp:posOffset>
            </wp:positionV>
            <wp:extent cx="42519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133" w:lineRule="exact"/>
        <w:rPr>
          <w:sz w:val="20"/>
          <w:szCs w:val="20"/>
          <w:color w:val="auto"/>
        </w:rPr>
      </w:pPr>
    </w:p>
    <w:p>
      <w:pPr>
        <w:ind w:left="340" w:right="60" w:hanging="332"/>
        <w:spacing w:after="0" w:line="362" w:lineRule="auto"/>
        <w:tabs>
          <w:tab w:leader="none" w:pos="338" w:val="left"/>
        </w:tabs>
        <w:numPr>
          <w:ilvl w:val="0"/>
          <w:numId w:val="61"/>
        </w:numPr>
        <w:rPr>
          <w:rFonts w:ascii="Arial" w:cs="Arial" w:eastAsia="Arial" w:hAnsi="Arial"/>
          <w:sz w:val="14"/>
          <w:szCs w:val="14"/>
          <w:color w:val="2D3243"/>
        </w:rPr>
      </w:pPr>
      <w:r>
        <w:rPr>
          <w:rFonts w:ascii="Arial" w:cs="Arial" w:eastAsia="Arial" w:hAnsi="Arial"/>
          <w:sz w:val="14"/>
          <w:szCs w:val="14"/>
          <w:color w:val="2D3243"/>
        </w:rPr>
        <w:t>Amount represents the excess of the fair market value of the shares of our Common Stock at the time of the exercise over the exercise price of the stock options multiplied by the number of shares exercised.</w:t>
      </w:r>
    </w:p>
    <w:p>
      <w:pPr>
        <w:ind w:left="340" w:hanging="332"/>
        <w:spacing w:after="0"/>
        <w:tabs>
          <w:tab w:leader="none" w:pos="340" w:val="left"/>
        </w:tabs>
        <w:numPr>
          <w:ilvl w:val="0"/>
          <w:numId w:val="61"/>
        </w:numPr>
        <w:rPr>
          <w:rFonts w:ascii="Arial" w:cs="Arial" w:eastAsia="Arial" w:hAnsi="Arial"/>
          <w:sz w:val="14"/>
          <w:szCs w:val="14"/>
          <w:color w:val="2D3243"/>
        </w:rPr>
      </w:pPr>
      <w:r>
        <w:rPr>
          <w:rFonts w:ascii="Arial" w:cs="Arial" w:eastAsia="Arial" w:hAnsi="Arial"/>
          <w:sz w:val="14"/>
          <w:szCs w:val="14"/>
          <w:color w:val="2D3243"/>
        </w:rPr>
        <w:t>Amount is determined based on the closing market price of our Common Stock on the vesting date of such shares multiplied by the number of shares vested.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65</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3" w:name="page74"/>
    <w:bookmarkEnd w:id="73"/>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Potential Payments upon Termination or Change in Control</w:t>
      </w:r>
    </w:p>
    <w:p>
      <w:pPr>
        <w:spacing w:after="0" w:line="193" w:lineRule="exact"/>
        <w:rPr>
          <w:sz w:val="20"/>
          <w:szCs w:val="20"/>
          <w:color w:val="auto"/>
        </w:rPr>
      </w:pPr>
    </w:p>
    <w:p>
      <w:pPr>
        <w:ind w:right="60"/>
        <w:spacing w:after="0" w:line="374" w:lineRule="auto"/>
        <w:rPr>
          <w:sz w:val="20"/>
          <w:szCs w:val="20"/>
          <w:color w:val="auto"/>
        </w:rPr>
      </w:pPr>
      <w:r>
        <w:rPr>
          <w:rFonts w:ascii="Arial" w:cs="Arial" w:eastAsia="Arial" w:hAnsi="Arial"/>
          <w:sz w:val="16"/>
          <w:szCs w:val="16"/>
          <w:color w:val="2D3243"/>
        </w:rPr>
        <w:t>Our Compensation Committee has approved the Severance Plan to provide consistency in severance payments and benefit rights for our senior executives, including our NEOs, upon certain qualifying terminations of employment, whether or not in connection with a change in control of our company.</w:t>
      </w:r>
    </w:p>
    <w:p>
      <w:pPr>
        <w:spacing w:after="0" w:line="115" w:lineRule="exact"/>
        <w:rPr>
          <w:sz w:val="20"/>
          <w:szCs w:val="20"/>
          <w:color w:val="auto"/>
        </w:rPr>
      </w:pPr>
    </w:p>
    <w:p>
      <w:pPr>
        <w:spacing w:after="0" w:line="354" w:lineRule="auto"/>
        <w:rPr>
          <w:sz w:val="20"/>
          <w:szCs w:val="20"/>
          <w:color w:val="auto"/>
        </w:rPr>
      </w:pPr>
      <w:r>
        <w:rPr>
          <w:rFonts w:ascii="Arial" w:cs="Arial" w:eastAsia="Arial" w:hAnsi="Arial"/>
          <w:sz w:val="16"/>
          <w:szCs w:val="16"/>
          <w:color w:val="2D3243"/>
        </w:rPr>
        <w:t>Under the Severance Plan, if an NEO’s employment with us is terminated by us without “cause” (as defined in the 2014 Plan) (other than due to death or disability), and such termination is not in connection with a “change in control” (as defined in the Severance Plan) of the Company, then the NEO is eligible to receive:</w:t>
      </w:r>
    </w:p>
    <w:p>
      <w:pPr>
        <w:spacing w:after="0" w:line="117" w:lineRule="exact"/>
        <w:rPr>
          <w:sz w:val="20"/>
          <w:szCs w:val="20"/>
          <w:color w:val="auto"/>
        </w:rPr>
      </w:pPr>
    </w:p>
    <w:p>
      <w:pPr>
        <w:ind w:left="820" w:right="520" w:hanging="326"/>
        <w:spacing w:after="0" w:line="374" w:lineRule="auto"/>
        <w:tabs>
          <w:tab w:leader="none" w:pos="782" w:val="left"/>
        </w:tabs>
        <w:numPr>
          <w:ilvl w:val="0"/>
          <w:numId w:val="62"/>
        </w:numPr>
        <w:rPr>
          <w:rFonts w:ascii="Arial" w:cs="Arial" w:eastAsia="Arial" w:hAnsi="Arial"/>
          <w:sz w:val="16"/>
          <w:szCs w:val="16"/>
          <w:color w:val="2D3243"/>
        </w:rPr>
      </w:pPr>
      <w:r>
        <w:rPr>
          <w:rFonts w:ascii="Arial" w:cs="Arial" w:eastAsia="Arial" w:hAnsi="Arial"/>
          <w:sz w:val="16"/>
          <w:szCs w:val="16"/>
          <w:color w:val="2D3243"/>
        </w:rPr>
        <w:t>a lump sum cash payment equal to 12 months (in the case of our CEO), or a lump sum cash payment equal to 9 months (in the case of Mr. Zwarenstein), or 6 months (in the case of Messrs. Daniel Burkland, Dignan and Kozanian) of his then-current annual base salary, and</w:t>
      </w:r>
    </w:p>
    <w:p>
      <w:pPr>
        <w:spacing w:after="0" w:line="7" w:lineRule="exact"/>
        <w:rPr>
          <w:rFonts w:ascii="Arial" w:cs="Arial" w:eastAsia="Arial" w:hAnsi="Arial"/>
          <w:sz w:val="16"/>
          <w:szCs w:val="16"/>
          <w:color w:val="2D3243"/>
        </w:rPr>
      </w:pPr>
    </w:p>
    <w:p>
      <w:pPr>
        <w:ind w:left="820" w:right="20" w:hanging="326"/>
        <w:spacing w:after="0" w:line="354" w:lineRule="auto"/>
        <w:tabs>
          <w:tab w:leader="none" w:pos="782" w:val="left"/>
        </w:tabs>
        <w:numPr>
          <w:ilvl w:val="0"/>
          <w:numId w:val="62"/>
        </w:numPr>
        <w:rPr>
          <w:rFonts w:ascii="Arial" w:cs="Arial" w:eastAsia="Arial" w:hAnsi="Arial"/>
          <w:sz w:val="16"/>
          <w:szCs w:val="16"/>
          <w:color w:val="2D3243"/>
        </w:rPr>
      </w:pPr>
      <w:r>
        <w:rPr>
          <w:rFonts w:ascii="Arial" w:cs="Arial" w:eastAsia="Arial" w:hAnsi="Arial"/>
          <w:sz w:val="16"/>
          <w:szCs w:val="16"/>
          <w:color w:val="2D3243"/>
        </w:rPr>
        <w:t>either payment of the premiums for his continued post-termination health insurance coverage, or continued coverage under our health insurance plans for up to 12 months (in the case of our CEO), or up to 9 months (in the case of Mr. Zwarenstein), or 6 months (in the case of Messrs. Daniel Burkland, Dignan and Kozanian).</w:t>
      </w:r>
    </w:p>
    <w:p>
      <w:pPr>
        <w:spacing w:after="0" w:line="117" w:lineRule="exact"/>
        <w:rPr>
          <w:sz w:val="20"/>
          <w:szCs w:val="20"/>
          <w:color w:val="auto"/>
        </w:rPr>
      </w:pPr>
    </w:p>
    <w:p>
      <w:pPr>
        <w:ind w:right="200"/>
        <w:spacing w:after="0" w:line="354" w:lineRule="auto"/>
        <w:rPr>
          <w:sz w:val="20"/>
          <w:szCs w:val="20"/>
          <w:color w:val="auto"/>
        </w:rPr>
      </w:pPr>
      <w:r>
        <w:rPr>
          <w:rFonts w:ascii="Arial" w:cs="Arial" w:eastAsia="Arial" w:hAnsi="Arial"/>
          <w:sz w:val="16"/>
          <w:szCs w:val="16"/>
          <w:color w:val="2D3243"/>
        </w:rPr>
        <w:t>If our CEO terminates his employment with us pursuant to a “constructive termination” (as defined in the Severance Plan), and such termination is not in connection with a “change in control” (as defined in the Severance Plan) of the Company, then he is eligible to receive the same payments and benefits as described above in the event of a termination without “cause.”</w:t>
      </w:r>
    </w:p>
    <w:p>
      <w:pPr>
        <w:spacing w:after="0" w:line="131" w:lineRule="exact"/>
        <w:rPr>
          <w:sz w:val="20"/>
          <w:szCs w:val="20"/>
          <w:color w:val="auto"/>
        </w:rPr>
      </w:pPr>
    </w:p>
    <w:p>
      <w:pPr>
        <w:ind w:right="280"/>
        <w:spacing w:after="0" w:line="354" w:lineRule="auto"/>
        <w:rPr>
          <w:sz w:val="20"/>
          <w:szCs w:val="20"/>
          <w:color w:val="auto"/>
        </w:rPr>
      </w:pPr>
      <w:r>
        <w:rPr>
          <w:rFonts w:ascii="Arial" w:cs="Arial" w:eastAsia="Arial" w:hAnsi="Arial"/>
          <w:sz w:val="16"/>
          <w:szCs w:val="16"/>
          <w:color w:val="2D3243"/>
        </w:rPr>
        <w:t>If an NEO’s employment with us is terminated by us without cause (other than due to death or disability) or by the NEO pursuant to a “constructive termination” (as defined in the Severance Plan), and in each case, such qualifying termination occurs within three months prior to, on or within 12 months after a change in control of the Company, then the NEO is eligible to receive:</w:t>
      </w:r>
    </w:p>
    <w:p>
      <w:pPr>
        <w:spacing w:after="0" w:line="117" w:lineRule="exact"/>
        <w:rPr>
          <w:sz w:val="20"/>
          <w:szCs w:val="20"/>
          <w:color w:val="auto"/>
        </w:rPr>
      </w:pPr>
    </w:p>
    <w:p>
      <w:pPr>
        <w:ind w:left="820" w:right="120" w:hanging="326"/>
        <w:spacing w:after="0" w:line="363" w:lineRule="auto"/>
        <w:tabs>
          <w:tab w:leader="none" w:pos="782" w:val="left"/>
        </w:tabs>
        <w:numPr>
          <w:ilvl w:val="0"/>
          <w:numId w:val="63"/>
        </w:numPr>
        <w:rPr>
          <w:rFonts w:ascii="Arial" w:cs="Arial" w:eastAsia="Arial" w:hAnsi="Arial"/>
          <w:sz w:val="16"/>
          <w:szCs w:val="16"/>
          <w:color w:val="2D3243"/>
        </w:rPr>
      </w:pPr>
      <w:r>
        <w:rPr>
          <w:rFonts w:ascii="Arial" w:cs="Arial" w:eastAsia="Arial" w:hAnsi="Arial"/>
          <w:sz w:val="16"/>
          <w:szCs w:val="16"/>
          <w:color w:val="2D3243"/>
        </w:rPr>
        <w:t>a lump sum cash payment equal to 18 months (in the case of our CEO), or a lump sum cash payment equal to 15 months (in the case of Mr. Zwarenstein), or 12 months (in the case of Messrs. Daniel Burkland, Dignan and Kozanian) of his then-current base salary and his target annual cash bonus opportunity,</w:t>
      </w:r>
    </w:p>
    <w:p>
      <w:pPr>
        <w:spacing w:after="0" w:line="2" w:lineRule="exact"/>
        <w:rPr>
          <w:rFonts w:ascii="Arial" w:cs="Arial" w:eastAsia="Arial" w:hAnsi="Arial"/>
          <w:sz w:val="16"/>
          <w:szCs w:val="16"/>
          <w:color w:val="2D3243"/>
        </w:rPr>
      </w:pPr>
    </w:p>
    <w:p>
      <w:pPr>
        <w:ind w:left="820" w:right="100" w:hanging="326"/>
        <w:spacing w:after="0" w:line="369" w:lineRule="auto"/>
        <w:tabs>
          <w:tab w:leader="none" w:pos="782" w:val="left"/>
        </w:tabs>
        <w:numPr>
          <w:ilvl w:val="0"/>
          <w:numId w:val="63"/>
        </w:numPr>
        <w:rPr>
          <w:rFonts w:ascii="Arial" w:cs="Arial" w:eastAsia="Arial" w:hAnsi="Arial"/>
          <w:sz w:val="16"/>
          <w:szCs w:val="16"/>
          <w:color w:val="2D3243"/>
        </w:rPr>
      </w:pPr>
      <w:r>
        <w:rPr>
          <w:rFonts w:ascii="Arial" w:cs="Arial" w:eastAsia="Arial" w:hAnsi="Arial"/>
          <w:sz w:val="16"/>
          <w:szCs w:val="16"/>
          <w:color w:val="2D3243"/>
        </w:rPr>
        <w:t>either payment of the premiums for his continued post-termination health insurance coverage for up to 18 months (in the case of our CEO), or up to 15 months (in the case of Mr. Zwarenstein), or 12 months (in the case of Messrs. Daniel Burkland, Dignan and Kozanian), and</w:t>
      </w:r>
    </w:p>
    <w:p>
      <w:pPr>
        <w:spacing w:after="0" w:line="1" w:lineRule="exact"/>
        <w:rPr>
          <w:rFonts w:ascii="Arial" w:cs="Arial" w:eastAsia="Arial" w:hAnsi="Arial"/>
          <w:sz w:val="16"/>
          <w:szCs w:val="16"/>
          <w:color w:val="2D3243"/>
        </w:rPr>
      </w:pPr>
    </w:p>
    <w:p>
      <w:pPr>
        <w:ind w:left="780" w:hanging="286"/>
        <w:spacing w:after="0"/>
        <w:tabs>
          <w:tab w:leader="none" w:pos="780" w:val="left"/>
        </w:tabs>
        <w:numPr>
          <w:ilvl w:val="0"/>
          <w:numId w:val="63"/>
        </w:numPr>
        <w:rPr>
          <w:rFonts w:ascii="Arial" w:cs="Arial" w:eastAsia="Arial" w:hAnsi="Arial"/>
          <w:sz w:val="16"/>
          <w:szCs w:val="16"/>
          <w:color w:val="2D3243"/>
        </w:rPr>
      </w:pPr>
      <w:r>
        <w:rPr>
          <w:rFonts w:ascii="Arial" w:cs="Arial" w:eastAsia="Arial" w:hAnsi="Arial"/>
          <w:sz w:val="16"/>
          <w:szCs w:val="16"/>
          <w:color w:val="2D3243"/>
        </w:rPr>
        <w:t>full accelerated vesting of his then-outstanding and unvested equity awards.</w:t>
      </w:r>
    </w:p>
    <w:p>
      <w:pPr>
        <w:spacing w:after="0" w:line="235" w:lineRule="exact"/>
        <w:rPr>
          <w:sz w:val="20"/>
          <w:szCs w:val="20"/>
          <w:color w:val="auto"/>
        </w:rPr>
      </w:pPr>
    </w:p>
    <w:p>
      <w:pPr>
        <w:ind w:right="180"/>
        <w:spacing w:after="0" w:line="353" w:lineRule="auto"/>
        <w:rPr>
          <w:sz w:val="20"/>
          <w:szCs w:val="20"/>
          <w:color w:val="auto"/>
        </w:rPr>
      </w:pPr>
      <w:r>
        <w:rPr>
          <w:rFonts w:ascii="Arial" w:cs="Arial" w:eastAsia="Arial" w:hAnsi="Arial"/>
          <w:sz w:val="16"/>
          <w:szCs w:val="16"/>
          <w:color w:val="2D3243"/>
        </w:rPr>
        <w:t>If the payments or benefits payable to under the Severance Plan would be subject to the excise tax imposed under Section 4999 of the Code, then those payments or benefits will be reduced if such reduction would result in a higher net after tax benefit to him. Each NEO must execute and deliver an effective release of claims and continue to comply with any applicable restrictive covenants in order to receive the payments and benefits provided for under the Severance Plan.</w:t>
      </w:r>
    </w:p>
    <w:p>
      <w:pPr>
        <w:spacing w:after="0" w:line="119"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2D3243"/>
        </w:rPr>
        <w:t>In addition to the benefits under the Severance Plan, pursuant to the Employment Offer Letter, our CEO is also eligible to receive continued company-provided healthcare benefits (for himself, his spouse, and eligible dependents) during and following his service as our CEO or as a director, generally on the same basis as was previously provided under his prior Chairman agreement.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66</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4" w:name="page75"/>
    <w:bookmarkEnd w:id="74"/>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374" w:lineRule="auto"/>
        <w:rPr>
          <w:sz w:val="20"/>
          <w:szCs w:val="20"/>
          <w:color w:val="auto"/>
        </w:rPr>
      </w:pPr>
      <w:r>
        <w:rPr>
          <w:rFonts w:ascii="Arial" w:cs="Arial" w:eastAsia="Arial" w:hAnsi="Arial"/>
          <w:sz w:val="16"/>
          <w:szCs w:val="16"/>
          <w:color w:val="2D3243"/>
        </w:rPr>
        <w:t>The table below sets forth the estimated payments and benefits that would be provided to each of our NEOs upon a qualifying termination of employment under the Severance Plan and, for our CEO, under the Employment Offer Letter, as of December 31,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20" w:type="dxa"/>
            <w:vAlign w:val="bottom"/>
            <w:shd w:val="clear" w:color="auto" w:fill="0336FF"/>
          </w:tcPr>
          <w:p>
            <w:pPr>
              <w:spacing w:after="0"/>
              <w:rPr>
                <w:sz w:val="16"/>
                <w:szCs w:val="16"/>
                <w:color w:val="auto"/>
              </w:rPr>
            </w:pPr>
          </w:p>
        </w:tc>
        <w:tc>
          <w:tcPr>
            <w:tcW w:w="4360" w:type="dxa"/>
            <w:vAlign w:val="bottom"/>
            <w:shd w:val="clear" w:color="auto" w:fill="0336FF"/>
          </w:tcPr>
          <w:p>
            <w:pPr>
              <w:spacing w:after="0"/>
              <w:rPr>
                <w:sz w:val="16"/>
                <w:szCs w:val="16"/>
                <w:color w:val="auto"/>
              </w:rPr>
            </w:pPr>
          </w:p>
        </w:tc>
        <w:tc>
          <w:tcPr>
            <w:tcW w:w="140" w:type="dxa"/>
            <w:vAlign w:val="bottom"/>
            <w:shd w:val="clear" w:color="auto" w:fill="0336FF"/>
          </w:tcPr>
          <w:p>
            <w:pPr>
              <w:spacing w:after="0"/>
              <w:rPr>
                <w:sz w:val="16"/>
                <w:szCs w:val="16"/>
                <w:color w:val="auto"/>
              </w:rPr>
            </w:pPr>
          </w:p>
        </w:tc>
        <w:tc>
          <w:tcPr>
            <w:tcW w:w="1440" w:type="dxa"/>
            <w:vAlign w:val="bottom"/>
            <w:shd w:val="clear" w:color="auto" w:fill="0336FF"/>
          </w:tcPr>
          <w:p>
            <w:pPr>
              <w:spacing w:after="0"/>
              <w:rPr>
                <w:sz w:val="16"/>
                <w:szCs w:val="16"/>
                <w:color w:val="auto"/>
              </w:rPr>
            </w:pPr>
          </w:p>
        </w:tc>
        <w:tc>
          <w:tcPr>
            <w:tcW w:w="440" w:type="dxa"/>
            <w:vAlign w:val="bottom"/>
            <w:shd w:val="clear" w:color="auto" w:fill="0336FF"/>
          </w:tcPr>
          <w:p>
            <w:pPr>
              <w:spacing w:after="0"/>
              <w:rPr>
                <w:sz w:val="16"/>
                <w:szCs w:val="16"/>
                <w:color w:val="auto"/>
              </w:rPr>
            </w:pPr>
          </w:p>
        </w:tc>
        <w:tc>
          <w:tcPr>
            <w:tcW w:w="218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Involuntary Termination</w:t>
            </w:r>
          </w:p>
        </w:tc>
      </w:tr>
      <w:tr>
        <w:trPr>
          <w:trHeight w:val="175"/>
        </w:trPr>
        <w:tc>
          <w:tcPr>
            <w:tcW w:w="2620" w:type="dxa"/>
            <w:vAlign w:val="bottom"/>
            <w:shd w:val="clear" w:color="auto" w:fill="0336FF"/>
          </w:tcPr>
          <w:p>
            <w:pPr>
              <w:spacing w:after="0"/>
              <w:rPr>
                <w:sz w:val="15"/>
                <w:szCs w:val="15"/>
                <w:color w:val="auto"/>
              </w:rPr>
            </w:pPr>
          </w:p>
        </w:tc>
        <w:tc>
          <w:tcPr>
            <w:tcW w:w="4360" w:type="dxa"/>
            <w:vAlign w:val="bottom"/>
            <w:shd w:val="clear" w:color="auto" w:fill="0336FF"/>
          </w:tcPr>
          <w:p>
            <w:pPr>
              <w:spacing w:after="0"/>
              <w:rPr>
                <w:sz w:val="15"/>
                <w:szCs w:val="15"/>
                <w:color w:val="auto"/>
              </w:rPr>
            </w:pPr>
          </w:p>
        </w:tc>
        <w:tc>
          <w:tcPr>
            <w:tcW w:w="140" w:type="dxa"/>
            <w:vAlign w:val="bottom"/>
            <w:shd w:val="clear" w:color="auto" w:fill="0336FF"/>
          </w:tcPr>
          <w:p>
            <w:pPr>
              <w:spacing w:after="0"/>
              <w:rPr>
                <w:sz w:val="15"/>
                <w:szCs w:val="15"/>
                <w:color w:val="auto"/>
              </w:rPr>
            </w:pPr>
          </w:p>
        </w:tc>
        <w:tc>
          <w:tcPr>
            <w:tcW w:w="14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Involuntary</w:t>
            </w:r>
          </w:p>
        </w:tc>
        <w:tc>
          <w:tcPr>
            <w:tcW w:w="440" w:type="dxa"/>
            <w:vAlign w:val="bottom"/>
            <w:shd w:val="clear" w:color="auto" w:fill="0336FF"/>
          </w:tcPr>
          <w:p>
            <w:pPr>
              <w:spacing w:after="0"/>
              <w:rPr>
                <w:sz w:val="15"/>
                <w:szCs w:val="15"/>
                <w:color w:val="auto"/>
              </w:rPr>
            </w:pPr>
          </w:p>
        </w:tc>
        <w:tc>
          <w:tcPr>
            <w:tcW w:w="218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Without Cause or Termination</w:t>
            </w:r>
          </w:p>
        </w:tc>
      </w:tr>
      <w:tr>
        <w:trPr>
          <w:trHeight w:val="176"/>
        </w:trPr>
        <w:tc>
          <w:tcPr>
            <w:tcW w:w="2620" w:type="dxa"/>
            <w:vAlign w:val="bottom"/>
            <w:shd w:val="clear" w:color="auto" w:fill="0336FF"/>
          </w:tcPr>
          <w:p>
            <w:pPr>
              <w:spacing w:after="0"/>
              <w:rPr>
                <w:sz w:val="15"/>
                <w:szCs w:val="15"/>
                <w:color w:val="auto"/>
              </w:rPr>
            </w:pPr>
          </w:p>
        </w:tc>
        <w:tc>
          <w:tcPr>
            <w:tcW w:w="4360" w:type="dxa"/>
            <w:vAlign w:val="bottom"/>
            <w:shd w:val="clear" w:color="auto" w:fill="0336FF"/>
          </w:tcPr>
          <w:p>
            <w:pPr>
              <w:spacing w:after="0"/>
              <w:rPr>
                <w:sz w:val="15"/>
                <w:szCs w:val="15"/>
                <w:color w:val="auto"/>
              </w:rPr>
            </w:pPr>
          </w:p>
        </w:tc>
        <w:tc>
          <w:tcPr>
            <w:tcW w:w="140" w:type="dxa"/>
            <w:vAlign w:val="bottom"/>
            <w:shd w:val="clear" w:color="auto" w:fill="0336FF"/>
          </w:tcPr>
          <w:p>
            <w:pPr>
              <w:spacing w:after="0"/>
              <w:rPr>
                <w:sz w:val="15"/>
                <w:szCs w:val="15"/>
                <w:color w:val="auto"/>
              </w:rPr>
            </w:pPr>
          </w:p>
        </w:tc>
        <w:tc>
          <w:tcPr>
            <w:tcW w:w="14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Termination Without</w:t>
            </w:r>
          </w:p>
        </w:tc>
        <w:tc>
          <w:tcPr>
            <w:tcW w:w="440" w:type="dxa"/>
            <w:vAlign w:val="bottom"/>
            <w:shd w:val="clear" w:color="auto" w:fill="0336FF"/>
          </w:tcPr>
          <w:p>
            <w:pPr>
              <w:spacing w:after="0"/>
              <w:rPr>
                <w:sz w:val="15"/>
                <w:szCs w:val="15"/>
                <w:color w:val="auto"/>
              </w:rPr>
            </w:pPr>
          </w:p>
        </w:tc>
        <w:tc>
          <w:tcPr>
            <w:tcW w:w="218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Due to a Constructive</w:t>
            </w:r>
          </w:p>
        </w:tc>
      </w:tr>
      <w:tr>
        <w:trPr>
          <w:trHeight w:val="175"/>
        </w:trPr>
        <w:tc>
          <w:tcPr>
            <w:tcW w:w="2620" w:type="dxa"/>
            <w:vAlign w:val="bottom"/>
            <w:shd w:val="clear" w:color="auto" w:fill="0336FF"/>
          </w:tcPr>
          <w:p>
            <w:pPr>
              <w:spacing w:after="0"/>
              <w:rPr>
                <w:sz w:val="15"/>
                <w:szCs w:val="15"/>
                <w:color w:val="auto"/>
              </w:rPr>
            </w:pPr>
          </w:p>
        </w:tc>
        <w:tc>
          <w:tcPr>
            <w:tcW w:w="4360" w:type="dxa"/>
            <w:vAlign w:val="bottom"/>
            <w:shd w:val="clear" w:color="auto" w:fill="0336FF"/>
          </w:tcPr>
          <w:p>
            <w:pPr>
              <w:spacing w:after="0"/>
              <w:rPr>
                <w:sz w:val="15"/>
                <w:szCs w:val="15"/>
                <w:color w:val="auto"/>
              </w:rPr>
            </w:pPr>
          </w:p>
        </w:tc>
        <w:tc>
          <w:tcPr>
            <w:tcW w:w="140" w:type="dxa"/>
            <w:vAlign w:val="bottom"/>
            <w:shd w:val="clear" w:color="auto" w:fill="0336FF"/>
          </w:tcPr>
          <w:p>
            <w:pPr>
              <w:spacing w:after="0"/>
              <w:rPr>
                <w:sz w:val="15"/>
                <w:szCs w:val="15"/>
                <w:color w:val="auto"/>
              </w:rPr>
            </w:pPr>
          </w:p>
        </w:tc>
        <w:tc>
          <w:tcPr>
            <w:tcW w:w="14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Cause Not In</w:t>
            </w:r>
          </w:p>
        </w:tc>
        <w:tc>
          <w:tcPr>
            <w:tcW w:w="440" w:type="dxa"/>
            <w:vAlign w:val="bottom"/>
            <w:shd w:val="clear" w:color="auto" w:fill="0336FF"/>
          </w:tcPr>
          <w:p>
            <w:pPr>
              <w:spacing w:after="0"/>
              <w:rPr>
                <w:sz w:val="15"/>
                <w:szCs w:val="15"/>
                <w:color w:val="auto"/>
              </w:rPr>
            </w:pPr>
          </w:p>
        </w:tc>
        <w:tc>
          <w:tcPr>
            <w:tcW w:w="218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Termination, each in</w:t>
            </w:r>
          </w:p>
        </w:tc>
      </w:tr>
      <w:tr>
        <w:trPr>
          <w:trHeight w:val="162"/>
        </w:trPr>
        <w:tc>
          <w:tcPr>
            <w:tcW w:w="2620" w:type="dxa"/>
            <w:vAlign w:val="bottom"/>
            <w:shd w:val="clear" w:color="auto" w:fill="0336FF"/>
          </w:tcPr>
          <w:p>
            <w:pPr>
              <w:spacing w:after="0"/>
              <w:rPr>
                <w:sz w:val="14"/>
                <w:szCs w:val="14"/>
                <w:color w:val="auto"/>
              </w:rPr>
            </w:pPr>
          </w:p>
        </w:tc>
        <w:tc>
          <w:tcPr>
            <w:tcW w:w="4360" w:type="dxa"/>
            <w:vAlign w:val="bottom"/>
            <w:shd w:val="clear" w:color="auto" w:fill="0336FF"/>
          </w:tcPr>
          <w:p>
            <w:pPr>
              <w:spacing w:after="0"/>
              <w:rPr>
                <w:sz w:val="14"/>
                <w:szCs w:val="14"/>
                <w:color w:val="auto"/>
              </w:rPr>
            </w:pPr>
          </w:p>
        </w:tc>
        <w:tc>
          <w:tcPr>
            <w:tcW w:w="140" w:type="dxa"/>
            <w:vAlign w:val="bottom"/>
            <w:shd w:val="clear" w:color="auto" w:fill="0336FF"/>
          </w:tcPr>
          <w:p>
            <w:pPr>
              <w:spacing w:after="0"/>
              <w:rPr>
                <w:sz w:val="14"/>
                <w:szCs w:val="14"/>
                <w:color w:val="auto"/>
              </w:rPr>
            </w:pPr>
          </w:p>
        </w:tc>
        <w:tc>
          <w:tcPr>
            <w:tcW w:w="14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Connection With a</w:t>
            </w:r>
          </w:p>
        </w:tc>
        <w:tc>
          <w:tcPr>
            <w:tcW w:w="440" w:type="dxa"/>
            <w:vAlign w:val="bottom"/>
            <w:shd w:val="clear" w:color="auto" w:fill="0336FF"/>
          </w:tcPr>
          <w:p>
            <w:pPr>
              <w:spacing w:after="0"/>
              <w:rPr>
                <w:sz w:val="14"/>
                <w:szCs w:val="14"/>
                <w:color w:val="auto"/>
              </w:rPr>
            </w:pPr>
          </w:p>
        </w:tc>
        <w:tc>
          <w:tcPr>
            <w:tcW w:w="2180" w:type="dxa"/>
            <w:vAlign w:val="bottom"/>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connection with a Change in</w:t>
            </w:r>
          </w:p>
        </w:tc>
      </w:tr>
      <w:tr>
        <w:trPr>
          <w:trHeight w:val="246"/>
        </w:trPr>
        <w:tc>
          <w:tcPr>
            <w:tcW w:w="2620" w:type="dxa"/>
            <w:vAlign w:val="bottom"/>
            <w:tcBorders>
              <w:bottom w:val="single" w:sz="8" w:color="0336FF"/>
            </w:tcBorders>
            <w:shd w:val="clear" w:color="auto" w:fill="0336FF"/>
          </w:tcPr>
          <w:p>
            <w:pPr>
              <w:ind w:left="100"/>
              <w:spacing w:after="0"/>
              <w:rPr>
                <w:sz w:val="20"/>
                <w:szCs w:val="20"/>
                <w:color w:val="auto"/>
              </w:rPr>
            </w:pPr>
            <w:r>
              <w:rPr>
                <w:rFonts w:ascii="Arial" w:cs="Arial" w:eastAsia="Arial" w:hAnsi="Arial"/>
                <w:sz w:val="14"/>
                <w:szCs w:val="14"/>
                <w:b w:val="1"/>
                <w:bCs w:val="1"/>
                <w:color w:val="FFFFFF"/>
              </w:rPr>
              <w:t>Name</w:t>
            </w:r>
          </w:p>
        </w:tc>
        <w:tc>
          <w:tcPr>
            <w:tcW w:w="4360" w:type="dxa"/>
            <w:vAlign w:val="bottom"/>
            <w:tcBorders>
              <w:bottom w:val="single" w:sz="8" w:color="0336FF"/>
            </w:tcBorders>
            <w:shd w:val="clear" w:color="auto" w:fill="0336FF"/>
          </w:tcPr>
          <w:p>
            <w:pPr>
              <w:ind w:left="20"/>
              <w:spacing w:after="0"/>
              <w:rPr>
                <w:sz w:val="20"/>
                <w:szCs w:val="20"/>
                <w:color w:val="auto"/>
              </w:rPr>
            </w:pPr>
            <w:r>
              <w:rPr>
                <w:rFonts w:ascii="Arial" w:cs="Arial" w:eastAsia="Arial" w:hAnsi="Arial"/>
                <w:sz w:val="14"/>
                <w:szCs w:val="14"/>
                <w:b w:val="1"/>
                <w:bCs w:val="1"/>
                <w:color w:val="FFFFFF"/>
              </w:rPr>
              <w:t>Type of Benefit</w:t>
            </w:r>
          </w:p>
        </w:tc>
        <w:tc>
          <w:tcPr>
            <w:tcW w:w="140" w:type="dxa"/>
            <w:vAlign w:val="bottom"/>
            <w:tcBorders>
              <w:bottom w:val="single" w:sz="8" w:color="0336FF"/>
            </w:tcBorders>
            <w:shd w:val="clear" w:color="auto" w:fill="0336FF"/>
          </w:tcPr>
          <w:p>
            <w:pPr>
              <w:spacing w:after="0"/>
              <w:rPr>
                <w:sz w:val="21"/>
                <w:szCs w:val="21"/>
                <w:color w:val="auto"/>
              </w:rPr>
            </w:pPr>
          </w:p>
        </w:tc>
        <w:tc>
          <w:tcPr>
            <w:tcW w:w="1440" w:type="dxa"/>
            <w:vAlign w:val="bottom"/>
            <w:tcBorders>
              <w:bottom w:val="single" w:sz="8" w:color="0336FF"/>
            </w:tcBorders>
            <w:shd w:val="clear" w:color="auto" w:fill="0336FF"/>
          </w:tcPr>
          <w:p>
            <w:pPr>
              <w:jc w:val="right"/>
              <w:spacing w:after="0"/>
              <w:rPr>
                <w:sz w:val="20"/>
                <w:szCs w:val="20"/>
                <w:color w:val="auto"/>
              </w:rPr>
            </w:pPr>
            <w:r>
              <w:rPr>
                <w:rFonts w:ascii="Arial" w:cs="Arial" w:eastAsia="Arial" w:hAnsi="Arial"/>
                <w:sz w:val="14"/>
                <w:szCs w:val="14"/>
                <w:b w:val="1"/>
                <w:bCs w:val="1"/>
                <w:color w:val="FFFFFF"/>
              </w:rPr>
              <w:t xml:space="preserve">Change in Control </w:t>
            </w:r>
            <w:r>
              <w:rPr>
                <w:rFonts w:ascii="Arial" w:cs="Arial" w:eastAsia="Arial" w:hAnsi="Arial"/>
                <w:sz w:val="18"/>
                <w:szCs w:val="18"/>
                <w:b w:val="1"/>
                <w:bCs w:val="1"/>
                <w:color w:val="FFFFFF"/>
                <w:vertAlign w:val="superscript"/>
              </w:rPr>
              <w:t>(1)</w:t>
            </w:r>
          </w:p>
        </w:tc>
        <w:tc>
          <w:tcPr>
            <w:tcW w:w="440" w:type="dxa"/>
            <w:vAlign w:val="bottom"/>
            <w:tcBorders>
              <w:bottom w:val="single" w:sz="8" w:color="0336FF"/>
            </w:tcBorders>
            <w:shd w:val="clear" w:color="auto" w:fill="0336FF"/>
          </w:tcPr>
          <w:p>
            <w:pPr>
              <w:spacing w:after="0"/>
              <w:rPr>
                <w:sz w:val="21"/>
                <w:szCs w:val="21"/>
                <w:color w:val="auto"/>
              </w:rPr>
            </w:pPr>
          </w:p>
        </w:tc>
        <w:tc>
          <w:tcPr>
            <w:tcW w:w="2180" w:type="dxa"/>
            <w:vAlign w:val="bottom"/>
            <w:tcBorders>
              <w:bottom w:val="single" w:sz="8" w:color="0336FF"/>
            </w:tcBorders>
            <w:shd w:val="clear" w:color="auto" w:fill="0336FF"/>
          </w:tcPr>
          <w:p>
            <w:pPr>
              <w:jc w:val="right"/>
              <w:ind w:right="48"/>
              <w:spacing w:after="0"/>
              <w:rPr>
                <w:sz w:val="20"/>
                <w:szCs w:val="20"/>
                <w:color w:val="auto"/>
              </w:rPr>
            </w:pPr>
            <w:r>
              <w:rPr>
                <w:rFonts w:ascii="Arial" w:cs="Arial" w:eastAsia="Arial" w:hAnsi="Arial"/>
                <w:sz w:val="14"/>
                <w:szCs w:val="14"/>
                <w:b w:val="1"/>
                <w:bCs w:val="1"/>
                <w:color w:val="FFFFFF"/>
              </w:rPr>
              <w:t>Control</w:t>
            </w:r>
          </w:p>
        </w:tc>
      </w:tr>
      <w:tr>
        <w:trPr>
          <w:trHeight w:val="214"/>
        </w:trPr>
        <w:tc>
          <w:tcPr>
            <w:tcW w:w="262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base salary</w:t>
            </w:r>
          </w:p>
        </w:tc>
        <w:tc>
          <w:tcPr>
            <w:tcW w:w="140" w:type="dxa"/>
            <w:vAlign w:val="bottom"/>
          </w:tcPr>
          <w:p>
            <w:pPr>
              <w:jc w:val="right"/>
              <w:spacing w:after="0"/>
              <w:rPr>
                <w:sz w:val="20"/>
                <w:szCs w:val="20"/>
                <w:color w:val="auto"/>
              </w:rPr>
            </w:pPr>
            <w:r>
              <w:rPr>
                <w:rFonts w:ascii="Arial" w:cs="Arial" w:eastAsia="Arial" w:hAnsi="Arial"/>
                <w:sz w:val="14"/>
                <w:szCs w:val="14"/>
                <w:color w:val="2D3243"/>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585,000</w:t>
            </w:r>
          </w:p>
        </w:tc>
        <w:tc>
          <w:tcPr>
            <w:tcW w:w="440" w:type="dxa"/>
            <w:vAlign w:val="bottom"/>
          </w:tcPr>
          <w:p>
            <w:pPr>
              <w:jc w:val="right"/>
              <w:spacing w:after="0"/>
              <w:rPr>
                <w:sz w:val="20"/>
                <w:szCs w:val="20"/>
                <w:color w:val="auto"/>
              </w:rPr>
            </w:pPr>
            <w:r>
              <w:rPr>
                <w:rFonts w:ascii="Arial" w:cs="Arial" w:eastAsia="Arial" w:hAnsi="Arial"/>
                <w:sz w:val="14"/>
                <w:szCs w:val="14"/>
                <w:color w:val="2D3243"/>
              </w:rPr>
              <w:t>$</w:t>
            </w: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877,500</w:t>
            </w:r>
          </w:p>
        </w:tc>
      </w:tr>
      <w:tr>
        <w:trPr>
          <w:trHeight w:val="264"/>
        </w:trPr>
        <w:tc>
          <w:tcPr>
            <w:tcW w:w="262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bonus</w:t>
            </w:r>
          </w:p>
        </w:tc>
        <w:tc>
          <w:tcPr>
            <w:tcW w:w="140" w:type="dxa"/>
            <w:vAlign w:val="bottom"/>
          </w:tcPr>
          <w:p>
            <w:pPr>
              <w:spacing w:after="0"/>
              <w:rPr>
                <w:sz w:val="22"/>
                <w:szCs w:val="22"/>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w:t>
            </w:r>
          </w:p>
        </w:tc>
        <w:tc>
          <w:tcPr>
            <w:tcW w:w="440" w:type="dxa"/>
            <w:vAlign w:val="bottom"/>
          </w:tcPr>
          <w:p>
            <w:pPr>
              <w:spacing w:after="0"/>
              <w:rPr>
                <w:sz w:val="22"/>
                <w:szCs w:val="22"/>
                <w:color w:val="auto"/>
              </w:rPr>
            </w:pP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877,500</w:t>
            </w:r>
          </w:p>
        </w:tc>
      </w:tr>
      <w:tr>
        <w:trPr>
          <w:trHeight w:val="324"/>
        </w:trPr>
        <w:tc>
          <w:tcPr>
            <w:tcW w:w="26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Value of accelerated vesting of equity awards</w:t>
            </w:r>
            <w:r>
              <w:rPr>
                <w:rFonts w:ascii="Arial" w:cs="Arial" w:eastAsia="Arial" w:hAnsi="Arial"/>
                <w:sz w:val="9"/>
                <w:szCs w:val="9"/>
                <w:color w:val="2D3243"/>
              </w:rPr>
              <w:t>(2)</w:t>
            </w:r>
          </w:p>
        </w:tc>
        <w:tc>
          <w:tcPr>
            <w:tcW w:w="140" w:type="dxa"/>
            <w:vAlign w:val="bottom"/>
          </w:tcPr>
          <w:p>
            <w:pPr>
              <w:spacing w:after="0"/>
              <w:rPr>
                <w:sz w:val="24"/>
                <w:szCs w:val="2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w:t>
            </w:r>
          </w:p>
        </w:tc>
        <w:tc>
          <w:tcPr>
            <w:tcW w:w="440" w:type="dxa"/>
            <w:vAlign w:val="bottom"/>
          </w:tcPr>
          <w:p>
            <w:pPr>
              <w:spacing w:after="0"/>
              <w:rPr>
                <w:sz w:val="24"/>
                <w:szCs w:val="24"/>
                <w:color w:val="auto"/>
              </w:rPr>
            </w:pP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29,495,530</w:t>
            </w:r>
          </w:p>
        </w:tc>
      </w:tr>
      <w:tr>
        <w:trPr>
          <w:trHeight w:val="324"/>
        </w:trPr>
        <w:tc>
          <w:tcPr>
            <w:tcW w:w="26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Company-paid health care premiums</w:t>
            </w:r>
          </w:p>
        </w:tc>
        <w:tc>
          <w:tcPr>
            <w:tcW w:w="140" w:type="dxa"/>
            <w:vAlign w:val="bottom"/>
          </w:tcPr>
          <w:p>
            <w:pPr>
              <w:spacing w:after="0"/>
              <w:rPr>
                <w:sz w:val="24"/>
                <w:szCs w:val="2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42,108</w:t>
            </w:r>
          </w:p>
        </w:tc>
        <w:tc>
          <w:tcPr>
            <w:tcW w:w="440" w:type="dxa"/>
            <w:vAlign w:val="bottom"/>
          </w:tcPr>
          <w:p>
            <w:pPr>
              <w:spacing w:after="0"/>
              <w:rPr>
                <w:sz w:val="24"/>
                <w:szCs w:val="24"/>
                <w:color w:val="auto"/>
              </w:rPr>
            </w:pP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63,162</w:t>
            </w:r>
          </w:p>
        </w:tc>
      </w:tr>
      <w:tr>
        <w:trPr>
          <w:trHeight w:val="330"/>
        </w:trPr>
        <w:tc>
          <w:tcPr>
            <w:tcW w:w="26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b w:val="1"/>
                <w:bCs w:val="1"/>
                <w:color w:val="2D3243"/>
              </w:rPr>
              <w:t>Total</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2D3243"/>
              </w:rPr>
              <w:t>$</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2D3243"/>
              </w:rPr>
              <w:t>627,108</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2D3243"/>
              </w:rPr>
              <w:t>$</w:t>
            </w:r>
          </w:p>
        </w:tc>
        <w:tc>
          <w:tcPr>
            <w:tcW w:w="2180" w:type="dxa"/>
            <w:vAlign w:val="bottom"/>
          </w:tcPr>
          <w:p>
            <w:pPr>
              <w:jc w:val="right"/>
              <w:ind w:right="88"/>
              <w:spacing w:after="0"/>
              <w:rPr>
                <w:sz w:val="20"/>
                <w:szCs w:val="20"/>
                <w:color w:val="auto"/>
              </w:rPr>
            </w:pPr>
            <w:r>
              <w:rPr>
                <w:rFonts w:ascii="Arial" w:cs="Arial" w:eastAsia="Arial" w:hAnsi="Arial"/>
                <w:sz w:val="14"/>
                <w:szCs w:val="14"/>
                <w:b w:val="1"/>
                <w:bCs w:val="1"/>
                <w:color w:val="2D3243"/>
              </w:rPr>
              <w:t>31,313,692</w:t>
            </w:r>
          </w:p>
        </w:tc>
      </w:tr>
      <w:tr>
        <w:trPr>
          <w:trHeight w:val="70"/>
        </w:trPr>
        <w:tc>
          <w:tcPr>
            <w:tcW w:w="2620" w:type="dxa"/>
            <w:vAlign w:val="bottom"/>
          </w:tcPr>
          <w:p>
            <w:pPr>
              <w:spacing w:after="0"/>
              <w:rPr>
                <w:sz w:val="6"/>
                <w:szCs w:val="6"/>
                <w:color w:val="auto"/>
              </w:rPr>
            </w:pPr>
          </w:p>
        </w:tc>
        <w:tc>
          <w:tcPr>
            <w:tcW w:w="4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180" w:type="dxa"/>
            <w:vAlign w:val="bottom"/>
          </w:tcPr>
          <w:p>
            <w:pPr>
              <w:spacing w:after="0"/>
              <w:rPr>
                <w:sz w:val="6"/>
                <w:szCs w:val="6"/>
                <w:color w:val="auto"/>
              </w:rPr>
            </w:pPr>
          </w:p>
        </w:tc>
      </w:tr>
      <w:tr>
        <w:trPr>
          <w:trHeight w:val="214"/>
        </w:trPr>
        <w:tc>
          <w:tcPr>
            <w:tcW w:w="26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Cash severance - base salary</w:t>
            </w:r>
          </w:p>
        </w:tc>
        <w:tc>
          <w:tcPr>
            <w:tcW w:w="1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144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322,500</w:t>
            </w:r>
          </w:p>
        </w:tc>
        <w:tc>
          <w:tcPr>
            <w:tcW w:w="4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218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537,500</w:t>
            </w:r>
          </w:p>
        </w:tc>
      </w:tr>
      <w:tr>
        <w:trPr>
          <w:trHeight w:val="264"/>
        </w:trPr>
        <w:tc>
          <w:tcPr>
            <w:tcW w:w="2620" w:type="dxa"/>
            <w:vAlign w:val="bottom"/>
            <w:shd w:val="clear" w:color="auto" w:fill="F0F1F2"/>
          </w:tcPr>
          <w:p>
            <w:pPr>
              <w:spacing w:after="0"/>
              <w:rPr>
                <w:sz w:val="22"/>
                <w:szCs w:val="22"/>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Cash severance - bonus</w:t>
            </w:r>
          </w:p>
        </w:tc>
        <w:tc>
          <w:tcPr>
            <w:tcW w:w="140" w:type="dxa"/>
            <w:vAlign w:val="bottom"/>
            <w:shd w:val="clear" w:color="auto" w:fill="F0F1F2"/>
          </w:tcPr>
          <w:p>
            <w:pPr>
              <w:spacing w:after="0"/>
              <w:rPr>
                <w:sz w:val="22"/>
                <w:szCs w:val="22"/>
                <w:color w:val="auto"/>
              </w:rPr>
            </w:pPr>
          </w:p>
        </w:tc>
        <w:tc>
          <w:tcPr>
            <w:tcW w:w="144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w:t>
            </w:r>
          </w:p>
        </w:tc>
        <w:tc>
          <w:tcPr>
            <w:tcW w:w="440" w:type="dxa"/>
            <w:vAlign w:val="bottom"/>
            <w:shd w:val="clear" w:color="auto" w:fill="F0F1F2"/>
          </w:tcPr>
          <w:p>
            <w:pPr>
              <w:spacing w:after="0"/>
              <w:rPr>
                <w:sz w:val="22"/>
                <w:szCs w:val="22"/>
                <w:color w:val="auto"/>
              </w:rPr>
            </w:pPr>
          </w:p>
        </w:tc>
        <w:tc>
          <w:tcPr>
            <w:tcW w:w="218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403,125</w:t>
            </w:r>
          </w:p>
        </w:tc>
      </w:tr>
      <w:tr>
        <w:trPr>
          <w:trHeight w:val="324"/>
        </w:trPr>
        <w:tc>
          <w:tcPr>
            <w:tcW w:w="2620" w:type="dxa"/>
            <w:vAlign w:val="bottom"/>
            <w:shd w:val="clear" w:color="auto" w:fill="F0F1F2"/>
          </w:tcPr>
          <w:p>
            <w:pPr>
              <w:spacing w:after="0"/>
              <w:rPr>
                <w:sz w:val="24"/>
                <w:szCs w:val="24"/>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Value of accelerated vesting of equity awards (2)</w:t>
            </w:r>
          </w:p>
        </w:tc>
        <w:tc>
          <w:tcPr>
            <w:tcW w:w="140" w:type="dxa"/>
            <w:vAlign w:val="bottom"/>
            <w:shd w:val="clear" w:color="auto" w:fill="F0F1F2"/>
          </w:tcPr>
          <w:p>
            <w:pPr>
              <w:spacing w:after="0"/>
              <w:rPr>
                <w:sz w:val="24"/>
                <w:szCs w:val="24"/>
                <w:color w:val="auto"/>
              </w:rPr>
            </w:pPr>
          </w:p>
        </w:tc>
        <w:tc>
          <w:tcPr>
            <w:tcW w:w="144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w:t>
            </w:r>
          </w:p>
        </w:tc>
        <w:tc>
          <w:tcPr>
            <w:tcW w:w="440" w:type="dxa"/>
            <w:vAlign w:val="bottom"/>
            <w:shd w:val="clear" w:color="auto" w:fill="F0F1F2"/>
          </w:tcPr>
          <w:p>
            <w:pPr>
              <w:spacing w:after="0"/>
              <w:rPr>
                <w:sz w:val="24"/>
                <w:szCs w:val="24"/>
                <w:color w:val="auto"/>
              </w:rPr>
            </w:pPr>
          </w:p>
        </w:tc>
        <w:tc>
          <w:tcPr>
            <w:tcW w:w="218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5,816,322</w:t>
            </w:r>
          </w:p>
        </w:tc>
      </w:tr>
      <w:tr>
        <w:trPr>
          <w:trHeight w:val="324"/>
        </w:trPr>
        <w:tc>
          <w:tcPr>
            <w:tcW w:w="2620" w:type="dxa"/>
            <w:vAlign w:val="bottom"/>
            <w:shd w:val="clear" w:color="auto" w:fill="F0F1F2"/>
          </w:tcPr>
          <w:p>
            <w:pPr>
              <w:spacing w:after="0"/>
              <w:rPr>
                <w:sz w:val="24"/>
                <w:szCs w:val="24"/>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Company-paid health care premiums</w:t>
            </w:r>
          </w:p>
        </w:tc>
        <w:tc>
          <w:tcPr>
            <w:tcW w:w="140" w:type="dxa"/>
            <w:vAlign w:val="bottom"/>
            <w:shd w:val="clear" w:color="auto" w:fill="F0F1F2"/>
          </w:tcPr>
          <w:p>
            <w:pPr>
              <w:spacing w:after="0"/>
              <w:rPr>
                <w:sz w:val="24"/>
                <w:szCs w:val="24"/>
                <w:color w:val="auto"/>
              </w:rPr>
            </w:pPr>
          </w:p>
        </w:tc>
        <w:tc>
          <w:tcPr>
            <w:tcW w:w="144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22,122</w:t>
            </w:r>
          </w:p>
        </w:tc>
        <w:tc>
          <w:tcPr>
            <w:tcW w:w="440" w:type="dxa"/>
            <w:vAlign w:val="bottom"/>
            <w:shd w:val="clear" w:color="auto" w:fill="F0F1F2"/>
          </w:tcPr>
          <w:p>
            <w:pPr>
              <w:spacing w:after="0"/>
              <w:rPr>
                <w:sz w:val="24"/>
                <w:szCs w:val="24"/>
                <w:color w:val="auto"/>
              </w:rPr>
            </w:pPr>
          </w:p>
        </w:tc>
        <w:tc>
          <w:tcPr>
            <w:tcW w:w="218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36,870</w:t>
            </w:r>
          </w:p>
        </w:tc>
      </w:tr>
      <w:tr>
        <w:trPr>
          <w:trHeight w:val="330"/>
        </w:trPr>
        <w:tc>
          <w:tcPr>
            <w:tcW w:w="2620" w:type="dxa"/>
            <w:vAlign w:val="bottom"/>
            <w:shd w:val="clear" w:color="auto" w:fill="F0F1F2"/>
          </w:tcPr>
          <w:p>
            <w:pPr>
              <w:spacing w:after="0"/>
              <w:rPr>
                <w:sz w:val="24"/>
                <w:szCs w:val="24"/>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b w:val="1"/>
                <w:bCs w:val="1"/>
                <w:color w:val="2D3243"/>
              </w:rPr>
              <w:t>Total</w:t>
            </w:r>
          </w:p>
        </w:tc>
        <w:tc>
          <w:tcPr>
            <w:tcW w:w="140" w:type="dxa"/>
            <w:vAlign w:val="bottom"/>
            <w:shd w:val="clear" w:color="auto" w:fill="F0F1F2"/>
          </w:tcPr>
          <w:p>
            <w:pPr>
              <w:jc w:val="right"/>
              <w:spacing w:after="0"/>
              <w:rPr>
                <w:sz w:val="20"/>
                <w:szCs w:val="20"/>
                <w:color w:val="auto"/>
              </w:rPr>
            </w:pPr>
            <w:r>
              <w:rPr>
                <w:rFonts w:ascii="Arial" w:cs="Arial" w:eastAsia="Arial" w:hAnsi="Arial"/>
                <w:sz w:val="14"/>
                <w:szCs w:val="14"/>
                <w:b w:val="1"/>
                <w:bCs w:val="1"/>
                <w:color w:val="2D3243"/>
              </w:rPr>
              <w:t>$</w:t>
            </w:r>
          </w:p>
        </w:tc>
        <w:tc>
          <w:tcPr>
            <w:tcW w:w="1440" w:type="dxa"/>
            <w:vAlign w:val="bottom"/>
            <w:shd w:val="clear" w:color="auto" w:fill="F0F1F2"/>
          </w:tcPr>
          <w:p>
            <w:pPr>
              <w:jc w:val="right"/>
              <w:ind w:right="8"/>
              <w:spacing w:after="0"/>
              <w:rPr>
                <w:sz w:val="20"/>
                <w:szCs w:val="20"/>
                <w:color w:val="auto"/>
              </w:rPr>
            </w:pPr>
            <w:r>
              <w:rPr>
                <w:rFonts w:ascii="Arial" w:cs="Arial" w:eastAsia="Arial" w:hAnsi="Arial"/>
                <w:sz w:val="14"/>
                <w:szCs w:val="14"/>
                <w:b w:val="1"/>
                <w:bCs w:val="1"/>
                <w:color w:val="2D3243"/>
              </w:rPr>
              <w:t>344,622</w:t>
            </w:r>
          </w:p>
        </w:tc>
        <w:tc>
          <w:tcPr>
            <w:tcW w:w="440" w:type="dxa"/>
            <w:vAlign w:val="bottom"/>
            <w:shd w:val="clear" w:color="auto" w:fill="F0F1F2"/>
          </w:tcPr>
          <w:p>
            <w:pPr>
              <w:jc w:val="right"/>
              <w:spacing w:after="0"/>
              <w:rPr>
                <w:sz w:val="20"/>
                <w:szCs w:val="20"/>
                <w:color w:val="auto"/>
              </w:rPr>
            </w:pPr>
            <w:r>
              <w:rPr>
                <w:rFonts w:ascii="Arial" w:cs="Arial" w:eastAsia="Arial" w:hAnsi="Arial"/>
                <w:sz w:val="14"/>
                <w:szCs w:val="14"/>
                <w:b w:val="1"/>
                <w:bCs w:val="1"/>
                <w:color w:val="2D3243"/>
              </w:rPr>
              <w:t>$</w:t>
            </w:r>
          </w:p>
        </w:tc>
        <w:tc>
          <w:tcPr>
            <w:tcW w:w="2180" w:type="dxa"/>
            <w:vAlign w:val="bottom"/>
            <w:shd w:val="clear" w:color="auto" w:fill="F0F1F2"/>
          </w:tcPr>
          <w:p>
            <w:pPr>
              <w:jc w:val="right"/>
              <w:ind w:right="88"/>
              <w:spacing w:after="0"/>
              <w:rPr>
                <w:sz w:val="20"/>
                <w:szCs w:val="20"/>
                <w:color w:val="auto"/>
              </w:rPr>
            </w:pPr>
            <w:r>
              <w:rPr>
                <w:rFonts w:ascii="Arial" w:cs="Arial" w:eastAsia="Arial" w:hAnsi="Arial"/>
                <w:sz w:val="14"/>
                <w:szCs w:val="14"/>
                <w:b w:val="1"/>
                <w:bCs w:val="1"/>
                <w:color w:val="2D3243"/>
              </w:rPr>
              <w:t>6,793,817</w:t>
            </w:r>
          </w:p>
        </w:tc>
      </w:tr>
      <w:tr>
        <w:trPr>
          <w:trHeight w:val="70"/>
        </w:trPr>
        <w:tc>
          <w:tcPr>
            <w:tcW w:w="2620" w:type="dxa"/>
            <w:vAlign w:val="bottom"/>
            <w:shd w:val="clear" w:color="auto" w:fill="F0F1F2"/>
          </w:tcPr>
          <w:p>
            <w:pPr>
              <w:spacing w:after="0"/>
              <w:rPr>
                <w:sz w:val="6"/>
                <w:szCs w:val="6"/>
                <w:color w:val="auto"/>
              </w:rPr>
            </w:pPr>
          </w:p>
        </w:tc>
        <w:tc>
          <w:tcPr>
            <w:tcW w:w="4360" w:type="dxa"/>
            <w:vAlign w:val="bottom"/>
            <w:shd w:val="clear" w:color="auto" w:fill="F0F1F2"/>
          </w:tcPr>
          <w:p>
            <w:pPr>
              <w:spacing w:after="0"/>
              <w:rPr>
                <w:sz w:val="6"/>
                <w:szCs w:val="6"/>
                <w:color w:val="auto"/>
              </w:rPr>
            </w:pPr>
          </w:p>
        </w:tc>
        <w:tc>
          <w:tcPr>
            <w:tcW w:w="140" w:type="dxa"/>
            <w:vAlign w:val="bottom"/>
            <w:shd w:val="clear" w:color="auto" w:fill="F0F1F2"/>
          </w:tcPr>
          <w:p>
            <w:pPr>
              <w:spacing w:after="0"/>
              <w:rPr>
                <w:sz w:val="6"/>
                <w:szCs w:val="6"/>
                <w:color w:val="auto"/>
              </w:rPr>
            </w:pPr>
          </w:p>
        </w:tc>
        <w:tc>
          <w:tcPr>
            <w:tcW w:w="1440" w:type="dxa"/>
            <w:vAlign w:val="bottom"/>
            <w:shd w:val="clear" w:color="auto" w:fill="F0F1F2"/>
          </w:tcPr>
          <w:p>
            <w:pPr>
              <w:spacing w:after="0"/>
              <w:rPr>
                <w:sz w:val="6"/>
                <w:szCs w:val="6"/>
                <w:color w:val="auto"/>
              </w:rPr>
            </w:pPr>
          </w:p>
        </w:tc>
        <w:tc>
          <w:tcPr>
            <w:tcW w:w="440" w:type="dxa"/>
            <w:vAlign w:val="bottom"/>
            <w:shd w:val="clear" w:color="auto" w:fill="F0F1F2"/>
          </w:tcPr>
          <w:p>
            <w:pPr>
              <w:spacing w:after="0"/>
              <w:rPr>
                <w:sz w:val="6"/>
                <w:szCs w:val="6"/>
                <w:color w:val="auto"/>
              </w:rPr>
            </w:pPr>
          </w:p>
        </w:tc>
        <w:tc>
          <w:tcPr>
            <w:tcW w:w="2180" w:type="dxa"/>
            <w:vAlign w:val="bottom"/>
            <w:shd w:val="clear" w:color="auto" w:fill="F0F1F2"/>
          </w:tcPr>
          <w:p>
            <w:pPr>
              <w:spacing w:after="0"/>
              <w:rPr>
                <w:sz w:val="6"/>
                <w:szCs w:val="6"/>
                <w:color w:val="auto"/>
              </w:rPr>
            </w:pPr>
          </w:p>
        </w:tc>
      </w:tr>
      <w:tr>
        <w:trPr>
          <w:trHeight w:val="214"/>
        </w:trPr>
        <w:tc>
          <w:tcPr>
            <w:tcW w:w="2620" w:type="dxa"/>
            <w:vAlign w:val="bottom"/>
          </w:tcPr>
          <w:p>
            <w:pPr>
              <w:ind w:left="100"/>
              <w:spacing w:after="0"/>
              <w:rPr>
                <w:sz w:val="20"/>
                <w:szCs w:val="20"/>
                <w:color w:val="auto"/>
              </w:rPr>
            </w:pPr>
            <w:r>
              <w:rPr>
                <w:rFonts w:ascii="Arial" w:cs="Arial" w:eastAsia="Arial" w:hAnsi="Arial"/>
                <w:sz w:val="14"/>
                <w:szCs w:val="14"/>
                <w:b w:val="1"/>
                <w:bCs w:val="1"/>
                <w:color w:val="2D3243"/>
              </w:rPr>
              <w:t>Daniel Burkland</w:t>
            </w: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base salary</w:t>
            </w:r>
          </w:p>
        </w:tc>
        <w:tc>
          <w:tcPr>
            <w:tcW w:w="140" w:type="dxa"/>
            <w:vAlign w:val="bottom"/>
          </w:tcPr>
          <w:p>
            <w:pPr>
              <w:jc w:val="right"/>
              <w:spacing w:after="0"/>
              <w:rPr>
                <w:sz w:val="20"/>
                <w:szCs w:val="20"/>
                <w:color w:val="auto"/>
              </w:rPr>
            </w:pPr>
            <w:r>
              <w:rPr>
                <w:rFonts w:ascii="Arial" w:cs="Arial" w:eastAsia="Arial" w:hAnsi="Arial"/>
                <w:sz w:val="14"/>
                <w:szCs w:val="14"/>
                <w:color w:val="2D3243"/>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212,500</w:t>
            </w:r>
          </w:p>
        </w:tc>
        <w:tc>
          <w:tcPr>
            <w:tcW w:w="440" w:type="dxa"/>
            <w:vAlign w:val="bottom"/>
          </w:tcPr>
          <w:p>
            <w:pPr>
              <w:jc w:val="right"/>
              <w:spacing w:after="0"/>
              <w:rPr>
                <w:sz w:val="20"/>
                <w:szCs w:val="20"/>
                <w:color w:val="auto"/>
              </w:rPr>
            </w:pPr>
            <w:r>
              <w:rPr>
                <w:rFonts w:ascii="Arial" w:cs="Arial" w:eastAsia="Arial" w:hAnsi="Arial"/>
                <w:sz w:val="14"/>
                <w:szCs w:val="14"/>
                <w:color w:val="2D3243"/>
              </w:rPr>
              <w:t>$</w:t>
            </w: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425,000</w:t>
            </w:r>
          </w:p>
        </w:tc>
      </w:tr>
      <w:tr>
        <w:trPr>
          <w:trHeight w:val="264"/>
        </w:trPr>
        <w:tc>
          <w:tcPr>
            <w:tcW w:w="262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bonus</w:t>
            </w:r>
          </w:p>
        </w:tc>
        <w:tc>
          <w:tcPr>
            <w:tcW w:w="140" w:type="dxa"/>
            <w:vAlign w:val="bottom"/>
          </w:tcPr>
          <w:p>
            <w:pPr>
              <w:spacing w:after="0"/>
              <w:rPr>
                <w:sz w:val="22"/>
                <w:szCs w:val="22"/>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w:t>
            </w:r>
          </w:p>
        </w:tc>
        <w:tc>
          <w:tcPr>
            <w:tcW w:w="440" w:type="dxa"/>
            <w:vAlign w:val="bottom"/>
          </w:tcPr>
          <w:p>
            <w:pPr>
              <w:spacing w:after="0"/>
              <w:rPr>
                <w:sz w:val="22"/>
                <w:szCs w:val="22"/>
                <w:color w:val="auto"/>
              </w:rPr>
            </w:pP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425,000</w:t>
            </w:r>
          </w:p>
        </w:tc>
      </w:tr>
      <w:tr>
        <w:trPr>
          <w:trHeight w:val="324"/>
        </w:trPr>
        <w:tc>
          <w:tcPr>
            <w:tcW w:w="26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Value of accelerated vesting of equity awards (2)</w:t>
            </w:r>
          </w:p>
        </w:tc>
        <w:tc>
          <w:tcPr>
            <w:tcW w:w="140" w:type="dxa"/>
            <w:vAlign w:val="bottom"/>
          </w:tcPr>
          <w:p>
            <w:pPr>
              <w:spacing w:after="0"/>
              <w:rPr>
                <w:sz w:val="24"/>
                <w:szCs w:val="2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w:t>
            </w:r>
          </w:p>
        </w:tc>
        <w:tc>
          <w:tcPr>
            <w:tcW w:w="440" w:type="dxa"/>
            <w:vAlign w:val="bottom"/>
          </w:tcPr>
          <w:p>
            <w:pPr>
              <w:spacing w:after="0"/>
              <w:rPr>
                <w:sz w:val="24"/>
                <w:szCs w:val="24"/>
                <w:color w:val="auto"/>
              </w:rPr>
            </w:pP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7,831,809</w:t>
            </w:r>
          </w:p>
        </w:tc>
      </w:tr>
      <w:tr>
        <w:trPr>
          <w:trHeight w:val="324"/>
        </w:trPr>
        <w:tc>
          <w:tcPr>
            <w:tcW w:w="26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Company-paid health care premiums</w:t>
            </w:r>
          </w:p>
        </w:tc>
        <w:tc>
          <w:tcPr>
            <w:tcW w:w="140" w:type="dxa"/>
            <w:vAlign w:val="bottom"/>
          </w:tcPr>
          <w:p>
            <w:pPr>
              <w:spacing w:after="0"/>
              <w:rPr>
                <w:sz w:val="24"/>
                <w:szCs w:val="2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21,054</w:t>
            </w:r>
          </w:p>
        </w:tc>
        <w:tc>
          <w:tcPr>
            <w:tcW w:w="440" w:type="dxa"/>
            <w:vAlign w:val="bottom"/>
          </w:tcPr>
          <w:p>
            <w:pPr>
              <w:spacing w:after="0"/>
              <w:rPr>
                <w:sz w:val="24"/>
                <w:szCs w:val="24"/>
                <w:color w:val="auto"/>
              </w:rPr>
            </w:pP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42,108</w:t>
            </w:r>
          </w:p>
        </w:tc>
      </w:tr>
      <w:tr>
        <w:trPr>
          <w:trHeight w:val="330"/>
        </w:trPr>
        <w:tc>
          <w:tcPr>
            <w:tcW w:w="26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b w:val="1"/>
                <w:bCs w:val="1"/>
                <w:color w:val="2D3243"/>
              </w:rPr>
              <w:t>Total</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2D3243"/>
              </w:rPr>
              <w:t>$</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2D3243"/>
              </w:rPr>
              <w:t>233,554</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2D3243"/>
              </w:rPr>
              <w:t>$</w:t>
            </w:r>
          </w:p>
        </w:tc>
        <w:tc>
          <w:tcPr>
            <w:tcW w:w="2180" w:type="dxa"/>
            <w:vAlign w:val="bottom"/>
          </w:tcPr>
          <w:p>
            <w:pPr>
              <w:jc w:val="right"/>
              <w:ind w:right="88"/>
              <w:spacing w:after="0"/>
              <w:rPr>
                <w:sz w:val="20"/>
                <w:szCs w:val="20"/>
                <w:color w:val="auto"/>
              </w:rPr>
            </w:pPr>
            <w:r>
              <w:rPr>
                <w:rFonts w:ascii="Arial" w:cs="Arial" w:eastAsia="Arial" w:hAnsi="Arial"/>
                <w:sz w:val="14"/>
                <w:szCs w:val="14"/>
                <w:b w:val="1"/>
                <w:bCs w:val="1"/>
                <w:color w:val="2D3243"/>
              </w:rPr>
              <w:t>8,723,917</w:t>
            </w:r>
          </w:p>
        </w:tc>
      </w:tr>
      <w:tr>
        <w:trPr>
          <w:trHeight w:val="70"/>
        </w:trPr>
        <w:tc>
          <w:tcPr>
            <w:tcW w:w="2620" w:type="dxa"/>
            <w:vAlign w:val="bottom"/>
          </w:tcPr>
          <w:p>
            <w:pPr>
              <w:spacing w:after="0"/>
              <w:rPr>
                <w:sz w:val="6"/>
                <w:szCs w:val="6"/>
                <w:color w:val="auto"/>
              </w:rPr>
            </w:pPr>
          </w:p>
        </w:tc>
        <w:tc>
          <w:tcPr>
            <w:tcW w:w="4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180" w:type="dxa"/>
            <w:vAlign w:val="bottom"/>
          </w:tcPr>
          <w:p>
            <w:pPr>
              <w:spacing w:after="0"/>
              <w:rPr>
                <w:sz w:val="6"/>
                <w:szCs w:val="6"/>
                <w:color w:val="auto"/>
              </w:rPr>
            </w:pPr>
          </w:p>
        </w:tc>
      </w:tr>
      <w:tr>
        <w:trPr>
          <w:trHeight w:val="214"/>
        </w:trPr>
        <w:tc>
          <w:tcPr>
            <w:tcW w:w="26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Cash severance - base salary</w:t>
            </w:r>
          </w:p>
        </w:tc>
        <w:tc>
          <w:tcPr>
            <w:tcW w:w="1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144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223,000</w:t>
            </w:r>
          </w:p>
        </w:tc>
        <w:tc>
          <w:tcPr>
            <w:tcW w:w="4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218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446,000</w:t>
            </w:r>
          </w:p>
        </w:tc>
      </w:tr>
      <w:tr>
        <w:trPr>
          <w:trHeight w:val="264"/>
        </w:trPr>
        <w:tc>
          <w:tcPr>
            <w:tcW w:w="2620" w:type="dxa"/>
            <w:vAlign w:val="bottom"/>
            <w:shd w:val="clear" w:color="auto" w:fill="F0F1F2"/>
          </w:tcPr>
          <w:p>
            <w:pPr>
              <w:spacing w:after="0"/>
              <w:rPr>
                <w:sz w:val="22"/>
                <w:szCs w:val="22"/>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Cash severance - bonus</w:t>
            </w:r>
          </w:p>
        </w:tc>
        <w:tc>
          <w:tcPr>
            <w:tcW w:w="140" w:type="dxa"/>
            <w:vAlign w:val="bottom"/>
            <w:shd w:val="clear" w:color="auto" w:fill="F0F1F2"/>
          </w:tcPr>
          <w:p>
            <w:pPr>
              <w:spacing w:after="0"/>
              <w:rPr>
                <w:sz w:val="22"/>
                <w:szCs w:val="22"/>
                <w:color w:val="auto"/>
              </w:rPr>
            </w:pPr>
          </w:p>
        </w:tc>
        <w:tc>
          <w:tcPr>
            <w:tcW w:w="144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w:t>
            </w:r>
          </w:p>
        </w:tc>
        <w:tc>
          <w:tcPr>
            <w:tcW w:w="440" w:type="dxa"/>
            <w:vAlign w:val="bottom"/>
            <w:shd w:val="clear" w:color="auto" w:fill="F0F1F2"/>
          </w:tcPr>
          <w:p>
            <w:pPr>
              <w:spacing w:after="0"/>
              <w:rPr>
                <w:sz w:val="22"/>
                <w:szCs w:val="22"/>
                <w:color w:val="auto"/>
              </w:rPr>
            </w:pPr>
          </w:p>
        </w:tc>
        <w:tc>
          <w:tcPr>
            <w:tcW w:w="218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334,500</w:t>
            </w:r>
          </w:p>
        </w:tc>
      </w:tr>
      <w:tr>
        <w:trPr>
          <w:trHeight w:val="324"/>
        </w:trPr>
        <w:tc>
          <w:tcPr>
            <w:tcW w:w="2620" w:type="dxa"/>
            <w:vAlign w:val="bottom"/>
            <w:shd w:val="clear" w:color="auto" w:fill="F0F1F2"/>
          </w:tcPr>
          <w:p>
            <w:pPr>
              <w:spacing w:after="0"/>
              <w:rPr>
                <w:sz w:val="24"/>
                <w:szCs w:val="24"/>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Value of accelerated vesting of equity awards (2)</w:t>
            </w:r>
          </w:p>
        </w:tc>
        <w:tc>
          <w:tcPr>
            <w:tcW w:w="140" w:type="dxa"/>
            <w:vAlign w:val="bottom"/>
            <w:shd w:val="clear" w:color="auto" w:fill="F0F1F2"/>
          </w:tcPr>
          <w:p>
            <w:pPr>
              <w:spacing w:after="0"/>
              <w:rPr>
                <w:sz w:val="24"/>
                <w:szCs w:val="24"/>
                <w:color w:val="auto"/>
              </w:rPr>
            </w:pPr>
          </w:p>
        </w:tc>
        <w:tc>
          <w:tcPr>
            <w:tcW w:w="144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w:t>
            </w:r>
          </w:p>
        </w:tc>
        <w:tc>
          <w:tcPr>
            <w:tcW w:w="440" w:type="dxa"/>
            <w:vAlign w:val="bottom"/>
            <w:shd w:val="clear" w:color="auto" w:fill="F0F1F2"/>
          </w:tcPr>
          <w:p>
            <w:pPr>
              <w:spacing w:after="0"/>
              <w:rPr>
                <w:sz w:val="24"/>
                <w:szCs w:val="24"/>
                <w:color w:val="auto"/>
              </w:rPr>
            </w:pPr>
          </w:p>
        </w:tc>
        <w:tc>
          <w:tcPr>
            <w:tcW w:w="218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7,918,969</w:t>
            </w:r>
          </w:p>
        </w:tc>
      </w:tr>
      <w:tr>
        <w:trPr>
          <w:trHeight w:val="324"/>
        </w:trPr>
        <w:tc>
          <w:tcPr>
            <w:tcW w:w="2620" w:type="dxa"/>
            <w:vAlign w:val="bottom"/>
            <w:shd w:val="clear" w:color="auto" w:fill="F0F1F2"/>
          </w:tcPr>
          <w:p>
            <w:pPr>
              <w:spacing w:after="0"/>
              <w:rPr>
                <w:sz w:val="24"/>
                <w:szCs w:val="24"/>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Company-paid health care premiums</w:t>
            </w:r>
          </w:p>
        </w:tc>
        <w:tc>
          <w:tcPr>
            <w:tcW w:w="140" w:type="dxa"/>
            <w:vAlign w:val="bottom"/>
            <w:shd w:val="clear" w:color="auto" w:fill="F0F1F2"/>
          </w:tcPr>
          <w:p>
            <w:pPr>
              <w:spacing w:after="0"/>
              <w:rPr>
                <w:sz w:val="24"/>
                <w:szCs w:val="24"/>
                <w:color w:val="auto"/>
              </w:rPr>
            </w:pPr>
          </w:p>
        </w:tc>
        <w:tc>
          <w:tcPr>
            <w:tcW w:w="144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21,054</w:t>
            </w:r>
          </w:p>
        </w:tc>
        <w:tc>
          <w:tcPr>
            <w:tcW w:w="440" w:type="dxa"/>
            <w:vAlign w:val="bottom"/>
            <w:shd w:val="clear" w:color="auto" w:fill="F0F1F2"/>
          </w:tcPr>
          <w:p>
            <w:pPr>
              <w:spacing w:after="0"/>
              <w:rPr>
                <w:sz w:val="24"/>
                <w:szCs w:val="24"/>
                <w:color w:val="auto"/>
              </w:rPr>
            </w:pPr>
          </w:p>
        </w:tc>
        <w:tc>
          <w:tcPr>
            <w:tcW w:w="218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42,108</w:t>
            </w:r>
          </w:p>
        </w:tc>
      </w:tr>
      <w:tr>
        <w:trPr>
          <w:trHeight w:val="330"/>
        </w:trPr>
        <w:tc>
          <w:tcPr>
            <w:tcW w:w="2620" w:type="dxa"/>
            <w:vAlign w:val="bottom"/>
            <w:shd w:val="clear" w:color="auto" w:fill="F0F1F2"/>
          </w:tcPr>
          <w:p>
            <w:pPr>
              <w:spacing w:after="0"/>
              <w:rPr>
                <w:sz w:val="24"/>
                <w:szCs w:val="24"/>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b w:val="1"/>
                <w:bCs w:val="1"/>
                <w:color w:val="2D3243"/>
              </w:rPr>
              <w:t>Total</w:t>
            </w:r>
          </w:p>
        </w:tc>
        <w:tc>
          <w:tcPr>
            <w:tcW w:w="1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144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244,054</w:t>
            </w:r>
          </w:p>
        </w:tc>
        <w:tc>
          <w:tcPr>
            <w:tcW w:w="4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218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8,741,577</w:t>
            </w:r>
          </w:p>
        </w:tc>
      </w:tr>
      <w:tr>
        <w:trPr>
          <w:trHeight w:val="70"/>
        </w:trPr>
        <w:tc>
          <w:tcPr>
            <w:tcW w:w="2620" w:type="dxa"/>
            <w:vAlign w:val="bottom"/>
            <w:shd w:val="clear" w:color="auto" w:fill="F0F1F2"/>
          </w:tcPr>
          <w:p>
            <w:pPr>
              <w:spacing w:after="0"/>
              <w:rPr>
                <w:sz w:val="6"/>
                <w:szCs w:val="6"/>
                <w:color w:val="auto"/>
              </w:rPr>
            </w:pPr>
          </w:p>
        </w:tc>
        <w:tc>
          <w:tcPr>
            <w:tcW w:w="4360" w:type="dxa"/>
            <w:vAlign w:val="bottom"/>
            <w:shd w:val="clear" w:color="auto" w:fill="F0F1F2"/>
          </w:tcPr>
          <w:p>
            <w:pPr>
              <w:spacing w:after="0"/>
              <w:rPr>
                <w:sz w:val="6"/>
                <w:szCs w:val="6"/>
                <w:color w:val="auto"/>
              </w:rPr>
            </w:pPr>
          </w:p>
        </w:tc>
        <w:tc>
          <w:tcPr>
            <w:tcW w:w="140" w:type="dxa"/>
            <w:vAlign w:val="bottom"/>
            <w:shd w:val="clear" w:color="auto" w:fill="F0F1F2"/>
          </w:tcPr>
          <w:p>
            <w:pPr>
              <w:spacing w:after="0"/>
              <w:rPr>
                <w:sz w:val="6"/>
                <w:szCs w:val="6"/>
                <w:color w:val="auto"/>
              </w:rPr>
            </w:pPr>
          </w:p>
        </w:tc>
        <w:tc>
          <w:tcPr>
            <w:tcW w:w="1440" w:type="dxa"/>
            <w:vAlign w:val="bottom"/>
            <w:shd w:val="clear" w:color="auto" w:fill="F0F1F2"/>
          </w:tcPr>
          <w:p>
            <w:pPr>
              <w:spacing w:after="0"/>
              <w:rPr>
                <w:sz w:val="6"/>
                <w:szCs w:val="6"/>
                <w:color w:val="auto"/>
              </w:rPr>
            </w:pPr>
          </w:p>
        </w:tc>
        <w:tc>
          <w:tcPr>
            <w:tcW w:w="440" w:type="dxa"/>
            <w:vAlign w:val="bottom"/>
            <w:shd w:val="clear" w:color="auto" w:fill="F0F1F2"/>
          </w:tcPr>
          <w:p>
            <w:pPr>
              <w:spacing w:after="0"/>
              <w:rPr>
                <w:sz w:val="6"/>
                <w:szCs w:val="6"/>
                <w:color w:val="auto"/>
              </w:rPr>
            </w:pPr>
          </w:p>
        </w:tc>
        <w:tc>
          <w:tcPr>
            <w:tcW w:w="2180" w:type="dxa"/>
            <w:vAlign w:val="bottom"/>
            <w:shd w:val="clear" w:color="auto" w:fill="F0F1F2"/>
          </w:tcPr>
          <w:p>
            <w:pPr>
              <w:spacing w:after="0"/>
              <w:rPr>
                <w:sz w:val="6"/>
                <w:szCs w:val="6"/>
                <w:color w:val="auto"/>
              </w:rPr>
            </w:pPr>
          </w:p>
        </w:tc>
      </w:tr>
      <w:tr>
        <w:trPr>
          <w:trHeight w:val="214"/>
        </w:trPr>
        <w:tc>
          <w:tcPr>
            <w:tcW w:w="2620" w:type="dxa"/>
            <w:vAlign w:val="bottom"/>
          </w:tcPr>
          <w:p>
            <w:pPr>
              <w:ind w:left="100"/>
              <w:spacing w:after="0"/>
              <w:rPr>
                <w:sz w:val="20"/>
                <w:szCs w:val="20"/>
                <w:color w:val="auto"/>
              </w:rPr>
            </w:pPr>
            <w:r>
              <w:rPr>
                <w:rFonts w:ascii="Arial" w:cs="Arial" w:eastAsia="Arial" w:hAnsi="Arial"/>
                <w:sz w:val="14"/>
                <w:szCs w:val="14"/>
                <w:b w:val="1"/>
                <w:bCs w:val="1"/>
                <w:color w:val="2D3243"/>
              </w:rPr>
              <w:t>Panos Kozanian</w:t>
            </w: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base salary</w:t>
            </w:r>
          </w:p>
        </w:tc>
        <w:tc>
          <w:tcPr>
            <w:tcW w:w="140" w:type="dxa"/>
            <w:vAlign w:val="bottom"/>
          </w:tcPr>
          <w:p>
            <w:pPr>
              <w:jc w:val="right"/>
              <w:spacing w:after="0"/>
              <w:rPr>
                <w:sz w:val="20"/>
                <w:szCs w:val="20"/>
                <w:color w:val="auto"/>
              </w:rPr>
            </w:pPr>
            <w:r>
              <w:rPr>
                <w:rFonts w:ascii="Arial" w:cs="Arial" w:eastAsia="Arial" w:hAnsi="Arial"/>
                <w:sz w:val="14"/>
                <w:szCs w:val="14"/>
                <w:color w:val="2D3243"/>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225,000</w:t>
            </w:r>
          </w:p>
        </w:tc>
        <w:tc>
          <w:tcPr>
            <w:tcW w:w="440" w:type="dxa"/>
            <w:vAlign w:val="bottom"/>
          </w:tcPr>
          <w:p>
            <w:pPr>
              <w:jc w:val="right"/>
              <w:spacing w:after="0"/>
              <w:rPr>
                <w:sz w:val="20"/>
                <w:szCs w:val="20"/>
                <w:color w:val="auto"/>
              </w:rPr>
            </w:pPr>
            <w:r>
              <w:rPr>
                <w:rFonts w:ascii="Arial" w:cs="Arial" w:eastAsia="Arial" w:hAnsi="Arial"/>
                <w:sz w:val="14"/>
                <w:szCs w:val="14"/>
                <w:color w:val="2D3243"/>
              </w:rPr>
              <w:t>$</w:t>
            </w: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450,000</w:t>
            </w:r>
          </w:p>
        </w:tc>
      </w:tr>
      <w:tr>
        <w:trPr>
          <w:trHeight w:val="264"/>
        </w:trPr>
        <w:tc>
          <w:tcPr>
            <w:tcW w:w="262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bonus</w:t>
            </w:r>
          </w:p>
        </w:tc>
        <w:tc>
          <w:tcPr>
            <w:tcW w:w="140" w:type="dxa"/>
            <w:vAlign w:val="bottom"/>
          </w:tcPr>
          <w:p>
            <w:pPr>
              <w:spacing w:after="0"/>
              <w:rPr>
                <w:sz w:val="22"/>
                <w:szCs w:val="22"/>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w:t>
            </w:r>
          </w:p>
        </w:tc>
        <w:tc>
          <w:tcPr>
            <w:tcW w:w="440" w:type="dxa"/>
            <w:vAlign w:val="bottom"/>
          </w:tcPr>
          <w:p>
            <w:pPr>
              <w:spacing w:after="0"/>
              <w:rPr>
                <w:sz w:val="22"/>
                <w:szCs w:val="22"/>
                <w:color w:val="auto"/>
              </w:rPr>
            </w:pP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292,500</w:t>
            </w:r>
          </w:p>
        </w:tc>
      </w:tr>
      <w:tr>
        <w:trPr>
          <w:trHeight w:val="324"/>
        </w:trPr>
        <w:tc>
          <w:tcPr>
            <w:tcW w:w="26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Value of accelerated vesting of equity awards (2)</w:t>
            </w:r>
          </w:p>
        </w:tc>
        <w:tc>
          <w:tcPr>
            <w:tcW w:w="140" w:type="dxa"/>
            <w:vAlign w:val="bottom"/>
          </w:tcPr>
          <w:p>
            <w:pPr>
              <w:spacing w:after="0"/>
              <w:rPr>
                <w:sz w:val="24"/>
                <w:szCs w:val="2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w:t>
            </w:r>
          </w:p>
        </w:tc>
        <w:tc>
          <w:tcPr>
            <w:tcW w:w="440" w:type="dxa"/>
            <w:vAlign w:val="bottom"/>
          </w:tcPr>
          <w:p>
            <w:pPr>
              <w:spacing w:after="0"/>
              <w:rPr>
                <w:sz w:val="24"/>
                <w:szCs w:val="24"/>
                <w:color w:val="auto"/>
              </w:rPr>
            </w:pP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6,348,474</w:t>
            </w:r>
          </w:p>
        </w:tc>
      </w:tr>
      <w:tr>
        <w:trPr>
          <w:trHeight w:val="324"/>
        </w:trPr>
        <w:tc>
          <w:tcPr>
            <w:tcW w:w="26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Company-paid health care premiums</w:t>
            </w:r>
          </w:p>
        </w:tc>
        <w:tc>
          <w:tcPr>
            <w:tcW w:w="140" w:type="dxa"/>
            <w:vAlign w:val="bottom"/>
          </w:tcPr>
          <w:p>
            <w:pPr>
              <w:spacing w:after="0"/>
              <w:rPr>
                <w:sz w:val="24"/>
                <w:szCs w:val="2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2D3243"/>
              </w:rPr>
              <w:t>13,356</w:t>
            </w:r>
          </w:p>
        </w:tc>
        <w:tc>
          <w:tcPr>
            <w:tcW w:w="440" w:type="dxa"/>
            <w:vAlign w:val="bottom"/>
          </w:tcPr>
          <w:p>
            <w:pPr>
              <w:spacing w:after="0"/>
              <w:rPr>
                <w:sz w:val="24"/>
                <w:szCs w:val="24"/>
                <w:color w:val="auto"/>
              </w:rPr>
            </w:pP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26,712</w:t>
            </w:r>
          </w:p>
        </w:tc>
      </w:tr>
      <w:tr>
        <w:trPr>
          <w:trHeight w:val="330"/>
        </w:trPr>
        <w:tc>
          <w:tcPr>
            <w:tcW w:w="26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b w:val="1"/>
                <w:bCs w:val="1"/>
                <w:color w:val="2D3243"/>
              </w:rPr>
              <w:t>Total</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2D3243"/>
              </w:rPr>
              <w:t>$</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2D3243"/>
              </w:rPr>
              <w:t>238,356</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2D3243"/>
              </w:rPr>
              <w:t>$</w:t>
            </w:r>
          </w:p>
        </w:tc>
        <w:tc>
          <w:tcPr>
            <w:tcW w:w="2180" w:type="dxa"/>
            <w:vAlign w:val="bottom"/>
          </w:tcPr>
          <w:p>
            <w:pPr>
              <w:jc w:val="right"/>
              <w:ind w:right="88"/>
              <w:spacing w:after="0"/>
              <w:rPr>
                <w:sz w:val="20"/>
                <w:szCs w:val="20"/>
                <w:color w:val="auto"/>
              </w:rPr>
            </w:pPr>
            <w:r>
              <w:rPr>
                <w:rFonts w:ascii="Arial" w:cs="Arial" w:eastAsia="Arial" w:hAnsi="Arial"/>
                <w:sz w:val="14"/>
                <w:szCs w:val="14"/>
                <w:b w:val="1"/>
                <w:bCs w:val="1"/>
                <w:color w:val="2D3243"/>
              </w:rPr>
              <w:t>7,117,686</w:t>
            </w:r>
          </w:p>
        </w:tc>
      </w:tr>
      <w:tr>
        <w:trPr>
          <w:trHeight w:val="70"/>
        </w:trPr>
        <w:tc>
          <w:tcPr>
            <w:tcW w:w="2620" w:type="dxa"/>
            <w:vAlign w:val="bottom"/>
            <w:tcBorders>
              <w:bottom w:val="single" w:sz="8" w:color="0336FF"/>
            </w:tcBorders>
          </w:tcPr>
          <w:p>
            <w:pPr>
              <w:spacing w:after="0"/>
              <w:rPr>
                <w:sz w:val="6"/>
                <w:szCs w:val="6"/>
                <w:color w:val="auto"/>
              </w:rPr>
            </w:pPr>
          </w:p>
        </w:tc>
        <w:tc>
          <w:tcPr>
            <w:tcW w:w="4360" w:type="dxa"/>
            <w:vAlign w:val="bottom"/>
            <w:tcBorders>
              <w:bottom w:val="single" w:sz="8" w:color="0336FF"/>
            </w:tcBorders>
          </w:tcPr>
          <w:p>
            <w:pPr>
              <w:spacing w:after="0"/>
              <w:rPr>
                <w:sz w:val="6"/>
                <w:szCs w:val="6"/>
                <w:color w:val="auto"/>
              </w:rPr>
            </w:pPr>
          </w:p>
        </w:tc>
        <w:tc>
          <w:tcPr>
            <w:tcW w:w="140" w:type="dxa"/>
            <w:vAlign w:val="bottom"/>
            <w:tcBorders>
              <w:bottom w:val="single" w:sz="8" w:color="0336FF"/>
            </w:tcBorders>
          </w:tcPr>
          <w:p>
            <w:pPr>
              <w:spacing w:after="0"/>
              <w:rPr>
                <w:sz w:val="6"/>
                <w:szCs w:val="6"/>
                <w:color w:val="auto"/>
              </w:rPr>
            </w:pPr>
          </w:p>
        </w:tc>
        <w:tc>
          <w:tcPr>
            <w:tcW w:w="1440" w:type="dxa"/>
            <w:vAlign w:val="bottom"/>
            <w:tcBorders>
              <w:bottom w:val="single" w:sz="8" w:color="0336FF"/>
            </w:tcBorders>
          </w:tcPr>
          <w:p>
            <w:pPr>
              <w:spacing w:after="0"/>
              <w:rPr>
                <w:sz w:val="6"/>
                <w:szCs w:val="6"/>
                <w:color w:val="auto"/>
              </w:rPr>
            </w:pPr>
          </w:p>
        </w:tc>
        <w:tc>
          <w:tcPr>
            <w:tcW w:w="440" w:type="dxa"/>
            <w:vAlign w:val="bottom"/>
            <w:tcBorders>
              <w:bottom w:val="single" w:sz="8" w:color="0336FF"/>
            </w:tcBorders>
          </w:tcPr>
          <w:p>
            <w:pPr>
              <w:spacing w:after="0"/>
              <w:rPr>
                <w:sz w:val="6"/>
                <w:szCs w:val="6"/>
                <w:color w:val="auto"/>
              </w:rPr>
            </w:pPr>
          </w:p>
        </w:tc>
        <w:tc>
          <w:tcPr>
            <w:tcW w:w="2180" w:type="dxa"/>
            <w:vAlign w:val="bottom"/>
            <w:tcBorders>
              <w:bottom w:val="single" w:sz="8" w:color="0336FF"/>
            </w:tcBorders>
          </w:tcPr>
          <w:p>
            <w:pPr>
              <w:spacing w:after="0"/>
              <w:rPr>
                <w:sz w:val="6"/>
                <w:szCs w:val="6"/>
                <w:color w:val="auto"/>
              </w:rPr>
            </w:pPr>
          </w:p>
        </w:tc>
      </w:tr>
    </w:tbl>
    <w:p>
      <w:pPr>
        <w:spacing w:after="0" w:line="153"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14"/>
          <w:szCs w:val="14"/>
          <w:color w:val="2D3243"/>
        </w:rPr>
      </w:pPr>
      <w:r>
        <w:rPr>
          <w:rFonts w:ascii="Arial" w:cs="Arial" w:eastAsia="Arial" w:hAnsi="Arial"/>
          <w:sz w:val="14"/>
          <w:szCs w:val="14"/>
          <w:color w:val="2D3243"/>
        </w:rPr>
        <w:t>Michael Burkland is also entitled to the same payments and benefits in the event of a constructive termination of employment.</w:t>
      </w:r>
    </w:p>
    <w:p>
      <w:pPr>
        <w:spacing w:after="0" w:line="109" w:lineRule="exact"/>
        <w:rPr>
          <w:rFonts w:ascii="Arial" w:cs="Arial" w:eastAsia="Arial" w:hAnsi="Arial"/>
          <w:sz w:val="14"/>
          <w:szCs w:val="14"/>
          <w:color w:val="2D3243"/>
        </w:rPr>
      </w:pPr>
    </w:p>
    <w:p>
      <w:pPr>
        <w:ind w:left="420" w:right="240" w:hanging="412"/>
        <w:spacing w:after="0" w:line="332" w:lineRule="auto"/>
        <w:tabs>
          <w:tab w:leader="none" w:pos="418" w:val="left"/>
        </w:tabs>
        <w:numPr>
          <w:ilvl w:val="0"/>
          <w:numId w:val="64"/>
        </w:numPr>
        <w:rPr>
          <w:rFonts w:ascii="Arial" w:cs="Arial" w:eastAsia="Arial" w:hAnsi="Arial"/>
          <w:sz w:val="14"/>
          <w:szCs w:val="14"/>
          <w:color w:val="2D3243"/>
        </w:rPr>
      </w:pPr>
      <w:r>
        <w:rPr>
          <w:rFonts w:ascii="Arial" w:cs="Arial" w:eastAsia="Arial" w:hAnsi="Arial"/>
          <w:sz w:val="14"/>
          <w:szCs w:val="14"/>
          <w:color w:val="2D3243"/>
        </w:rPr>
        <w:t>Amount represents the aggregate intrinsic value of the equity awards to vest upon either an involuntary termination of employment without cause or a termination of employment due to a constructive termination, each in connection with a change in control of the Company, which was calculated based on the closing market price of $78.69 per share of our Common Stock at December 29, 2023, the last trading day of 2023. In addition, if a successor entity refused to assume or replace a NEO’s outstanding equity awards at the time of the change in control of the Company, all such outstanding awards would become fully vested as of immediately prior to the closing of the change in control under the terms of our 2014 Plan, in these same amounts, regardless of whether such NEO experiences a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67</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5" w:name="page76"/>
    <w:bookmarkEnd w:id="75"/>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CEO Pay Ratio</w:t>
      </w:r>
    </w:p>
    <w:p>
      <w:pPr>
        <w:spacing w:after="0" w:line="193" w:lineRule="exact"/>
        <w:rPr>
          <w:sz w:val="20"/>
          <w:szCs w:val="20"/>
          <w:color w:val="auto"/>
        </w:rPr>
      </w:pPr>
    </w:p>
    <w:p>
      <w:pPr>
        <w:ind w:right="200"/>
        <w:spacing w:after="0" w:line="363" w:lineRule="auto"/>
        <w:rPr>
          <w:sz w:val="20"/>
          <w:szCs w:val="20"/>
          <w:color w:val="auto"/>
        </w:rPr>
      </w:pPr>
      <w:r>
        <w:rPr>
          <w:rFonts w:ascii="Arial" w:cs="Arial" w:eastAsia="Arial" w:hAnsi="Arial"/>
          <w:sz w:val="16"/>
          <w:szCs w:val="16"/>
          <w:color w:val="2D3243"/>
        </w:rPr>
        <w:t>In accordance with Item 402(u) of Regulation S-K, we are providing below disclosure relating to the ratio of the median of the annual total compensation of all of our employees (other than our Chief Executive Officer) and the annual total compensation of our Chief Executive Officer, Mr. Michael Burkland (our “CEO”).</w:t>
      </w:r>
    </w:p>
    <w:p>
      <w:pPr>
        <w:spacing w:after="0" w:line="70" w:lineRule="exact"/>
        <w:rPr>
          <w:sz w:val="20"/>
          <w:szCs w:val="20"/>
          <w:color w:val="auto"/>
        </w:rPr>
      </w:pPr>
    </w:p>
    <w:p>
      <w:pPr>
        <w:ind w:right="200"/>
        <w:spacing w:after="0" w:line="354" w:lineRule="auto"/>
        <w:rPr>
          <w:sz w:val="20"/>
          <w:szCs w:val="20"/>
          <w:color w:val="auto"/>
        </w:rPr>
      </w:pPr>
      <w:r>
        <w:rPr>
          <w:rFonts w:ascii="Arial" w:cs="Arial" w:eastAsia="Arial" w:hAnsi="Arial"/>
          <w:sz w:val="16"/>
          <w:szCs w:val="16"/>
          <w:color w:val="2D3243"/>
        </w:rPr>
        <w:t>Since there has been no change in our employee population or employee compensation arrangements in the past fiscal year that we reasonably believe would result in a significant change to our pay ratio disclosure, we have elected to use the same median employee that was identified for 2021 to calculate our 2023 CEO pay ratio, as allowed by Item 402(u) of Regulation S-K.</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2D3243"/>
        </w:rPr>
        <w:t>The methodology we used to identify our median employee for 2021 was as follows:</w:t>
      </w:r>
    </w:p>
    <w:p>
      <w:pPr>
        <w:spacing w:after="0" w:line="181" w:lineRule="exact"/>
        <w:rPr>
          <w:sz w:val="20"/>
          <w:szCs w:val="20"/>
          <w:color w:val="auto"/>
        </w:rPr>
      </w:pPr>
    </w:p>
    <w:p>
      <w:pPr>
        <w:ind w:left="620" w:hanging="288"/>
        <w:spacing w:after="0"/>
        <w:tabs>
          <w:tab w:leader="none" w:pos="620" w:val="left"/>
        </w:tabs>
        <w:numPr>
          <w:ilvl w:val="0"/>
          <w:numId w:val="65"/>
        </w:numPr>
        <w:rPr>
          <w:rFonts w:ascii="Arial" w:cs="Arial" w:eastAsia="Arial" w:hAnsi="Arial"/>
          <w:sz w:val="16"/>
          <w:szCs w:val="16"/>
          <w:color w:val="2D3243"/>
        </w:rPr>
      </w:pPr>
      <w:r>
        <w:rPr>
          <w:rFonts w:ascii="Arial" w:cs="Arial" w:eastAsia="Arial" w:hAnsi="Arial"/>
          <w:sz w:val="16"/>
          <w:szCs w:val="16"/>
          <w:color w:val="2D3243"/>
        </w:rPr>
        <w:t>We selected December 31, 2021, the last day of our 2021 fiscal year, as the determination date for purposes of identifying our median employee.</w:t>
      </w:r>
    </w:p>
    <w:p>
      <w:pPr>
        <w:spacing w:after="0" w:line="140" w:lineRule="exact"/>
        <w:rPr>
          <w:rFonts w:ascii="Arial" w:cs="Arial" w:eastAsia="Arial" w:hAnsi="Arial"/>
          <w:sz w:val="16"/>
          <w:szCs w:val="16"/>
          <w:color w:val="2D3243"/>
        </w:rPr>
      </w:pPr>
    </w:p>
    <w:p>
      <w:pPr>
        <w:ind w:left="620" w:hanging="288"/>
        <w:spacing w:after="0"/>
        <w:tabs>
          <w:tab w:leader="none" w:pos="620" w:val="left"/>
        </w:tabs>
        <w:numPr>
          <w:ilvl w:val="0"/>
          <w:numId w:val="65"/>
        </w:numPr>
        <w:rPr>
          <w:rFonts w:ascii="Arial" w:cs="Arial" w:eastAsia="Arial" w:hAnsi="Arial"/>
          <w:sz w:val="16"/>
          <w:szCs w:val="16"/>
          <w:color w:val="2D3243"/>
        </w:rPr>
      </w:pPr>
      <w:r>
        <w:rPr>
          <w:rFonts w:ascii="Arial" w:cs="Arial" w:eastAsia="Arial" w:hAnsi="Arial"/>
          <w:sz w:val="16"/>
          <w:szCs w:val="16"/>
          <w:color w:val="2D3243"/>
        </w:rPr>
        <w:t>We selected our median employee based on 2,154 full-time and part-time employees who were employed as of the determination date.</w:t>
      </w:r>
    </w:p>
    <w:p>
      <w:pPr>
        <w:spacing w:after="0" w:line="126" w:lineRule="exact"/>
        <w:rPr>
          <w:rFonts w:ascii="Arial" w:cs="Arial" w:eastAsia="Arial" w:hAnsi="Arial"/>
          <w:sz w:val="16"/>
          <w:szCs w:val="16"/>
          <w:color w:val="2D3243"/>
        </w:rPr>
      </w:pPr>
    </w:p>
    <w:p>
      <w:pPr>
        <w:ind w:left="660" w:right="60" w:hanging="328"/>
        <w:spacing w:after="0" w:line="369" w:lineRule="auto"/>
        <w:tabs>
          <w:tab w:leader="none" w:pos="622" w:val="left"/>
        </w:tabs>
        <w:numPr>
          <w:ilvl w:val="0"/>
          <w:numId w:val="65"/>
        </w:numPr>
        <w:rPr>
          <w:rFonts w:ascii="Arial" w:cs="Arial" w:eastAsia="Arial" w:hAnsi="Arial"/>
          <w:sz w:val="16"/>
          <w:szCs w:val="16"/>
          <w:color w:val="2D3243"/>
        </w:rPr>
      </w:pPr>
      <w:r>
        <w:rPr>
          <w:rFonts w:ascii="Arial" w:cs="Arial" w:eastAsia="Arial" w:hAnsi="Arial"/>
          <w:sz w:val="16"/>
          <w:szCs w:val="16"/>
          <w:color w:val="2D3243"/>
        </w:rPr>
        <w:t>We selected our median employee using a compensation measure that consisted of cash compensation payable and paid during 2021 (base salary rate, hourly wages and quarterly and annual incentive compensation) and the grant date fair value of equity awards granted in 2021.</w:t>
      </w:r>
    </w:p>
    <w:p>
      <w:pPr>
        <w:spacing w:after="0" w:line="1" w:lineRule="exact"/>
        <w:rPr>
          <w:rFonts w:ascii="Arial" w:cs="Arial" w:eastAsia="Arial" w:hAnsi="Arial"/>
          <w:sz w:val="16"/>
          <w:szCs w:val="16"/>
          <w:color w:val="2D3243"/>
        </w:rPr>
      </w:pPr>
    </w:p>
    <w:p>
      <w:pPr>
        <w:ind w:left="660" w:right="720" w:hanging="328"/>
        <w:spacing w:after="0" w:line="374" w:lineRule="auto"/>
        <w:tabs>
          <w:tab w:leader="none" w:pos="622" w:val="left"/>
        </w:tabs>
        <w:numPr>
          <w:ilvl w:val="0"/>
          <w:numId w:val="65"/>
        </w:numPr>
        <w:rPr>
          <w:rFonts w:ascii="Arial" w:cs="Arial" w:eastAsia="Arial" w:hAnsi="Arial"/>
          <w:sz w:val="16"/>
          <w:szCs w:val="16"/>
          <w:color w:val="2D3243"/>
        </w:rPr>
      </w:pPr>
      <w:r>
        <w:rPr>
          <w:rFonts w:ascii="Arial" w:cs="Arial" w:eastAsia="Arial" w:hAnsi="Arial"/>
          <w:sz w:val="16"/>
          <w:szCs w:val="16"/>
          <w:color w:val="2D3243"/>
        </w:rPr>
        <w:t>We did not rely on the data privacy or de minimis exceptions allowed by SEC rules to exclude any non-U.S. employees from our employee population, nor did we use any cost-of-living adjustment.</w:t>
      </w:r>
    </w:p>
    <w:p>
      <w:pPr>
        <w:spacing w:after="0" w:line="7" w:lineRule="exact"/>
        <w:rPr>
          <w:rFonts w:ascii="Arial" w:cs="Arial" w:eastAsia="Arial" w:hAnsi="Arial"/>
          <w:sz w:val="16"/>
          <w:szCs w:val="16"/>
          <w:color w:val="2D3243"/>
        </w:rPr>
      </w:pPr>
    </w:p>
    <w:p>
      <w:pPr>
        <w:ind w:left="660" w:right="560" w:hanging="328"/>
        <w:spacing w:after="0" w:line="369" w:lineRule="auto"/>
        <w:tabs>
          <w:tab w:leader="none" w:pos="622" w:val="left"/>
        </w:tabs>
        <w:numPr>
          <w:ilvl w:val="0"/>
          <w:numId w:val="65"/>
        </w:numPr>
        <w:rPr>
          <w:rFonts w:ascii="Arial" w:cs="Arial" w:eastAsia="Arial" w:hAnsi="Arial"/>
          <w:sz w:val="16"/>
          <w:szCs w:val="16"/>
          <w:color w:val="2D3243"/>
        </w:rPr>
      </w:pPr>
      <w:r>
        <w:rPr>
          <w:rFonts w:ascii="Arial" w:cs="Arial" w:eastAsia="Arial" w:hAnsi="Arial"/>
          <w:sz w:val="16"/>
          <w:szCs w:val="16"/>
          <w:color w:val="2D3243"/>
        </w:rPr>
        <w:t>We converted amounts paid to non-U.S. employees in foreign currencies to U.S. dollars using foreign currency exchange rates in effect as of December 31, 2021.</w:t>
      </w:r>
    </w:p>
    <w:p>
      <w:pPr>
        <w:spacing w:after="0" w:line="1" w:lineRule="exact"/>
        <w:rPr>
          <w:rFonts w:ascii="Arial" w:cs="Arial" w:eastAsia="Arial" w:hAnsi="Arial"/>
          <w:sz w:val="16"/>
          <w:szCs w:val="16"/>
          <w:color w:val="2D3243"/>
        </w:rPr>
      </w:pPr>
    </w:p>
    <w:p>
      <w:pPr>
        <w:ind w:left="620" w:hanging="288"/>
        <w:spacing w:after="0"/>
        <w:tabs>
          <w:tab w:leader="none" w:pos="620" w:val="left"/>
        </w:tabs>
        <w:numPr>
          <w:ilvl w:val="0"/>
          <w:numId w:val="65"/>
        </w:numPr>
        <w:rPr>
          <w:rFonts w:ascii="Arial" w:cs="Arial" w:eastAsia="Arial" w:hAnsi="Arial"/>
          <w:sz w:val="16"/>
          <w:szCs w:val="16"/>
          <w:color w:val="2D3243"/>
        </w:rPr>
      </w:pPr>
      <w:r>
        <w:rPr>
          <w:rFonts w:ascii="Arial" w:cs="Arial" w:eastAsia="Arial" w:hAnsi="Arial"/>
          <w:sz w:val="16"/>
          <w:szCs w:val="16"/>
          <w:color w:val="2D3243"/>
        </w:rPr>
        <w:t>All employees except for our CEO were ranked from lowest to highest with the median employee determined from this list.</w:t>
      </w:r>
    </w:p>
    <w:p>
      <w:pPr>
        <w:spacing w:after="0" w:line="235" w:lineRule="exact"/>
        <w:rPr>
          <w:sz w:val="20"/>
          <w:szCs w:val="20"/>
          <w:color w:val="auto"/>
        </w:rPr>
      </w:pPr>
    </w:p>
    <w:p>
      <w:pPr>
        <w:ind w:right="260"/>
        <w:spacing w:after="0" w:line="363" w:lineRule="auto"/>
        <w:rPr>
          <w:sz w:val="20"/>
          <w:szCs w:val="20"/>
          <w:color w:val="auto"/>
        </w:rPr>
      </w:pPr>
      <w:r>
        <w:rPr>
          <w:rFonts w:ascii="Arial" w:cs="Arial" w:eastAsia="Arial" w:hAnsi="Arial"/>
          <w:sz w:val="16"/>
          <w:szCs w:val="16"/>
          <w:color w:val="2D3243"/>
        </w:rPr>
        <w:t>We calculated the annual total compensation of our median employee in the same manner that we calculated the total compensation of our CEO for purposes of the 2023 Summary Compensation Table. This annual total compensation amount for our median employee was then compared to the annual total compensation of our CEO (as required by Item 402(c)(x) of Regulation S-K) to determine the pay ratio.</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2D3243"/>
        </w:rPr>
        <w:t>For 2023:</w:t>
      </w:r>
    </w:p>
    <w:p>
      <w:pPr>
        <w:spacing w:after="0" w:line="235" w:lineRule="exact"/>
        <w:rPr>
          <w:sz w:val="20"/>
          <w:szCs w:val="20"/>
          <w:color w:val="auto"/>
        </w:rPr>
      </w:pPr>
    </w:p>
    <w:p>
      <w:pPr>
        <w:ind w:left="620" w:hanging="288"/>
        <w:spacing w:after="0"/>
        <w:tabs>
          <w:tab w:leader="none" w:pos="620" w:val="left"/>
        </w:tabs>
        <w:numPr>
          <w:ilvl w:val="0"/>
          <w:numId w:val="66"/>
        </w:numPr>
        <w:rPr>
          <w:rFonts w:ascii="Arial" w:cs="Arial" w:eastAsia="Arial" w:hAnsi="Arial"/>
          <w:sz w:val="16"/>
          <w:szCs w:val="16"/>
          <w:color w:val="2D3243"/>
        </w:rPr>
      </w:pPr>
      <w:r>
        <w:rPr>
          <w:rFonts w:ascii="Arial" w:cs="Arial" w:eastAsia="Arial" w:hAnsi="Arial"/>
          <w:sz w:val="16"/>
          <w:szCs w:val="16"/>
          <w:color w:val="2D3243"/>
        </w:rPr>
        <w:t>The median of the annual total compensation of all our employees was $148,885;</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66"/>
        </w:numPr>
        <w:rPr>
          <w:rFonts w:ascii="Arial" w:cs="Arial" w:eastAsia="Arial" w:hAnsi="Arial"/>
          <w:sz w:val="16"/>
          <w:szCs w:val="16"/>
          <w:color w:val="2D3243"/>
        </w:rPr>
      </w:pPr>
      <w:r>
        <w:rPr>
          <w:rFonts w:ascii="Arial" w:cs="Arial" w:eastAsia="Arial" w:hAnsi="Arial"/>
          <w:sz w:val="16"/>
          <w:szCs w:val="16"/>
          <w:color w:val="2D3243"/>
        </w:rPr>
        <w:t>The annual total compensation of our CEO, Michael Burkland, was $1,195,211; and</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66"/>
        </w:numPr>
        <w:rPr>
          <w:rFonts w:ascii="Arial" w:cs="Arial" w:eastAsia="Arial" w:hAnsi="Arial"/>
          <w:sz w:val="16"/>
          <w:szCs w:val="16"/>
          <w:color w:val="2D3243"/>
        </w:rPr>
      </w:pPr>
      <w:r>
        <w:rPr>
          <w:rFonts w:ascii="Arial" w:cs="Arial" w:eastAsia="Arial" w:hAnsi="Arial"/>
          <w:sz w:val="16"/>
          <w:szCs w:val="16"/>
          <w:color w:val="2D3243"/>
        </w:rPr>
        <w:t>The ratio of the annual total compensation of our CEO to the median of the annual total compensation of all our employees was 8.0 to 1.</w:t>
      </w:r>
    </w:p>
    <w:p>
      <w:pPr>
        <w:spacing w:after="0" w:line="235" w:lineRule="exact"/>
        <w:rPr>
          <w:sz w:val="20"/>
          <w:szCs w:val="20"/>
          <w:color w:val="auto"/>
        </w:rPr>
      </w:pPr>
    </w:p>
    <w:p>
      <w:pPr>
        <w:spacing w:after="0" w:line="348" w:lineRule="auto"/>
        <w:rPr>
          <w:sz w:val="20"/>
          <w:szCs w:val="20"/>
          <w:color w:val="auto"/>
        </w:rPr>
      </w:pPr>
      <w:r>
        <w:rPr>
          <w:rFonts w:ascii="Arial" w:cs="Arial" w:eastAsia="Arial" w:hAnsi="Arial"/>
          <w:sz w:val="16"/>
          <w:szCs w:val="16"/>
          <w:color w:val="2D3243"/>
        </w:rPr>
        <w:t>Please note that this pay ratio is significantly lower than our CEO pay ratio in 2022 when Rowan Trollope, our former chief executive officer and Michael Burkland both served as chief executive officer and Michael Burkland was granted an equity award with a significant grant date fair value in connection with his appointment. Given the size and structure of his initial equity grant in December 2022, Michael Burkland was not eligible for (and did not receive) any equity awards during 2023, which resulted in a lower pay ratio in 2023. The pay ratio for 2023 is also lower than our CEO pay ratio in 2021 when Mr. Trollope served as chief executive officer and received a more customary “refresh” equity award.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2D3243"/>
        </w:rPr>
        <w:t>This ratio is a reasonable estimate calculated in a manner consistent with SEC rules.</w:t>
      </w:r>
    </w:p>
    <w:p>
      <w:pPr>
        <w:spacing w:after="0" w:line="248"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2D3243"/>
        </w:rPr>
        <w:t>Because SEC rules for identifying the median compensated employee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68</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6" w:name="page77"/>
    <w:bookmarkEnd w:id="76"/>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spacing w:after="0" w:line="374" w:lineRule="auto"/>
        <w:rPr>
          <w:sz w:val="20"/>
          <w:szCs w:val="20"/>
          <w:color w:val="auto"/>
        </w:rPr>
      </w:pPr>
      <w:r>
        <w:rPr>
          <w:rFonts w:ascii="Arial" w:cs="Arial" w:eastAsia="Arial" w:hAnsi="Arial"/>
          <w:sz w:val="16"/>
          <w:szCs w:val="16"/>
          <w:color w:val="2D3243"/>
        </w:rPr>
        <w:t>different employee populations and compensation practices and may use different methodologies, exclusions, estimates, and assumptions in calculating their own pay ratios.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Pay versus Performance</w:t>
      </w:r>
    </w:p>
    <w:p>
      <w:pPr>
        <w:spacing w:after="0" w:line="207" w:lineRule="exact"/>
        <w:rPr>
          <w:sz w:val="20"/>
          <w:szCs w:val="20"/>
          <w:color w:val="auto"/>
        </w:rPr>
      </w:pPr>
    </w:p>
    <w:p>
      <w:pPr>
        <w:ind w:right="260"/>
        <w:spacing w:after="0" w:line="374" w:lineRule="auto"/>
        <w:rPr>
          <w:sz w:val="20"/>
          <w:szCs w:val="20"/>
          <w:color w:val="auto"/>
        </w:rPr>
      </w:pPr>
      <w:r>
        <w:rPr>
          <w:rFonts w:ascii="Arial" w:cs="Arial" w:eastAsia="Arial" w:hAnsi="Arial"/>
          <w:sz w:val="16"/>
          <w:szCs w:val="16"/>
          <w:color w:val="2D3243"/>
        </w:rPr>
        <w:t>As required by Item 402(v) of Regulation S-K, we are providing the following information about the relationship between executive "compensation actually paid" (as defined by SEC rules and as further described below) to our named executive officers and certain company financial performance measures.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provides information showing the relationship during 2023, 2022, 2021 and 2020 between (1) executive "compensation actually paid” to</w:t>
      </w:r>
    </w:p>
    <w:p>
      <w:pPr>
        <w:spacing w:after="0" w:line="73" w:lineRule="exact"/>
        <w:rPr>
          <w:sz w:val="20"/>
          <w:szCs w:val="20"/>
          <w:color w:val="auto"/>
        </w:rPr>
      </w:pPr>
    </w:p>
    <w:p>
      <w:pPr>
        <w:ind w:right="40" w:firstLine="8"/>
        <w:spacing w:after="0" w:line="348" w:lineRule="auto"/>
        <w:tabs>
          <w:tab w:leader="none" w:pos="243" w:val="left"/>
        </w:tabs>
        <w:numPr>
          <w:ilvl w:val="0"/>
          <w:numId w:val="67"/>
        </w:numPr>
        <w:rPr>
          <w:rFonts w:ascii="Arial" w:cs="Arial" w:eastAsia="Arial" w:hAnsi="Arial"/>
          <w:sz w:val="16"/>
          <w:szCs w:val="16"/>
          <w:color w:val="2D3243"/>
        </w:rPr>
      </w:pPr>
      <w:r>
        <w:rPr>
          <w:rFonts w:ascii="Arial" w:cs="Arial" w:eastAsia="Arial" w:hAnsi="Arial"/>
          <w:sz w:val="16"/>
          <w:szCs w:val="16"/>
          <w:color w:val="2D3243"/>
        </w:rPr>
        <w:t>each person serving as our principal executive officer or PEO (also referred to as our CEO) and (b) our non-PEO named executive officers (also referred to below as our "other NEOs"), on an average basis, and (2) the Company’s financial performance. The Company selected performance measure (the "CSM") included in the charts below is Revenue and Adjusted EBITDA is included as a supplemental measure because it is almost equally important. Both of the measures are described in more detail in the "Compensation Discussion and Analysis - Key Elements of Our 2023 Executive Compensation Program" section above.</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Pay Versus Performance Table</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20" w:type="dxa"/>
            <w:vAlign w:val="bottom"/>
            <w:tcBorders>
              <w:top w:val="single" w:sz="8" w:color="auto"/>
              <w:left w:val="single" w:sz="8" w:color="auto"/>
            </w:tcBorders>
            <w:shd w:val="clear" w:color="auto" w:fill="0336FF"/>
          </w:tcPr>
          <w:p>
            <w:pPr>
              <w:spacing w:after="0"/>
              <w:rPr>
                <w:sz w:val="23"/>
                <w:szCs w:val="23"/>
                <w:color w:val="auto"/>
              </w:rPr>
            </w:pPr>
          </w:p>
        </w:tc>
        <w:tc>
          <w:tcPr>
            <w:tcW w:w="1020" w:type="dxa"/>
            <w:vAlign w:val="bottom"/>
            <w:tcBorders>
              <w:top w:val="single" w:sz="8" w:color="auto"/>
            </w:tcBorders>
            <w:shd w:val="clear" w:color="auto" w:fill="0336FF"/>
          </w:tcPr>
          <w:p>
            <w:pPr>
              <w:spacing w:after="0"/>
              <w:rPr>
                <w:sz w:val="23"/>
                <w:szCs w:val="23"/>
                <w:color w:val="auto"/>
              </w:rPr>
            </w:pPr>
          </w:p>
        </w:tc>
        <w:tc>
          <w:tcPr>
            <w:tcW w:w="980" w:type="dxa"/>
            <w:vAlign w:val="bottom"/>
            <w:tcBorders>
              <w:top w:val="single" w:sz="8" w:color="auto"/>
            </w:tcBorders>
            <w:shd w:val="clear" w:color="auto" w:fill="0336FF"/>
          </w:tcPr>
          <w:p>
            <w:pPr>
              <w:spacing w:after="0"/>
              <w:rPr>
                <w:sz w:val="23"/>
                <w:szCs w:val="23"/>
                <w:color w:val="auto"/>
              </w:rPr>
            </w:pPr>
          </w:p>
        </w:tc>
        <w:tc>
          <w:tcPr>
            <w:tcW w:w="940" w:type="dxa"/>
            <w:vAlign w:val="bottom"/>
            <w:tcBorders>
              <w:top w:val="single" w:sz="8" w:color="auto"/>
            </w:tcBorders>
            <w:shd w:val="clear" w:color="auto" w:fill="0336FF"/>
          </w:tcPr>
          <w:p>
            <w:pPr>
              <w:spacing w:after="0"/>
              <w:rPr>
                <w:sz w:val="23"/>
                <w:szCs w:val="23"/>
                <w:color w:val="auto"/>
              </w:rPr>
            </w:pPr>
          </w:p>
        </w:tc>
        <w:tc>
          <w:tcPr>
            <w:tcW w:w="980" w:type="dxa"/>
            <w:vAlign w:val="bottom"/>
            <w:tcBorders>
              <w:top w:val="single" w:sz="8" w:color="auto"/>
            </w:tcBorders>
            <w:shd w:val="clear" w:color="auto" w:fill="0336FF"/>
          </w:tcPr>
          <w:p>
            <w:pPr>
              <w:spacing w:after="0"/>
              <w:rPr>
                <w:sz w:val="23"/>
                <w:szCs w:val="23"/>
                <w:color w:val="auto"/>
              </w:rPr>
            </w:pPr>
          </w:p>
        </w:tc>
        <w:tc>
          <w:tcPr>
            <w:tcW w:w="980" w:type="dxa"/>
            <w:vAlign w:val="bottom"/>
            <w:tcBorders>
              <w:top w:val="single" w:sz="8" w:color="auto"/>
            </w:tcBorders>
            <w:shd w:val="clear" w:color="auto" w:fill="0336FF"/>
          </w:tcPr>
          <w:p>
            <w:pPr>
              <w:spacing w:after="0"/>
              <w:rPr>
                <w:sz w:val="23"/>
                <w:szCs w:val="23"/>
                <w:color w:val="auto"/>
              </w:rPr>
            </w:pPr>
          </w:p>
        </w:tc>
        <w:tc>
          <w:tcPr>
            <w:tcW w:w="940" w:type="dxa"/>
            <w:vAlign w:val="bottom"/>
            <w:tcBorders>
              <w:top w:val="single" w:sz="8" w:color="auto"/>
            </w:tcBorders>
            <w:shd w:val="clear" w:color="auto" w:fill="0336FF"/>
          </w:tcPr>
          <w:p>
            <w:pPr>
              <w:spacing w:after="0"/>
              <w:rPr>
                <w:sz w:val="23"/>
                <w:szCs w:val="23"/>
                <w:color w:val="auto"/>
              </w:rPr>
            </w:pPr>
          </w:p>
        </w:tc>
        <w:tc>
          <w:tcPr>
            <w:tcW w:w="2500" w:type="dxa"/>
            <w:vAlign w:val="bottom"/>
            <w:tcBorders>
              <w:top w:val="single" w:sz="8" w:color="0336FF"/>
            </w:tcBorders>
            <w:gridSpan w:val="4"/>
            <w:shd w:val="clear" w:color="auto" w:fill="0336FF"/>
          </w:tcPr>
          <w:p>
            <w:pPr>
              <w:jc w:val="right"/>
              <w:ind w:right="142"/>
              <w:spacing w:after="0"/>
              <w:rPr>
                <w:sz w:val="20"/>
                <w:szCs w:val="20"/>
                <w:color w:val="auto"/>
              </w:rPr>
            </w:pPr>
            <w:r>
              <w:rPr>
                <w:rFonts w:ascii="Arial" w:cs="Arial" w:eastAsia="Arial" w:hAnsi="Arial"/>
                <w:sz w:val="11"/>
                <w:szCs w:val="11"/>
                <w:b w:val="1"/>
                <w:bCs w:val="1"/>
                <w:color w:val="FFFFFF"/>
                <w:w w:val="98"/>
              </w:rPr>
              <w:t>Value of Initial Fixed $100 Investment Based</w:t>
            </w:r>
          </w:p>
        </w:tc>
        <w:tc>
          <w:tcPr>
            <w:tcW w:w="700" w:type="dxa"/>
            <w:vAlign w:val="bottom"/>
            <w:tcBorders>
              <w:top w:val="single" w:sz="8" w:color="0336FF"/>
            </w:tcBorders>
            <w:shd w:val="clear" w:color="auto" w:fill="0336FF"/>
          </w:tcPr>
          <w:p>
            <w:pPr>
              <w:spacing w:after="0"/>
              <w:rPr>
                <w:sz w:val="23"/>
                <w:szCs w:val="23"/>
                <w:color w:val="auto"/>
              </w:rPr>
            </w:pPr>
          </w:p>
        </w:tc>
        <w:tc>
          <w:tcPr>
            <w:tcW w:w="1680" w:type="dxa"/>
            <w:vAlign w:val="bottom"/>
            <w:tcBorders>
              <w:top w:val="single" w:sz="8" w:color="0336FF"/>
            </w:tcBorders>
            <w:gridSpan w:val="2"/>
            <w:vMerge w:val="restart"/>
            <w:shd w:val="clear" w:color="auto" w:fill="0336FF"/>
          </w:tcPr>
          <w:p>
            <w:pPr>
              <w:jc w:val="right"/>
              <w:ind w:right="805"/>
              <w:spacing w:after="0"/>
              <w:rPr>
                <w:sz w:val="20"/>
                <w:szCs w:val="20"/>
                <w:color w:val="auto"/>
              </w:rPr>
            </w:pPr>
            <w:r>
              <w:rPr>
                <w:rFonts w:ascii="Arial" w:cs="Arial" w:eastAsia="Arial" w:hAnsi="Arial"/>
                <w:sz w:val="11"/>
                <w:szCs w:val="11"/>
                <w:b w:val="1"/>
                <w:bCs w:val="1"/>
                <w:color w:val="FFFFFF"/>
              </w:rPr>
              <w:t>(in thousands)</w:t>
            </w:r>
          </w:p>
        </w:tc>
        <w:tc>
          <w:tcPr>
            <w:tcW w:w="0" w:type="dxa"/>
            <w:vAlign w:val="bottom"/>
          </w:tcPr>
          <w:p>
            <w:pPr>
              <w:spacing w:after="0"/>
              <w:rPr>
                <w:sz w:val="1"/>
                <w:szCs w:val="1"/>
                <w:color w:val="auto"/>
              </w:rPr>
            </w:pPr>
          </w:p>
        </w:tc>
      </w:tr>
      <w:tr>
        <w:trPr>
          <w:trHeight w:val="148"/>
        </w:trPr>
        <w:tc>
          <w:tcPr>
            <w:tcW w:w="520" w:type="dxa"/>
            <w:vAlign w:val="bottom"/>
            <w:tcBorders>
              <w:left w:val="single" w:sz="8" w:color="auto"/>
            </w:tcBorders>
            <w:shd w:val="clear" w:color="auto" w:fill="0336FF"/>
          </w:tcPr>
          <w:p>
            <w:pPr>
              <w:spacing w:after="0"/>
              <w:rPr>
                <w:sz w:val="12"/>
                <w:szCs w:val="12"/>
                <w:color w:val="auto"/>
              </w:rPr>
            </w:pPr>
          </w:p>
        </w:tc>
        <w:tc>
          <w:tcPr>
            <w:tcW w:w="1020" w:type="dxa"/>
            <w:vAlign w:val="bottom"/>
            <w:shd w:val="clear" w:color="auto" w:fill="0336FF"/>
          </w:tcPr>
          <w:p>
            <w:pPr>
              <w:spacing w:after="0"/>
              <w:rPr>
                <w:sz w:val="12"/>
                <w:szCs w:val="12"/>
                <w:color w:val="auto"/>
              </w:rPr>
            </w:pPr>
          </w:p>
        </w:tc>
        <w:tc>
          <w:tcPr>
            <w:tcW w:w="980" w:type="dxa"/>
            <w:vAlign w:val="bottom"/>
            <w:shd w:val="clear" w:color="auto" w:fill="0336FF"/>
          </w:tcPr>
          <w:p>
            <w:pPr>
              <w:spacing w:after="0"/>
              <w:rPr>
                <w:sz w:val="12"/>
                <w:szCs w:val="12"/>
                <w:color w:val="auto"/>
              </w:rPr>
            </w:pPr>
          </w:p>
        </w:tc>
        <w:tc>
          <w:tcPr>
            <w:tcW w:w="940" w:type="dxa"/>
            <w:vAlign w:val="bottom"/>
            <w:shd w:val="clear" w:color="auto" w:fill="0336FF"/>
          </w:tcPr>
          <w:p>
            <w:pPr>
              <w:spacing w:after="0"/>
              <w:rPr>
                <w:sz w:val="12"/>
                <w:szCs w:val="12"/>
                <w:color w:val="auto"/>
              </w:rPr>
            </w:pPr>
          </w:p>
        </w:tc>
        <w:tc>
          <w:tcPr>
            <w:tcW w:w="980" w:type="dxa"/>
            <w:vAlign w:val="bottom"/>
            <w:shd w:val="clear" w:color="auto" w:fill="0336FF"/>
          </w:tcPr>
          <w:p>
            <w:pPr>
              <w:spacing w:after="0"/>
              <w:rPr>
                <w:sz w:val="12"/>
                <w:szCs w:val="12"/>
                <w:color w:val="auto"/>
              </w:rPr>
            </w:pPr>
          </w:p>
        </w:tc>
        <w:tc>
          <w:tcPr>
            <w:tcW w:w="980" w:type="dxa"/>
            <w:vAlign w:val="bottom"/>
            <w:shd w:val="clear" w:color="auto" w:fill="0336FF"/>
          </w:tcPr>
          <w:p>
            <w:pPr>
              <w:spacing w:after="0"/>
              <w:rPr>
                <w:sz w:val="12"/>
                <w:szCs w:val="12"/>
                <w:color w:val="auto"/>
              </w:rPr>
            </w:pPr>
          </w:p>
        </w:tc>
        <w:tc>
          <w:tcPr>
            <w:tcW w:w="940" w:type="dxa"/>
            <w:vAlign w:val="bottom"/>
            <w:shd w:val="clear" w:color="auto" w:fill="0336FF"/>
          </w:tcPr>
          <w:p>
            <w:pPr>
              <w:spacing w:after="0"/>
              <w:rPr>
                <w:sz w:val="12"/>
                <w:szCs w:val="12"/>
                <w:color w:val="auto"/>
              </w:rPr>
            </w:pPr>
          </w:p>
        </w:tc>
        <w:tc>
          <w:tcPr>
            <w:tcW w:w="880" w:type="dxa"/>
            <w:vAlign w:val="bottom"/>
            <w:shd w:val="clear" w:color="auto" w:fill="0336FF"/>
          </w:tcPr>
          <w:p>
            <w:pPr>
              <w:spacing w:after="0"/>
              <w:rPr>
                <w:sz w:val="12"/>
                <w:szCs w:val="12"/>
                <w:color w:val="auto"/>
              </w:rPr>
            </w:pPr>
          </w:p>
        </w:tc>
        <w:tc>
          <w:tcPr>
            <w:tcW w:w="840" w:type="dxa"/>
            <w:vAlign w:val="bottom"/>
            <w:gridSpan w:val="2"/>
            <w:shd w:val="clear" w:color="auto" w:fill="0336FF"/>
          </w:tcPr>
          <w:p>
            <w:pPr>
              <w:ind w:left="180"/>
              <w:spacing w:after="0"/>
              <w:rPr>
                <w:sz w:val="20"/>
                <w:szCs w:val="20"/>
                <w:color w:val="auto"/>
              </w:rPr>
            </w:pPr>
            <w:r>
              <w:rPr>
                <w:rFonts w:ascii="Arial" w:cs="Arial" w:eastAsia="Arial" w:hAnsi="Arial"/>
                <w:sz w:val="11"/>
                <w:szCs w:val="11"/>
                <w:b w:val="1"/>
                <w:bCs w:val="1"/>
                <w:color w:val="FFFFFF"/>
              </w:rPr>
              <w:t>On:</w:t>
            </w:r>
          </w:p>
        </w:tc>
        <w:tc>
          <w:tcPr>
            <w:tcW w:w="780" w:type="dxa"/>
            <w:vAlign w:val="bottom"/>
            <w:shd w:val="clear" w:color="auto" w:fill="0336FF"/>
          </w:tcPr>
          <w:p>
            <w:pPr>
              <w:spacing w:after="0"/>
              <w:rPr>
                <w:sz w:val="12"/>
                <w:szCs w:val="12"/>
                <w:color w:val="auto"/>
              </w:rPr>
            </w:pPr>
          </w:p>
        </w:tc>
        <w:tc>
          <w:tcPr>
            <w:tcW w:w="700" w:type="dxa"/>
            <w:vAlign w:val="bottom"/>
            <w:shd w:val="clear" w:color="auto" w:fill="0336FF"/>
          </w:tcPr>
          <w:p>
            <w:pPr>
              <w:spacing w:after="0"/>
              <w:rPr>
                <w:sz w:val="12"/>
                <w:szCs w:val="12"/>
                <w:color w:val="auto"/>
              </w:rPr>
            </w:pPr>
          </w:p>
        </w:tc>
        <w:tc>
          <w:tcPr>
            <w:tcW w:w="1680" w:type="dxa"/>
            <w:vAlign w:val="bottom"/>
            <w:gridSpan w:val="2"/>
            <w:vMerge w:val="continue"/>
            <w:shd w:val="clear" w:color="auto" w:fill="0336FF"/>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520" w:type="dxa"/>
            <w:vAlign w:val="bottom"/>
            <w:tcBorders>
              <w:left w:val="single" w:sz="8" w:color="auto"/>
            </w:tcBorders>
            <w:shd w:val="clear" w:color="auto" w:fill="0336FF"/>
          </w:tcPr>
          <w:p>
            <w:pPr>
              <w:spacing w:after="0"/>
              <w:rPr>
                <w:sz w:val="24"/>
                <w:szCs w:val="24"/>
                <w:color w:val="auto"/>
              </w:rPr>
            </w:pPr>
          </w:p>
        </w:tc>
        <w:tc>
          <w:tcPr>
            <w:tcW w:w="1020" w:type="dxa"/>
            <w:vAlign w:val="bottom"/>
            <w:shd w:val="clear" w:color="auto" w:fill="0336FF"/>
          </w:tcPr>
          <w:p>
            <w:pPr>
              <w:spacing w:after="0"/>
              <w:rPr>
                <w:sz w:val="24"/>
                <w:szCs w:val="24"/>
                <w:color w:val="auto"/>
              </w:rPr>
            </w:pPr>
          </w:p>
        </w:tc>
        <w:tc>
          <w:tcPr>
            <w:tcW w:w="980" w:type="dxa"/>
            <w:vAlign w:val="bottom"/>
            <w:shd w:val="clear" w:color="auto" w:fill="0336FF"/>
          </w:tcPr>
          <w:p>
            <w:pPr>
              <w:spacing w:after="0"/>
              <w:rPr>
                <w:sz w:val="24"/>
                <w:szCs w:val="24"/>
                <w:color w:val="auto"/>
              </w:rPr>
            </w:pPr>
          </w:p>
        </w:tc>
        <w:tc>
          <w:tcPr>
            <w:tcW w:w="940" w:type="dxa"/>
            <w:vAlign w:val="bottom"/>
            <w:shd w:val="clear" w:color="auto" w:fill="0336FF"/>
          </w:tcPr>
          <w:p>
            <w:pPr>
              <w:spacing w:after="0"/>
              <w:rPr>
                <w:sz w:val="24"/>
                <w:szCs w:val="24"/>
                <w:color w:val="auto"/>
              </w:rPr>
            </w:pPr>
          </w:p>
        </w:tc>
        <w:tc>
          <w:tcPr>
            <w:tcW w:w="980" w:type="dxa"/>
            <w:vAlign w:val="bottom"/>
            <w:shd w:val="clear" w:color="auto" w:fill="0336FF"/>
          </w:tcPr>
          <w:p>
            <w:pPr>
              <w:spacing w:after="0"/>
              <w:rPr>
                <w:sz w:val="24"/>
                <w:szCs w:val="24"/>
                <w:color w:val="auto"/>
              </w:rPr>
            </w:pPr>
          </w:p>
        </w:tc>
        <w:tc>
          <w:tcPr>
            <w:tcW w:w="980" w:type="dxa"/>
            <w:vAlign w:val="bottom"/>
            <w:shd w:val="clear" w:color="auto" w:fill="0336FF"/>
          </w:tcPr>
          <w:p>
            <w:pPr>
              <w:spacing w:after="0"/>
              <w:rPr>
                <w:sz w:val="24"/>
                <w:szCs w:val="24"/>
                <w:color w:val="auto"/>
              </w:rPr>
            </w:pPr>
          </w:p>
        </w:tc>
        <w:tc>
          <w:tcPr>
            <w:tcW w:w="940" w:type="dxa"/>
            <w:vAlign w:val="bottom"/>
            <w:shd w:val="clear" w:color="auto" w:fill="0336FF"/>
          </w:tcPr>
          <w:p>
            <w:pPr>
              <w:spacing w:after="0"/>
              <w:rPr>
                <w:sz w:val="24"/>
                <w:szCs w:val="24"/>
                <w:color w:val="auto"/>
              </w:rPr>
            </w:pPr>
          </w:p>
        </w:tc>
        <w:tc>
          <w:tcPr>
            <w:tcW w:w="880" w:type="dxa"/>
            <w:vAlign w:val="bottom"/>
            <w:shd w:val="clear" w:color="auto" w:fill="0336FF"/>
          </w:tcPr>
          <w:p>
            <w:pPr>
              <w:spacing w:after="0"/>
              <w:rPr>
                <w:sz w:val="24"/>
                <w:szCs w:val="24"/>
                <w:color w:val="auto"/>
              </w:rPr>
            </w:pPr>
          </w:p>
        </w:tc>
        <w:tc>
          <w:tcPr>
            <w:tcW w:w="840" w:type="dxa"/>
            <w:vAlign w:val="bottom"/>
            <w:gridSpan w:val="2"/>
            <w:shd w:val="clear" w:color="auto" w:fill="0336FF"/>
          </w:tcPr>
          <w:p>
            <w:pPr>
              <w:jc w:val="center"/>
              <w:ind w:left="523"/>
              <w:spacing w:after="0"/>
              <w:rPr>
                <w:sz w:val="20"/>
                <w:szCs w:val="20"/>
                <w:color w:val="auto"/>
              </w:rPr>
            </w:pPr>
            <w:r>
              <w:rPr>
                <w:rFonts w:ascii="Arial" w:cs="Arial" w:eastAsia="Arial" w:hAnsi="Arial"/>
                <w:sz w:val="11"/>
                <w:szCs w:val="11"/>
                <w:b w:val="1"/>
                <w:bCs w:val="1"/>
                <w:color w:val="FFFFFF"/>
                <w:w w:val="92"/>
              </w:rPr>
              <w:t>Peer</w:t>
            </w:r>
          </w:p>
        </w:tc>
        <w:tc>
          <w:tcPr>
            <w:tcW w:w="780" w:type="dxa"/>
            <w:vAlign w:val="bottom"/>
            <w:shd w:val="clear" w:color="auto" w:fill="0336FF"/>
          </w:tcPr>
          <w:p>
            <w:pPr>
              <w:spacing w:after="0"/>
              <w:rPr>
                <w:sz w:val="24"/>
                <w:szCs w:val="24"/>
                <w:color w:val="auto"/>
              </w:rPr>
            </w:pPr>
          </w:p>
        </w:tc>
        <w:tc>
          <w:tcPr>
            <w:tcW w:w="700" w:type="dxa"/>
            <w:vAlign w:val="bottom"/>
            <w:shd w:val="clear" w:color="auto" w:fill="0336FF"/>
          </w:tcPr>
          <w:p>
            <w:pPr>
              <w:spacing w:after="0"/>
              <w:rPr>
                <w:sz w:val="24"/>
                <w:szCs w:val="24"/>
                <w:color w:val="auto"/>
              </w:rPr>
            </w:pPr>
          </w:p>
        </w:tc>
        <w:tc>
          <w:tcPr>
            <w:tcW w:w="640" w:type="dxa"/>
            <w:vAlign w:val="bottom"/>
            <w:shd w:val="clear" w:color="auto" w:fill="0336FF"/>
          </w:tcPr>
          <w:p>
            <w:pPr>
              <w:spacing w:after="0"/>
              <w:rPr>
                <w:sz w:val="24"/>
                <w:szCs w:val="24"/>
                <w:color w:val="auto"/>
              </w:rPr>
            </w:pPr>
          </w:p>
        </w:tc>
        <w:tc>
          <w:tcPr>
            <w:tcW w:w="1040" w:type="dxa"/>
            <w:vAlign w:val="bottom"/>
            <w:shd w:val="clear" w:color="auto" w:fill="0336FF"/>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20" w:type="dxa"/>
            <w:vAlign w:val="bottom"/>
            <w:tcBorders>
              <w:left w:val="single" w:sz="8" w:color="auto"/>
            </w:tcBorders>
            <w:shd w:val="clear" w:color="auto" w:fill="0336FF"/>
          </w:tcPr>
          <w:p>
            <w:pPr>
              <w:spacing w:after="0"/>
              <w:rPr>
                <w:sz w:val="10"/>
                <w:szCs w:val="10"/>
                <w:color w:val="auto"/>
              </w:rPr>
            </w:pPr>
          </w:p>
        </w:tc>
        <w:tc>
          <w:tcPr>
            <w:tcW w:w="1020" w:type="dxa"/>
            <w:vAlign w:val="bottom"/>
            <w:shd w:val="clear" w:color="auto" w:fill="0336FF"/>
          </w:tcPr>
          <w:p>
            <w:pPr>
              <w:spacing w:after="0"/>
              <w:rPr>
                <w:sz w:val="10"/>
                <w:szCs w:val="10"/>
                <w:color w:val="auto"/>
              </w:rPr>
            </w:pPr>
          </w:p>
        </w:tc>
        <w:tc>
          <w:tcPr>
            <w:tcW w:w="980" w:type="dxa"/>
            <w:vAlign w:val="bottom"/>
            <w:shd w:val="clear" w:color="auto" w:fill="0336FF"/>
          </w:tcPr>
          <w:p>
            <w:pPr>
              <w:spacing w:after="0"/>
              <w:rPr>
                <w:sz w:val="10"/>
                <w:szCs w:val="10"/>
                <w:color w:val="auto"/>
              </w:rPr>
            </w:pPr>
          </w:p>
        </w:tc>
        <w:tc>
          <w:tcPr>
            <w:tcW w:w="940" w:type="dxa"/>
            <w:vAlign w:val="bottom"/>
            <w:shd w:val="clear" w:color="auto" w:fill="0336FF"/>
          </w:tcPr>
          <w:p>
            <w:pPr>
              <w:spacing w:after="0"/>
              <w:rPr>
                <w:sz w:val="10"/>
                <w:szCs w:val="10"/>
                <w:color w:val="auto"/>
              </w:rPr>
            </w:pPr>
          </w:p>
        </w:tc>
        <w:tc>
          <w:tcPr>
            <w:tcW w:w="980" w:type="dxa"/>
            <w:vAlign w:val="bottom"/>
            <w:shd w:val="clear" w:color="auto" w:fill="0336FF"/>
          </w:tcPr>
          <w:p>
            <w:pPr>
              <w:spacing w:after="0"/>
              <w:rPr>
                <w:sz w:val="10"/>
                <w:szCs w:val="10"/>
                <w:color w:val="auto"/>
              </w:rPr>
            </w:pPr>
          </w:p>
        </w:tc>
        <w:tc>
          <w:tcPr>
            <w:tcW w:w="980" w:type="dxa"/>
            <w:vAlign w:val="bottom"/>
            <w:shd w:val="clear" w:color="auto" w:fill="0336FF"/>
          </w:tcPr>
          <w:p>
            <w:pPr>
              <w:spacing w:after="0"/>
              <w:rPr>
                <w:sz w:val="10"/>
                <w:szCs w:val="10"/>
                <w:color w:val="auto"/>
              </w:rPr>
            </w:pPr>
          </w:p>
        </w:tc>
        <w:tc>
          <w:tcPr>
            <w:tcW w:w="940" w:type="dxa"/>
            <w:vAlign w:val="bottom"/>
            <w:shd w:val="clear" w:color="auto" w:fill="0336FF"/>
          </w:tcPr>
          <w:p>
            <w:pPr>
              <w:spacing w:after="0"/>
              <w:rPr>
                <w:sz w:val="10"/>
                <w:szCs w:val="10"/>
                <w:color w:val="auto"/>
              </w:rPr>
            </w:pPr>
          </w:p>
        </w:tc>
        <w:tc>
          <w:tcPr>
            <w:tcW w:w="880" w:type="dxa"/>
            <w:vAlign w:val="bottom"/>
            <w:shd w:val="clear" w:color="auto" w:fill="0336FF"/>
          </w:tcPr>
          <w:p>
            <w:pPr>
              <w:spacing w:after="0"/>
              <w:rPr>
                <w:sz w:val="10"/>
                <w:szCs w:val="10"/>
                <w:color w:val="auto"/>
              </w:rPr>
            </w:pPr>
          </w:p>
        </w:tc>
        <w:tc>
          <w:tcPr>
            <w:tcW w:w="1620" w:type="dxa"/>
            <w:vAlign w:val="bottom"/>
            <w:gridSpan w:val="3"/>
            <w:shd w:val="clear" w:color="auto" w:fill="0336FF"/>
          </w:tcPr>
          <w:p>
            <w:pPr>
              <w:jc w:val="center"/>
              <w:ind w:right="142"/>
              <w:spacing w:after="0" w:line="122" w:lineRule="exact"/>
              <w:rPr>
                <w:sz w:val="20"/>
                <w:szCs w:val="20"/>
                <w:color w:val="auto"/>
              </w:rPr>
            </w:pPr>
            <w:r>
              <w:rPr>
                <w:rFonts w:ascii="Arial" w:cs="Arial" w:eastAsia="Arial" w:hAnsi="Arial"/>
                <w:sz w:val="11"/>
                <w:szCs w:val="11"/>
                <w:b w:val="1"/>
                <w:bCs w:val="1"/>
                <w:color w:val="FFFFFF"/>
                <w:w w:val="97"/>
              </w:rPr>
              <w:t>Group Total Shareholder</w:t>
            </w:r>
          </w:p>
        </w:tc>
        <w:tc>
          <w:tcPr>
            <w:tcW w:w="700" w:type="dxa"/>
            <w:vAlign w:val="bottom"/>
            <w:shd w:val="clear" w:color="auto" w:fill="0336FF"/>
          </w:tcPr>
          <w:p>
            <w:pPr>
              <w:spacing w:after="0"/>
              <w:rPr>
                <w:sz w:val="10"/>
                <w:szCs w:val="10"/>
                <w:color w:val="auto"/>
              </w:rPr>
            </w:pPr>
          </w:p>
        </w:tc>
        <w:tc>
          <w:tcPr>
            <w:tcW w:w="640" w:type="dxa"/>
            <w:vAlign w:val="bottom"/>
            <w:shd w:val="clear" w:color="auto" w:fill="0336FF"/>
          </w:tcPr>
          <w:p>
            <w:pPr>
              <w:spacing w:after="0"/>
              <w:rPr>
                <w:sz w:val="10"/>
                <w:szCs w:val="10"/>
                <w:color w:val="auto"/>
              </w:rPr>
            </w:pPr>
          </w:p>
        </w:tc>
        <w:tc>
          <w:tcPr>
            <w:tcW w:w="1040" w:type="dxa"/>
            <w:vAlign w:val="bottom"/>
            <w:shd w:val="clear" w:color="auto" w:fill="0336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20" w:type="dxa"/>
            <w:vAlign w:val="bottom"/>
            <w:tcBorders>
              <w:left w:val="single" w:sz="8" w:color="auto"/>
            </w:tcBorders>
            <w:shd w:val="clear" w:color="auto" w:fill="0336FF"/>
          </w:tcPr>
          <w:p>
            <w:pPr>
              <w:spacing w:after="0"/>
              <w:rPr>
                <w:sz w:val="11"/>
                <w:szCs w:val="11"/>
                <w:color w:val="auto"/>
              </w:rPr>
            </w:pPr>
          </w:p>
        </w:tc>
        <w:tc>
          <w:tcPr>
            <w:tcW w:w="1020" w:type="dxa"/>
            <w:vAlign w:val="bottom"/>
            <w:shd w:val="clear" w:color="auto" w:fill="0336FF"/>
          </w:tcPr>
          <w:p>
            <w:pPr>
              <w:spacing w:after="0"/>
              <w:rPr>
                <w:sz w:val="11"/>
                <w:szCs w:val="11"/>
                <w:color w:val="auto"/>
              </w:rPr>
            </w:pPr>
          </w:p>
        </w:tc>
        <w:tc>
          <w:tcPr>
            <w:tcW w:w="980" w:type="dxa"/>
            <w:vAlign w:val="bottom"/>
            <w:shd w:val="clear" w:color="auto" w:fill="0336FF"/>
          </w:tcPr>
          <w:p>
            <w:pPr>
              <w:spacing w:after="0"/>
              <w:rPr>
                <w:sz w:val="11"/>
                <w:szCs w:val="11"/>
                <w:color w:val="auto"/>
              </w:rPr>
            </w:pPr>
          </w:p>
        </w:tc>
        <w:tc>
          <w:tcPr>
            <w:tcW w:w="940" w:type="dxa"/>
            <w:vAlign w:val="bottom"/>
            <w:shd w:val="clear" w:color="auto" w:fill="0336FF"/>
          </w:tcPr>
          <w:p>
            <w:pPr>
              <w:spacing w:after="0"/>
              <w:rPr>
                <w:sz w:val="11"/>
                <w:szCs w:val="11"/>
                <w:color w:val="auto"/>
              </w:rPr>
            </w:pPr>
          </w:p>
        </w:tc>
        <w:tc>
          <w:tcPr>
            <w:tcW w:w="980" w:type="dxa"/>
            <w:vAlign w:val="bottom"/>
            <w:shd w:val="clear" w:color="auto" w:fill="0336FF"/>
          </w:tcPr>
          <w:p>
            <w:pPr>
              <w:spacing w:after="0"/>
              <w:rPr>
                <w:sz w:val="11"/>
                <w:szCs w:val="11"/>
                <w:color w:val="auto"/>
              </w:rPr>
            </w:pPr>
          </w:p>
        </w:tc>
        <w:tc>
          <w:tcPr>
            <w:tcW w:w="980" w:type="dxa"/>
            <w:vAlign w:val="bottom"/>
            <w:shd w:val="clear" w:color="auto" w:fill="0336FF"/>
          </w:tcPr>
          <w:p>
            <w:pPr>
              <w:spacing w:after="0"/>
              <w:rPr>
                <w:sz w:val="11"/>
                <w:szCs w:val="11"/>
                <w:color w:val="auto"/>
              </w:rPr>
            </w:pPr>
          </w:p>
        </w:tc>
        <w:tc>
          <w:tcPr>
            <w:tcW w:w="940" w:type="dxa"/>
            <w:vAlign w:val="bottom"/>
            <w:shd w:val="clear" w:color="auto" w:fill="0336FF"/>
          </w:tcPr>
          <w:p>
            <w:pPr>
              <w:spacing w:after="0"/>
              <w:rPr>
                <w:sz w:val="11"/>
                <w:szCs w:val="11"/>
                <w:color w:val="auto"/>
              </w:rPr>
            </w:pPr>
          </w:p>
        </w:tc>
        <w:tc>
          <w:tcPr>
            <w:tcW w:w="880" w:type="dxa"/>
            <w:vAlign w:val="bottom"/>
            <w:shd w:val="clear" w:color="auto" w:fill="0336FF"/>
          </w:tcPr>
          <w:p>
            <w:pPr>
              <w:spacing w:after="0"/>
              <w:rPr>
                <w:sz w:val="11"/>
                <w:szCs w:val="11"/>
                <w:color w:val="auto"/>
              </w:rPr>
            </w:pPr>
          </w:p>
        </w:tc>
        <w:tc>
          <w:tcPr>
            <w:tcW w:w="1620" w:type="dxa"/>
            <w:vAlign w:val="bottom"/>
            <w:gridSpan w:val="3"/>
            <w:shd w:val="clear" w:color="auto" w:fill="0336FF"/>
          </w:tcPr>
          <w:p>
            <w:pPr>
              <w:jc w:val="center"/>
              <w:ind w:right="142"/>
              <w:spacing w:after="0"/>
              <w:rPr>
                <w:sz w:val="20"/>
                <w:szCs w:val="20"/>
                <w:color w:val="auto"/>
              </w:rPr>
            </w:pPr>
            <w:r>
              <w:rPr>
                <w:rFonts w:ascii="Arial" w:cs="Arial" w:eastAsia="Arial" w:hAnsi="Arial"/>
                <w:sz w:val="11"/>
                <w:szCs w:val="11"/>
                <w:b w:val="1"/>
                <w:bCs w:val="1"/>
                <w:color w:val="FFFFFF"/>
                <w:w w:val="95"/>
              </w:rPr>
              <w:t>Return</w:t>
            </w:r>
          </w:p>
        </w:tc>
        <w:tc>
          <w:tcPr>
            <w:tcW w:w="700" w:type="dxa"/>
            <w:vAlign w:val="bottom"/>
            <w:shd w:val="clear" w:color="auto" w:fill="0336FF"/>
          </w:tcPr>
          <w:p>
            <w:pPr>
              <w:spacing w:after="0"/>
              <w:rPr>
                <w:sz w:val="11"/>
                <w:szCs w:val="11"/>
                <w:color w:val="auto"/>
              </w:rPr>
            </w:pPr>
          </w:p>
        </w:tc>
        <w:tc>
          <w:tcPr>
            <w:tcW w:w="640" w:type="dxa"/>
            <w:vAlign w:val="bottom"/>
            <w:shd w:val="clear" w:color="auto" w:fill="0336FF"/>
          </w:tcPr>
          <w:p>
            <w:pPr>
              <w:spacing w:after="0"/>
              <w:rPr>
                <w:sz w:val="11"/>
                <w:szCs w:val="11"/>
                <w:color w:val="auto"/>
              </w:rPr>
            </w:pPr>
          </w:p>
        </w:tc>
        <w:tc>
          <w:tcPr>
            <w:tcW w:w="1040" w:type="dxa"/>
            <w:vAlign w:val="bottom"/>
            <w:shd w:val="clear" w:color="auto" w:fill="0336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20" w:type="dxa"/>
            <w:vAlign w:val="bottom"/>
            <w:tcBorders>
              <w:left w:val="single" w:sz="8" w:color="auto"/>
            </w:tcBorders>
            <w:shd w:val="clear" w:color="auto" w:fill="0336FF"/>
          </w:tcPr>
          <w:p>
            <w:pPr>
              <w:spacing w:after="0"/>
              <w:rPr>
                <w:sz w:val="14"/>
                <w:szCs w:val="14"/>
                <w:color w:val="auto"/>
              </w:rPr>
            </w:pPr>
          </w:p>
        </w:tc>
        <w:tc>
          <w:tcPr>
            <w:tcW w:w="1020" w:type="dxa"/>
            <w:vAlign w:val="bottom"/>
            <w:shd w:val="clear" w:color="auto" w:fill="0336FF"/>
          </w:tcPr>
          <w:p>
            <w:pPr>
              <w:spacing w:after="0"/>
              <w:rPr>
                <w:sz w:val="14"/>
                <w:szCs w:val="14"/>
                <w:color w:val="auto"/>
              </w:rPr>
            </w:pPr>
          </w:p>
        </w:tc>
        <w:tc>
          <w:tcPr>
            <w:tcW w:w="980" w:type="dxa"/>
            <w:vAlign w:val="bottom"/>
            <w:shd w:val="clear" w:color="auto" w:fill="0336FF"/>
          </w:tcPr>
          <w:p>
            <w:pPr>
              <w:spacing w:after="0"/>
              <w:rPr>
                <w:sz w:val="14"/>
                <w:szCs w:val="14"/>
                <w:color w:val="auto"/>
              </w:rPr>
            </w:pPr>
          </w:p>
        </w:tc>
        <w:tc>
          <w:tcPr>
            <w:tcW w:w="940" w:type="dxa"/>
            <w:vAlign w:val="bottom"/>
            <w:shd w:val="clear" w:color="auto" w:fill="0336FF"/>
          </w:tcPr>
          <w:p>
            <w:pPr>
              <w:spacing w:after="0"/>
              <w:rPr>
                <w:sz w:val="14"/>
                <w:szCs w:val="14"/>
                <w:color w:val="auto"/>
              </w:rPr>
            </w:pPr>
          </w:p>
        </w:tc>
        <w:tc>
          <w:tcPr>
            <w:tcW w:w="980" w:type="dxa"/>
            <w:vAlign w:val="bottom"/>
            <w:shd w:val="clear" w:color="auto" w:fill="0336FF"/>
          </w:tcPr>
          <w:p>
            <w:pPr>
              <w:spacing w:after="0"/>
              <w:rPr>
                <w:sz w:val="14"/>
                <w:szCs w:val="14"/>
                <w:color w:val="auto"/>
              </w:rPr>
            </w:pPr>
          </w:p>
        </w:tc>
        <w:tc>
          <w:tcPr>
            <w:tcW w:w="980" w:type="dxa"/>
            <w:vAlign w:val="bottom"/>
            <w:shd w:val="clear" w:color="auto" w:fill="0336FF"/>
          </w:tcPr>
          <w:p>
            <w:pPr>
              <w:spacing w:after="0"/>
              <w:rPr>
                <w:sz w:val="14"/>
                <w:szCs w:val="14"/>
                <w:color w:val="auto"/>
              </w:rPr>
            </w:pPr>
          </w:p>
        </w:tc>
        <w:tc>
          <w:tcPr>
            <w:tcW w:w="940" w:type="dxa"/>
            <w:vAlign w:val="bottom"/>
            <w:shd w:val="clear" w:color="auto" w:fill="0336FF"/>
          </w:tcPr>
          <w:p>
            <w:pPr>
              <w:spacing w:after="0"/>
              <w:rPr>
                <w:sz w:val="14"/>
                <w:szCs w:val="14"/>
                <w:color w:val="auto"/>
              </w:rPr>
            </w:pPr>
          </w:p>
        </w:tc>
        <w:tc>
          <w:tcPr>
            <w:tcW w:w="880" w:type="dxa"/>
            <w:vAlign w:val="bottom"/>
            <w:shd w:val="clear" w:color="auto" w:fill="0336FF"/>
          </w:tcPr>
          <w:p>
            <w:pPr>
              <w:spacing w:after="0"/>
              <w:rPr>
                <w:sz w:val="14"/>
                <w:szCs w:val="14"/>
                <w:color w:val="auto"/>
              </w:rPr>
            </w:pPr>
          </w:p>
        </w:tc>
        <w:tc>
          <w:tcPr>
            <w:tcW w:w="840" w:type="dxa"/>
            <w:vAlign w:val="bottom"/>
            <w:gridSpan w:val="2"/>
            <w:shd w:val="clear" w:color="auto" w:fill="0336FF"/>
          </w:tcPr>
          <w:p>
            <w:pPr>
              <w:jc w:val="center"/>
              <w:ind w:left="523"/>
              <w:spacing w:after="0"/>
              <w:rPr>
                <w:sz w:val="20"/>
                <w:szCs w:val="20"/>
                <w:color w:val="auto"/>
              </w:rPr>
            </w:pPr>
            <w:r>
              <w:rPr>
                <w:rFonts w:ascii="Arial" w:cs="Arial" w:eastAsia="Arial" w:hAnsi="Arial"/>
                <w:sz w:val="11"/>
                <w:szCs w:val="11"/>
                <w:b w:val="1"/>
                <w:bCs w:val="1"/>
                <w:color w:val="FFFFFF"/>
                <w:w w:val="86"/>
              </w:rPr>
              <w:t>(g)</w:t>
            </w:r>
            <w:r>
              <w:rPr>
                <w:rFonts w:ascii="Arial" w:cs="Arial" w:eastAsia="Arial" w:hAnsi="Arial"/>
                <w:sz w:val="14"/>
                <w:szCs w:val="14"/>
                <w:b w:val="1"/>
                <w:bCs w:val="1"/>
                <w:color w:val="FFFFFF"/>
                <w:w w:val="86"/>
                <w:vertAlign w:val="superscript"/>
              </w:rPr>
              <w:t>(4)</w:t>
            </w:r>
          </w:p>
        </w:tc>
        <w:tc>
          <w:tcPr>
            <w:tcW w:w="780" w:type="dxa"/>
            <w:vAlign w:val="bottom"/>
            <w:shd w:val="clear" w:color="auto" w:fill="0336FF"/>
          </w:tcPr>
          <w:p>
            <w:pPr>
              <w:spacing w:after="0"/>
              <w:rPr>
                <w:sz w:val="14"/>
                <w:szCs w:val="14"/>
                <w:color w:val="auto"/>
              </w:rPr>
            </w:pPr>
          </w:p>
        </w:tc>
        <w:tc>
          <w:tcPr>
            <w:tcW w:w="700" w:type="dxa"/>
            <w:vAlign w:val="bottom"/>
            <w:shd w:val="clear" w:color="auto" w:fill="0336FF"/>
          </w:tcPr>
          <w:p>
            <w:pPr>
              <w:spacing w:after="0"/>
              <w:rPr>
                <w:sz w:val="14"/>
                <w:szCs w:val="14"/>
                <w:color w:val="auto"/>
              </w:rPr>
            </w:pPr>
          </w:p>
        </w:tc>
        <w:tc>
          <w:tcPr>
            <w:tcW w:w="640" w:type="dxa"/>
            <w:vAlign w:val="bottom"/>
            <w:shd w:val="clear" w:color="auto" w:fill="0336FF"/>
          </w:tcPr>
          <w:p>
            <w:pPr>
              <w:spacing w:after="0"/>
              <w:rPr>
                <w:sz w:val="14"/>
                <w:szCs w:val="14"/>
                <w:color w:val="auto"/>
              </w:rPr>
            </w:pPr>
          </w:p>
        </w:tc>
        <w:tc>
          <w:tcPr>
            <w:tcW w:w="1040" w:type="dxa"/>
            <w:vAlign w:val="bottom"/>
            <w:shd w:val="clear" w:color="auto" w:fill="0336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Borders>
              <w:left w:val="single" w:sz="8" w:color="auto"/>
            </w:tcBorders>
            <w:shd w:val="clear" w:color="auto" w:fill="0336FF"/>
          </w:tcPr>
          <w:p>
            <w:pPr>
              <w:spacing w:after="0"/>
              <w:rPr>
                <w:sz w:val="14"/>
                <w:szCs w:val="14"/>
                <w:color w:val="auto"/>
              </w:rPr>
            </w:pPr>
          </w:p>
        </w:tc>
        <w:tc>
          <w:tcPr>
            <w:tcW w:w="1020" w:type="dxa"/>
            <w:vAlign w:val="bottom"/>
            <w:shd w:val="clear" w:color="auto" w:fill="0336FF"/>
          </w:tcPr>
          <w:p>
            <w:pPr>
              <w:spacing w:after="0"/>
              <w:rPr>
                <w:sz w:val="14"/>
                <w:szCs w:val="14"/>
                <w:color w:val="auto"/>
              </w:rPr>
            </w:pPr>
          </w:p>
        </w:tc>
        <w:tc>
          <w:tcPr>
            <w:tcW w:w="980" w:type="dxa"/>
            <w:vAlign w:val="bottom"/>
            <w:shd w:val="clear" w:color="auto" w:fill="0336FF"/>
          </w:tcPr>
          <w:p>
            <w:pPr>
              <w:spacing w:after="0"/>
              <w:rPr>
                <w:sz w:val="14"/>
                <w:szCs w:val="14"/>
                <w:color w:val="auto"/>
              </w:rPr>
            </w:pPr>
          </w:p>
        </w:tc>
        <w:tc>
          <w:tcPr>
            <w:tcW w:w="940" w:type="dxa"/>
            <w:vAlign w:val="bottom"/>
            <w:shd w:val="clear" w:color="auto" w:fill="0336FF"/>
          </w:tcPr>
          <w:p>
            <w:pPr>
              <w:jc w:val="right"/>
              <w:ind w:right="22"/>
              <w:spacing w:after="0"/>
              <w:rPr>
                <w:sz w:val="20"/>
                <w:szCs w:val="20"/>
                <w:color w:val="auto"/>
              </w:rPr>
            </w:pPr>
            <w:r>
              <w:rPr>
                <w:rFonts w:ascii="Arial" w:cs="Arial" w:eastAsia="Arial" w:hAnsi="Arial"/>
                <w:sz w:val="11"/>
                <w:szCs w:val="11"/>
                <w:b w:val="1"/>
                <w:bCs w:val="1"/>
                <w:color w:val="FFFFFF"/>
              </w:rPr>
              <w:t>Summary</w:t>
            </w:r>
          </w:p>
        </w:tc>
        <w:tc>
          <w:tcPr>
            <w:tcW w:w="980" w:type="dxa"/>
            <w:vAlign w:val="bottom"/>
            <w:shd w:val="clear" w:color="auto" w:fill="0336FF"/>
          </w:tcPr>
          <w:p>
            <w:pPr>
              <w:spacing w:after="0"/>
              <w:rPr>
                <w:sz w:val="14"/>
                <w:szCs w:val="14"/>
                <w:color w:val="auto"/>
              </w:rPr>
            </w:pPr>
          </w:p>
        </w:tc>
        <w:tc>
          <w:tcPr>
            <w:tcW w:w="980" w:type="dxa"/>
            <w:vAlign w:val="bottom"/>
            <w:shd w:val="clear" w:color="auto" w:fill="0336FF"/>
          </w:tcPr>
          <w:p>
            <w:pPr>
              <w:jc w:val="right"/>
              <w:ind w:right="62"/>
              <w:spacing w:after="0"/>
              <w:rPr>
                <w:sz w:val="20"/>
                <w:szCs w:val="20"/>
                <w:color w:val="auto"/>
              </w:rPr>
            </w:pPr>
            <w:r>
              <w:rPr>
                <w:rFonts w:ascii="Arial" w:cs="Arial" w:eastAsia="Arial" w:hAnsi="Arial"/>
                <w:sz w:val="11"/>
                <w:szCs w:val="11"/>
                <w:b w:val="1"/>
                <w:bCs w:val="1"/>
                <w:color w:val="FFFFFF"/>
              </w:rPr>
              <w:t>Average</w:t>
            </w:r>
          </w:p>
        </w:tc>
        <w:tc>
          <w:tcPr>
            <w:tcW w:w="940" w:type="dxa"/>
            <w:vAlign w:val="bottom"/>
            <w:shd w:val="clear" w:color="auto" w:fill="0336FF"/>
          </w:tcPr>
          <w:p>
            <w:pPr>
              <w:spacing w:after="0"/>
              <w:rPr>
                <w:sz w:val="14"/>
                <w:szCs w:val="14"/>
                <w:color w:val="auto"/>
              </w:rPr>
            </w:pPr>
          </w:p>
        </w:tc>
        <w:tc>
          <w:tcPr>
            <w:tcW w:w="880" w:type="dxa"/>
            <w:vAlign w:val="bottom"/>
            <w:shd w:val="clear" w:color="auto" w:fill="0336FF"/>
          </w:tcPr>
          <w:p>
            <w:pPr>
              <w:spacing w:after="0"/>
              <w:rPr>
                <w:sz w:val="14"/>
                <w:szCs w:val="14"/>
                <w:color w:val="auto"/>
              </w:rPr>
            </w:pPr>
          </w:p>
        </w:tc>
        <w:tc>
          <w:tcPr>
            <w:tcW w:w="720" w:type="dxa"/>
            <w:vAlign w:val="bottom"/>
            <w:shd w:val="clear" w:color="auto" w:fill="0336FF"/>
          </w:tcPr>
          <w:p>
            <w:pPr>
              <w:spacing w:after="0"/>
              <w:rPr>
                <w:sz w:val="14"/>
                <w:szCs w:val="14"/>
                <w:color w:val="auto"/>
              </w:rPr>
            </w:pPr>
          </w:p>
        </w:tc>
        <w:tc>
          <w:tcPr>
            <w:tcW w:w="120" w:type="dxa"/>
            <w:vAlign w:val="bottom"/>
            <w:shd w:val="clear" w:color="auto" w:fill="0336FF"/>
          </w:tcPr>
          <w:p>
            <w:pPr>
              <w:spacing w:after="0"/>
              <w:rPr>
                <w:sz w:val="14"/>
                <w:szCs w:val="14"/>
                <w:color w:val="auto"/>
              </w:rPr>
            </w:pPr>
          </w:p>
        </w:tc>
        <w:tc>
          <w:tcPr>
            <w:tcW w:w="780" w:type="dxa"/>
            <w:vAlign w:val="bottom"/>
            <w:shd w:val="clear" w:color="auto" w:fill="0336FF"/>
          </w:tcPr>
          <w:p>
            <w:pPr>
              <w:spacing w:after="0"/>
              <w:rPr>
                <w:sz w:val="14"/>
                <w:szCs w:val="14"/>
                <w:color w:val="auto"/>
              </w:rPr>
            </w:pPr>
          </w:p>
        </w:tc>
        <w:tc>
          <w:tcPr>
            <w:tcW w:w="700" w:type="dxa"/>
            <w:vAlign w:val="bottom"/>
            <w:shd w:val="clear" w:color="auto" w:fill="0336FF"/>
          </w:tcPr>
          <w:p>
            <w:pPr>
              <w:spacing w:after="0"/>
              <w:rPr>
                <w:sz w:val="14"/>
                <w:szCs w:val="14"/>
                <w:color w:val="auto"/>
              </w:rPr>
            </w:pPr>
          </w:p>
        </w:tc>
        <w:tc>
          <w:tcPr>
            <w:tcW w:w="640" w:type="dxa"/>
            <w:vAlign w:val="bottom"/>
            <w:shd w:val="clear" w:color="auto" w:fill="0336FF"/>
          </w:tcPr>
          <w:p>
            <w:pPr>
              <w:spacing w:after="0"/>
              <w:rPr>
                <w:sz w:val="14"/>
                <w:szCs w:val="14"/>
                <w:color w:val="auto"/>
              </w:rPr>
            </w:pPr>
          </w:p>
        </w:tc>
        <w:tc>
          <w:tcPr>
            <w:tcW w:w="1040" w:type="dxa"/>
            <w:vAlign w:val="bottom"/>
            <w:shd w:val="clear" w:color="auto" w:fill="0336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20" w:type="dxa"/>
            <w:vAlign w:val="bottom"/>
            <w:tcBorders>
              <w:left w:val="single" w:sz="8" w:color="auto"/>
            </w:tcBorders>
            <w:shd w:val="clear" w:color="auto" w:fill="0336FF"/>
          </w:tcPr>
          <w:p>
            <w:pPr>
              <w:spacing w:after="0"/>
              <w:rPr>
                <w:sz w:val="10"/>
                <w:szCs w:val="10"/>
                <w:color w:val="auto"/>
              </w:rPr>
            </w:pPr>
          </w:p>
        </w:tc>
        <w:tc>
          <w:tcPr>
            <w:tcW w:w="1020" w:type="dxa"/>
            <w:vAlign w:val="bottom"/>
            <w:shd w:val="clear" w:color="auto" w:fill="0336FF"/>
          </w:tcPr>
          <w:p>
            <w:pPr>
              <w:jc w:val="right"/>
              <w:ind w:right="22"/>
              <w:spacing w:after="0" w:line="122" w:lineRule="exact"/>
              <w:rPr>
                <w:sz w:val="20"/>
                <w:szCs w:val="20"/>
                <w:color w:val="auto"/>
              </w:rPr>
            </w:pPr>
            <w:r>
              <w:rPr>
                <w:rFonts w:ascii="Arial" w:cs="Arial" w:eastAsia="Arial" w:hAnsi="Arial"/>
                <w:sz w:val="11"/>
                <w:szCs w:val="11"/>
                <w:b w:val="1"/>
                <w:bCs w:val="1"/>
                <w:color w:val="FFFFFF"/>
              </w:rPr>
              <w:t>Summary</w:t>
            </w:r>
          </w:p>
        </w:tc>
        <w:tc>
          <w:tcPr>
            <w:tcW w:w="980" w:type="dxa"/>
            <w:vAlign w:val="bottom"/>
            <w:shd w:val="clear" w:color="auto" w:fill="0336FF"/>
          </w:tcPr>
          <w:p>
            <w:pPr>
              <w:spacing w:after="0"/>
              <w:rPr>
                <w:sz w:val="10"/>
                <w:szCs w:val="10"/>
                <w:color w:val="auto"/>
              </w:rPr>
            </w:pPr>
          </w:p>
        </w:tc>
        <w:tc>
          <w:tcPr>
            <w:tcW w:w="940" w:type="dxa"/>
            <w:vAlign w:val="bottom"/>
            <w:shd w:val="clear" w:color="auto" w:fill="0336FF"/>
          </w:tcPr>
          <w:p>
            <w:pPr>
              <w:jc w:val="right"/>
              <w:ind w:right="22"/>
              <w:spacing w:after="0" w:line="122" w:lineRule="exact"/>
              <w:rPr>
                <w:sz w:val="20"/>
                <w:szCs w:val="20"/>
                <w:color w:val="auto"/>
              </w:rPr>
            </w:pPr>
            <w:r>
              <w:rPr>
                <w:rFonts w:ascii="Arial" w:cs="Arial" w:eastAsia="Arial" w:hAnsi="Arial"/>
                <w:sz w:val="11"/>
                <w:szCs w:val="11"/>
                <w:b w:val="1"/>
                <w:bCs w:val="1"/>
                <w:color w:val="FFFFFF"/>
              </w:rPr>
              <w:t>Compensation</w:t>
            </w:r>
          </w:p>
        </w:tc>
        <w:tc>
          <w:tcPr>
            <w:tcW w:w="980" w:type="dxa"/>
            <w:vAlign w:val="bottom"/>
            <w:shd w:val="clear" w:color="auto" w:fill="0336FF"/>
          </w:tcPr>
          <w:p>
            <w:pPr>
              <w:spacing w:after="0"/>
              <w:rPr>
                <w:sz w:val="10"/>
                <w:szCs w:val="10"/>
                <w:color w:val="auto"/>
              </w:rPr>
            </w:pPr>
          </w:p>
        </w:tc>
        <w:tc>
          <w:tcPr>
            <w:tcW w:w="980" w:type="dxa"/>
            <w:vAlign w:val="bottom"/>
            <w:shd w:val="clear" w:color="auto" w:fill="0336FF"/>
          </w:tcPr>
          <w:p>
            <w:pPr>
              <w:jc w:val="right"/>
              <w:ind w:right="62"/>
              <w:spacing w:after="0" w:line="122" w:lineRule="exact"/>
              <w:rPr>
                <w:sz w:val="20"/>
                <w:szCs w:val="20"/>
                <w:color w:val="auto"/>
              </w:rPr>
            </w:pPr>
            <w:r>
              <w:rPr>
                <w:rFonts w:ascii="Arial" w:cs="Arial" w:eastAsia="Arial" w:hAnsi="Arial"/>
                <w:sz w:val="11"/>
                <w:szCs w:val="11"/>
                <w:b w:val="1"/>
                <w:bCs w:val="1"/>
                <w:color w:val="FFFFFF"/>
              </w:rPr>
              <w:t>Summary</w:t>
            </w:r>
          </w:p>
        </w:tc>
        <w:tc>
          <w:tcPr>
            <w:tcW w:w="940" w:type="dxa"/>
            <w:vAlign w:val="bottom"/>
            <w:shd w:val="clear" w:color="auto" w:fill="0336FF"/>
          </w:tcPr>
          <w:p>
            <w:pPr>
              <w:jc w:val="right"/>
              <w:spacing w:after="0" w:line="122" w:lineRule="exact"/>
              <w:rPr>
                <w:sz w:val="20"/>
                <w:szCs w:val="20"/>
                <w:color w:val="auto"/>
              </w:rPr>
            </w:pPr>
            <w:r>
              <w:rPr>
                <w:rFonts w:ascii="Arial" w:cs="Arial" w:eastAsia="Arial" w:hAnsi="Arial"/>
                <w:sz w:val="11"/>
                <w:szCs w:val="11"/>
                <w:b w:val="1"/>
                <w:bCs w:val="1"/>
                <w:color w:val="FFFFFF"/>
              </w:rPr>
              <w:t>Average</w:t>
            </w:r>
          </w:p>
        </w:tc>
        <w:tc>
          <w:tcPr>
            <w:tcW w:w="880" w:type="dxa"/>
            <w:vAlign w:val="bottom"/>
            <w:shd w:val="clear" w:color="auto" w:fill="0336FF"/>
          </w:tcPr>
          <w:p>
            <w:pPr>
              <w:spacing w:after="0"/>
              <w:rPr>
                <w:sz w:val="10"/>
                <w:szCs w:val="10"/>
                <w:color w:val="auto"/>
              </w:rPr>
            </w:pPr>
          </w:p>
        </w:tc>
        <w:tc>
          <w:tcPr>
            <w:tcW w:w="720" w:type="dxa"/>
            <w:vAlign w:val="bottom"/>
            <w:shd w:val="clear" w:color="auto" w:fill="0336FF"/>
          </w:tcPr>
          <w:p>
            <w:pPr>
              <w:spacing w:after="0"/>
              <w:rPr>
                <w:sz w:val="10"/>
                <w:szCs w:val="10"/>
                <w:color w:val="auto"/>
              </w:rPr>
            </w:pPr>
          </w:p>
        </w:tc>
        <w:tc>
          <w:tcPr>
            <w:tcW w:w="120" w:type="dxa"/>
            <w:vAlign w:val="bottom"/>
            <w:shd w:val="clear" w:color="auto" w:fill="0336FF"/>
          </w:tcPr>
          <w:p>
            <w:pPr>
              <w:spacing w:after="0"/>
              <w:rPr>
                <w:sz w:val="10"/>
                <w:szCs w:val="10"/>
                <w:color w:val="auto"/>
              </w:rPr>
            </w:pPr>
          </w:p>
        </w:tc>
        <w:tc>
          <w:tcPr>
            <w:tcW w:w="780" w:type="dxa"/>
            <w:vAlign w:val="bottom"/>
            <w:shd w:val="clear" w:color="auto" w:fill="0336FF"/>
          </w:tcPr>
          <w:p>
            <w:pPr>
              <w:jc w:val="right"/>
              <w:ind w:right="142"/>
              <w:spacing w:after="0" w:line="122" w:lineRule="exact"/>
              <w:rPr>
                <w:sz w:val="20"/>
                <w:szCs w:val="20"/>
                <w:color w:val="auto"/>
              </w:rPr>
            </w:pPr>
            <w:r>
              <w:rPr>
                <w:rFonts w:ascii="Arial" w:cs="Arial" w:eastAsia="Arial" w:hAnsi="Arial"/>
                <w:sz w:val="11"/>
                <w:szCs w:val="11"/>
                <w:b w:val="1"/>
                <w:bCs w:val="1"/>
                <w:color w:val="FFFFFF"/>
              </w:rPr>
              <w:t>Nasdaq</w:t>
            </w:r>
          </w:p>
        </w:tc>
        <w:tc>
          <w:tcPr>
            <w:tcW w:w="700" w:type="dxa"/>
            <w:vAlign w:val="bottom"/>
            <w:shd w:val="clear" w:color="auto" w:fill="0336FF"/>
          </w:tcPr>
          <w:p>
            <w:pPr>
              <w:spacing w:after="0"/>
              <w:rPr>
                <w:sz w:val="10"/>
                <w:szCs w:val="10"/>
                <w:color w:val="auto"/>
              </w:rPr>
            </w:pPr>
          </w:p>
        </w:tc>
        <w:tc>
          <w:tcPr>
            <w:tcW w:w="640" w:type="dxa"/>
            <w:vAlign w:val="bottom"/>
            <w:shd w:val="clear" w:color="auto" w:fill="0336FF"/>
          </w:tcPr>
          <w:p>
            <w:pPr>
              <w:spacing w:after="0"/>
              <w:rPr>
                <w:sz w:val="10"/>
                <w:szCs w:val="10"/>
                <w:color w:val="auto"/>
              </w:rPr>
            </w:pPr>
          </w:p>
        </w:tc>
        <w:tc>
          <w:tcPr>
            <w:tcW w:w="1040" w:type="dxa"/>
            <w:vAlign w:val="bottom"/>
            <w:shd w:val="clear" w:color="auto" w:fill="0336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20" w:type="dxa"/>
            <w:vAlign w:val="bottom"/>
            <w:tcBorders>
              <w:left w:val="single" w:sz="8" w:color="auto"/>
            </w:tcBorders>
            <w:shd w:val="clear" w:color="auto" w:fill="0336FF"/>
          </w:tcPr>
          <w:p>
            <w:pPr>
              <w:spacing w:after="0"/>
              <w:rPr>
                <w:sz w:val="11"/>
                <w:szCs w:val="11"/>
                <w:color w:val="auto"/>
              </w:rPr>
            </w:pPr>
          </w:p>
        </w:tc>
        <w:tc>
          <w:tcPr>
            <w:tcW w:w="1020" w:type="dxa"/>
            <w:vAlign w:val="bottom"/>
            <w:shd w:val="clear" w:color="auto" w:fill="0336FF"/>
          </w:tcPr>
          <w:p>
            <w:pPr>
              <w:jc w:val="right"/>
              <w:ind w:right="22"/>
              <w:spacing w:after="0"/>
              <w:rPr>
                <w:sz w:val="20"/>
                <w:szCs w:val="20"/>
                <w:color w:val="auto"/>
              </w:rPr>
            </w:pPr>
            <w:r>
              <w:rPr>
                <w:rFonts w:ascii="Arial" w:cs="Arial" w:eastAsia="Arial" w:hAnsi="Arial"/>
                <w:sz w:val="11"/>
                <w:szCs w:val="11"/>
                <w:b w:val="1"/>
                <w:bCs w:val="1"/>
                <w:color w:val="FFFFFF"/>
              </w:rPr>
              <w:t>Compensation</w:t>
            </w:r>
          </w:p>
        </w:tc>
        <w:tc>
          <w:tcPr>
            <w:tcW w:w="980" w:type="dxa"/>
            <w:vAlign w:val="bottom"/>
            <w:shd w:val="clear" w:color="auto" w:fill="0336FF"/>
          </w:tcPr>
          <w:p>
            <w:pPr>
              <w:jc w:val="right"/>
              <w:ind w:right="44"/>
              <w:spacing w:after="0"/>
              <w:rPr>
                <w:sz w:val="20"/>
                <w:szCs w:val="20"/>
                <w:color w:val="auto"/>
              </w:rPr>
            </w:pPr>
            <w:r>
              <w:rPr>
                <w:rFonts w:ascii="Arial" w:cs="Arial" w:eastAsia="Arial" w:hAnsi="Arial"/>
                <w:sz w:val="11"/>
                <w:szCs w:val="11"/>
                <w:b w:val="1"/>
                <w:bCs w:val="1"/>
                <w:color w:val="FFFFFF"/>
              </w:rPr>
              <w:t>Compensation</w:t>
            </w:r>
          </w:p>
        </w:tc>
        <w:tc>
          <w:tcPr>
            <w:tcW w:w="940" w:type="dxa"/>
            <w:vAlign w:val="bottom"/>
            <w:shd w:val="clear" w:color="auto" w:fill="0336FF"/>
          </w:tcPr>
          <w:p>
            <w:pPr>
              <w:jc w:val="right"/>
              <w:ind w:right="62"/>
              <w:spacing w:after="0"/>
              <w:rPr>
                <w:sz w:val="20"/>
                <w:szCs w:val="20"/>
                <w:color w:val="auto"/>
              </w:rPr>
            </w:pPr>
            <w:r>
              <w:rPr>
                <w:rFonts w:ascii="Arial" w:cs="Arial" w:eastAsia="Arial" w:hAnsi="Arial"/>
                <w:sz w:val="11"/>
                <w:szCs w:val="11"/>
                <w:b w:val="1"/>
                <w:bCs w:val="1"/>
                <w:color w:val="FFFFFF"/>
              </w:rPr>
              <w:t>Table Total</w:t>
            </w:r>
          </w:p>
        </w:tc>
        <w:tc>
          <w:tcPr>
            <w:tcW w:w="980" w:type="dxa"/>
            <w:vAlign w:val="bottom"/>
            <w:shd w:val="clear" w:color="auto" w:fill="0336FF"/>
          </w:tcPr>
          <w:p>
            <w:pPr>
              <w:jc w:val="right"/>
              <w:ind w:right="45"/>
              <w:spacing w:after="0"/>
              <w:rPr>
                <w:sz w:val="20"/>
                <w:szCs w:val="20"/>
                <w:color w:val="auto"/>
              </w:rPr>
            </w:pPr>
            <w:r>
              <w:rPr>
                <w:rFonts w:ascii="Arial" w:cs="Arial" w:eastAsia="Arial" w:hAnsi="Arial"/>
                <w:sz w:val="11"/>
                <w:szCs w:val="11"/>
                <w:b w:val="1"/>
                <w:bCs w:val="1"/>
                <w:color w:val="FFFFFF"/>
              </w:rPr>
              <w:t>Compensation</w:t>
            </w:r>
          </w:p>
        </w:tc>
        <w:tc>
          <w:tcPr>
            <w:tcW w:w="980" w:type="dxa"/>
            <w:vAlign w:val="bottom"/>
            <w:shd w:val="clear" w:color="auto" w:fill="0336FF"/>
          </w:tcPr>
          <w:p>
            <w:pPr>
              <w:jc w:val="right"/>
              <w:ind w:right="62"/>
              <w:spacing w:after="0"/>
              <w:rPr>
                <w:sz w:val="20"/>
                <w:szCs w:val="20"/>
                <w:color w:val="auto"/>
              </w:rPr>
            </w:pPr>
            <w:r>
              <w:rPr>
                <w:rFonts w:ascii="Arial" w:cs="Arial" w:eastAsia="Arial" w:hAnsi="Arial"/>
                <w:sz w:val="11"/>
                <w:szCs w:val="11"/>
                <w:b w:val="1"/>
                <w:bCs w:val="1"/>
                <w:color w:val="FFFFFF"/>
              </w:rPr>
              <w:t>Compensation</w:t>
            </w:r>
          </w:p>
        </w:tc>
        <w:tc>
          <w:tcPr>
            <w:tcW w:w="940" w:type="dxa"/>
            <w:vAlign w:val="bottom"/>
            <w:shd w:val="clear" w:color="auto" w:fill="0336FF"/>
          </w:tcPr>
          <w:p>
            <w:pPr>
              <w:jc w:val="right"/>
              <w:spacing w:after="0"/>
              <w:rPr>
                <w:sz w:val="20"/>
                <w:szCs w:val="20"/>
                <w:color w:val="auto"/>
              </w:rPr>
            </w:pPr>
            <w:r>
              <w:rPr>
                <w:rFonts w:ascii="Arial" w:cs="Arial" w:eastAsia="Arial" w:hAnsi="Arial"/>
                <w:sz w:val="11"/>
                <w:szCs w:val="11"/>
                <w:b w:val="1"/>
                <w:bCs w:val="1"/>
                <w:color w:val="FFFFFF"/>
              </w:rPr>
              <w:t>Compensation</w:t>
            </w:r>
          </w:p>
        </w:tc>
        <w:tc>
          <w:tcPr>
            <w:tcW w:w="880" w:type="dxa"/>
            <w:vAlign w:val="bottom"/>
            <w:shd w:val="clear" w:color="auto" w:fill="0336FF"/>
          </w:tcPr>
          <w:p>
            <w:pPr>
              <w:ind w:left="600"/>
              <w:spacing w:after="0"/>
              <w:rPr>
                <w:sz w:val="20"/>
                <w:szCs w:val="20"/>
                <w:color w:val="auto"/>
              </w:rPr>
            </w:pPr>
            <w:r>
              <w:rPr>
                <w:rFonts w:ascii="Arial" w:cs="Arial" w:eastAsia="Arial" w:hAnsi="Arial"/>
                <w:sz w:val="11"/>
                <w:szCs w:val="11"/>
                <w:b w:val="1"/>
                <w:bCs w:val="1"/>
                <w:color w:val="FFFFFF"/>
                <w:w w:val="98"/>
              </w:rPr>
              <w:t>Total</w:t>
            </w:r>
          </w:p>
        </w:tc>
        <w:tc>
          <w:tcPr>
            <w:tcW w:w="720" w:type="dxa"/>
            <w:vAlign w:val="bottom"/>
            <w:shd w:val="clear" w:color="auto" w:fill="0336FF"/>
          </w:tcPr>
          <w:p>
            <w:pPr>
              <w:spacing w:after="0"/>
              <w:rPr>
                <w:sz w:val="11"/>
                <w:szCs w:val="11"/>
                <w:color w:val="auto"/>
              </w:rPr>
            </w:pPr>
          </w:p>
        </w:tc>
        <w:tc>
          <w:tcPr>
            <w:tcW w:w="120" w:type="dxa"/>
            <w:vAlign w:val="bottom"/>
            <w:shd w:val="clear" w:color="auto" w:fill="0336FF"/>
          </w:tcPr>
          <w:p>
            <w:pPr>
              <w:spacing w:after="0"/>
              <w:rPr>
                <w:sz w:val="11"/>
                <w:szCs w:val="11"/>
                <w:color w:val="auto"/>
              </w:rPr>
            </w:pPr>
          </w:p>
        </w:tc>
        <w:tc>
          <w:tcPr>
            <w:tcW w:w="780" w:type="dxa"/>
            <w:vAlign w:val="bottom"/>
            <w:shd w:val="clear" w:color="auto" w:fill="0336FF"/>
          </w:tcPr>
          <w:p>
            <w:pPr>
              <w:jc w:val="right"/>
              <w:ind w:right="182"/>
              <w:spacing w:after="0"/>
              <w:rPr>
                <w:sz w:val="20"/>
                <w:szCs w:val="20"/>
                <w:color w:val="auto"/>
              </w:rPr>
            </w:pPr>
            <w:r>
              <w:rPr>
                <w:rFonts w:ascii="Arial" w:cs="Arial" w:eastAsia="Arial" w:hAnsi="Arial"/>
                <w:sz w:val="11"/>
                <w:szCs w:val="11"/>
                <w:b w:val="1"/>
                <w:bCs w:val="1"/>
                <w:color w:val="FFFFFF"/>
              </w:rPr>
              <w:t>Computer</w:t>
            </w:r>
          </w:p>
        </w:tc>
        <w:tc>
          <w:tcPr>
            <w:tcW w:w="700" w:type="dxa"/>
            <w:vAlign w:val="bottom"/>
            <w:shd w:val="clear" w:color="auto" w:fill="0336FF"/>
          </w:tcPr>
          <w:p>
            <w:pPr>
              <w:spacing w:after="0"/>
              <w:rPr>
                <w:sz w:val="11"/>
                <w:szCs w:val="11"/>
                <w:color w:val="auto"/>
              </w:rPr>
            </w:pPr>
          </w:p>
        </w:tc>
        <w:tc>
          <w:tcPr>
            <w:tcW w:w="640" w:type="dxa"/>
            <w:vAlign w:val="bottom"/>
            <w:shd w:val="clear" w:color="auto" w:fill="0336FF"/>
          </w:tcPr>
          <w:p>
            <w:pPr>
              <w:spacing w:after="0"/>
              <w:rPr>
                <w:sz w:val="11"/>
                <w:szCs w:val="11"/>
                <w:color w:val="auto"/>
              </w:rPr>
            </w:pPr>
          </w:p>
        </w:tc>
        <w:tc>
          <w:tcPr>
            <w:tcW w:w="1040" w:type="dxa"/>
            <w:vAlign w:val="bottom"/>
            <w:shd w:val="clear" w:color="auto" w:fill="0336FF"/>
          </w:tcPr>
          <w:p>
            <w:pPr>
              <w:jc w:val="right"/>
              <w:ind w:right="65"/>
              <w:spacing w:after="0"/>
              <w:rPr>
                <w:sz w:val="20"/>
                <w:szCs w:val="20"/>
                <w:color w:val="auto"/>
              </w:rPr>
            </w:pPr>
            <w:r>
              <w:rPr>
                <w:rFonts w:ascii="Arial" w:cs="Arial" w:eastAsia="Arial" w:hAnsi="Arial"/>
                <w:sz w:val="11"/>
                <w:szCs w:val="11"/>
                <w:b w:val="1"/>
                <w:bCs w:val="1"/>
                <w:color w:val="FFFFFF"/>
              </w:rPr>
              <w:t>Supplemental</w:t>
            </w:r>
          </w:p>
        </w:tc>
        <w:tc>
          <w:tcPr>
            <w:tcW w:w="0" w:type="dxa"/>
            <w:vAlign w:val="bottom"/>
          </w:tcPr>
          <w:p>
            <w:pPr>
              <w:spacing w:after="0"/>
              <w:rPr>
                <w:sz w:val="1"/>
                <w:szCs w:val="1"/>
                <w:color w:val="auto"/>
              </w:rPr>
            </w:pPr>
          </w:p>
        </w:tc>
      </w:tr>
      <w:tr>
        <w:trPr>
          <w:trHeight w:val="135"/>
        </w:trPr>
        <w:tc>
          <w:tcPr>
            <w:tcW w:w="520" w:type="dxa"/>
            <w:vAlign w:val="bottom"/>
            <w:tcBorders>
              <w:left w:val="single" w:sz="8" w:color="auto"/>
            </w:tcBorders>
            <w:shd w:val="clear" w:color="auto" w:fill="0336FF"/>
          </w:tcPr>
          <w:p>
            <w:pPr>
              <w:spacing w:after="0"/>
              <w:rPr>
                <w:sz w:val="11"/>
                <w:szCs w:val="11"/>
                <w:color w:val="auto"/>
              </w:rPr>
            </w:pPr>
          </w:p>
        </w:tc>
        <w:tc>
          <w:tcPr>
            <w:tcW w:w="1020" w:type="dxa"/>
            <w:vAlign w:val="bottom"/>
            <w:shd w:val="clear" w:color="auto" w:fill="0336FF"/>
          </w:tcPr>
          <w:p>
            <w:pPr>
              <w:jc w:val="right"/>
              <w:ind w:right="22"/>
              <w:spacing w:after="0"/>
              <w:rPr>
                <w:sz w:val="20"/>
                <w:szCs w:val="20"/>
                <w:color w:val="auto"/>
              </w:rPr>
            </w:pPr>
            <w:r>
              <w:rPr>
                <w:rFonts w:ascii="Arial" w:cs="Arial" w:eastAsia="Arial" w:hAnsi="Arial"/>
                <w:sz w:val="11"/>
                <w:szCs w:val="11"/>
                <w:b w:val="1"/>
                <w:bCs w:val="1"/>
                <w:color w:val="FFFFFF"/>
              </w:rPr>
              <w:t>Table Total for</w:t>
            </w:r>
          </w:p>
        </w:tc>
        <w:tc>
          <w:tcPr>
            <w:tcW w:w="980" w:type="dxa"/>
            <w:vAlign w:val="bottom"/>
            <w:shd w:val="clear" w:color="auto" w:fill="0336FF"/>
          </w:tcPr>
          <w:p>
            <w:pPr>
              <w:jc w:val="right"/>
              <w:ind w:right="44"/>
              <w:spacing w:after="0"/>
              <w:rPr>
                <w:sz w:val="20"/>
                <w:szCs w:val="20"/>
                <w:color w:val="auto"/>
              </w:rPr>
            </w:pPr>
            <w:r>
              <w:rPr>
                <w:rFonts w:ascii="Arial" w:cs="Arial" w:eastAsia="Arial" w:hAnsi="Arial"/>
                <w:sz w:val="11"/>
                <w:szCs w:val="11"/>
                <w:b w:val="1"/>
                <w:bCs w:val="1"/>
                <w:color w:val="FFFFFF"/>
              </w:rPr>
              <w:t>Actually Paid to</w:t>
            </w:r>
          </w:p>
        </w:tc>
        <w:tc>
          <w:tcPr>
            <w:tcW w:w="940" w:type="dxa"/>
            <w:vAlign w:val="bottom"/>
            <w:shd w:val="clear" w:color="auto" w:fill="0336FF"/>
          </w:tcPr>
          <w:p>
            <w:pPr>
              <w:jc w:val="right"/>
              <w:ind w:right="22"/>
              <w:spacing w:after="0"/>
              <w:rPr>
                <w:sz w:val="20"/>
                <w:szCs w:val="20"/>
                <w:color w:val="auto"/>
              </w:rPr>
            </w:pPr>
            <w:r>
              <w:rPr>
                <w:rFonts w:ascii="Arial" w:cs="Arial" w:eastAsia="Arial" w:hAnsi="Arial"/>
                <w:sz w:val="11"/>
                <w:szCs w:val="11"/>
                <w:b w:val="1"/>
                <w:bCs w:val="1"/>
                <w:color w:val="FFFFFF"/>
              </w:rPr>
              <w:t>for Rowan</w:t>
            </w:r>
          </w:p>
        </w:tc>
        <w:tc>
          <w:tcPr>
            <w:tcW w:w="980" w:type="dxa"/>
            <w:vAlign w:val="bottom"/>
            <w:shd w:val="clear" w:color="auto" w:fill="0336FF"/>
          </w:tcPr>
          <w:p>
            <w:pPr>
              <w:jc w:val="right"/>
              <w:ind w:right="45"/>
              <w:spacing w:after="0"/>
              <w:rPr>
                <w:sz w:val="20"/>
                <w:szCs w:val="20"/>
                <w:color w:val="auto"/>
              </w:rPr>
            </w:pPr>
            <w:r>
              <w:rPr>
                <w:rFonts w:ascii="Arial" w:cs="Arial" w:eastAsia="Arial" w:hAnsi="Arial"/>
                <w:sz w:val="11"/>
                <w:szCs w:val="11"/>
                <w:b w:val="1"/>
                <w:bCs w:val="1"/>
                <w:color w:val="FFFFFF"/>
              </w:rPr>
              <w:t>Actually Paid to</w:t>
            </w:r>
          </w:p>
        </w:tc>
        <w:tc>
          <w:tcPr>
            <w:tcW w:w="980" w:type="dxa"/>
            <w:vAlign w:val="bottom"/>
            <w:shd w:val="clear" w:color="auto" w:fill="0336FF"/>
          </w:tcPr>
          <w:p>
            <w:pPr>
              <w:jc w:val="right"/>
              <w:ind w:right="62"/>
              <w:spacing w:after="0"/>
              <w:rPr>
                <w:sz w:val="20"/>
                <w:szCs w:val="20"/>
                <w:color w:val="auto"/>
              </w:rPr>
            </w:pPr>
            <w:r>
              <w:rPr>
                <w:rFonts w:ascii="Arial" w:cs="Arial" w:eastAsia="Arial" w:hAnsi="Arial"/>
                <w:sz w:val="11"/>
                <w:szCs w:val="11"/>
                <w:b w:val="1"/>
                <w:bCs w:val="1"/>
                <w:color w:val="FFFFFF"/>
              </w:rPr>
              <w:t>Table Total for</w:t>
            </w:r>
          </w:p>
        </w:tc>
        <w:tc>
          <w:tcPr>
            <w:tcW w:w="940" w:type="dxa"/>
            <w:vAlign w:val="bottom"/>
            <w:shd w:val="clear" w:color="auto" w:fill="0336FF"/>
          </w:tcPr>
          <w:p>
            <w:pPr>
              <w:jc w:val="right"/>
              <w:spacing w:after="0"/>
              <w:rPr>
                <w:sz w:val="20"/>
                <w:szCs w:val="20"/>
                <w:color w:val="auto"/>
              </w:rPr>
            </w:pPr>
            <w:r>
              <w:rPr>
                <w:rFonts w:ascii="Arial" w:cs="Arial" w:eastAsia="Arial" w:hAnsi="Arial"/>
                <w:sz w:val="11"/>
                <w:szCs w:val="11"/>
                <w:b w:val="1"/>
                <w:bCs w:val="1"/>
                <w:color w:val="FFFFFF"/>
              </w:rPr>
              <w:t>Actually Paid to</w:t>
            </w:r>
          </w:p>
        </w:tc>
        <w:tc>
          <w:tcPr>
            <w:tcW w:w="880" w:type="dxa"/>
            <w:vAlign w:val="bottom"/>
            <w:shd w:val="clear" w:color="auto" w:fill="0336FF"/>
          </w:tcPr>
          <w:p>
            <w:pPr>
              <w:jc w:val="right"/>
              <w:spacing w:after="0"/>
              <w:rPr>
                <w:sz w:val="20"/>
                <w:szCs w:val="20"/>
                <w:color w:val="auto"/>
              </w:rPr>
            </w:pPr>
            <w:r>
              <w:rPr>
                <w:rFonts w:ascii="Arial" w:cs="Arial" w:eastAsia="Arial" w:hAnsi="Arial"/>
                <w:sz w:val="11"/>
                <w:szCs w:val="11"/>
                <w:b w:val="1"/>
                <w:bCs w:val="1"/>
                <w:color w:val="FFFFFF"/>
              </w:rPr>
              <w:t>Shareholder</w:t>
            </w:r>
          </w:p>
        </w:tc>
        <w:tc>
          <w:tcPr>
            <w:tcW w:w="720" w:type="dxa"/>
            <w:vAlign w:val="bottom"/>
            <w:shd w:val="clear" w:color="auto" w:fill="0336FF"/>
          </w:tcPr>
          <w:p>
            <w:pPr>
              <w:jc w:val="right"/>
              <w:spacing w:after="0"/>
              <w:rPr>
                <w:sz w:val="20"/>
                <w:szCs w:val="20"/>
                <w:color w:val="auto"/>
              </w:rPr>
            </w:pPr>
            <w:r>
              <w:rPr>
                <w:rFonts w:ascii="Arial" w:cs="Arial" w:eastAsia="Arial" w:hAnsi="Arial"/>
                <w:sz w:val="11"/>
                <w:szCs w:val="11"/>
                <w:b w:val="1"/>
                <w:bCs w:val="1"/>
                <w:color w:val="FFFFFF"/>
              </w:rPr>
              <w:t>Nasdaq</w:t>
            </w:r>
          </w:p>
        </w:tc>
        <w:tc>
          <w:tcPr>
            <w:tcW w:w="120" w:type="dxa"/>
            <w:vAlign w:val="bottom"/>
            <w:shd w:val="clear" w:color="auto" w:fill="0336FF"/>
          </w:tcPr>
          <w:p>
            <w:pPr>
              <w:spacing w:after="0"/>
              <w:rPr>
                <w:sz w:val="11"/>
                <w:szCs w:val="11"/>
                <w:color w:val="auto"/>
              </w:rPr>
            </w:pPr>
          </w:p>
        </w:tc>
        <w:tc>
          <w:tcPr>
            <w:tcW w:w="780" w:type="dxa"/>
            <w:vAlign w:val="bottom"/>
            <w:shd w:val="clear" w:color="auto" w:fill="0336FF"/>
          </w:tcPr>
          <w:p>
            <w:pPr>
              <w:jc w:val="right"/>
              <w:ind w:right="142"/>
              <w:spacing w:after="0"/>
              <w:rPr>
                <w:sz w:val="20"/>
                <w:szCs w:val="20"/>
                <w:color w:val="auto"/>
              </w:rPr>
            </w:pPr>
            <w:r>
              <w:rPr>
                <w:rFonts w:ascii="Arial" w:cs="Arial" w:eastAsia="Arial" w:hAnsi="Arial"/>
                <w:sz w:val="11"/>
                <w:szCs w:val="11"/>
                <w:b w:val="1"/>
                <w:bCs w:val="1"/>
                <w:color w:val="FFFFFF"/>
              </w:rPr>
              <w:t>&amp; Data</w:t>
            </w:r>
          </w:p>
        </w:tc>
        <w:tc>
          <w:tcPr>
            <w:tcW w:w="700" w:type="dxa"/>
            <w:vAlign w:val="bottom"/>
            <w:shd w:val="clear" w:color="auto" w:fill="0336FF"/>
          </w:tcPr>
          <w:p>
            <w:pPr>
              <w:jc w:val="right"/>
              <w:spacing w:after="0"/>
              <w:rPr>
                <w:sz w:val="20"/>
                <w:szCs w:val="20"/>
                <w:color w:val="auto"/>
              </w:rPr>
            </w:pPr>
            <w:r>
              <w:rPr>
                <w:rFonts w:ascii="Arial" w:cs="Arial" w:eastAsia="Arial" w:hAnsi="Arial"/>
                <w:sz w:val="11"/>
                <w:szCs w:val="11"/>
                <w:b w:val="1"/>
                <w:bCs w:val="1"/>
                <w:color w:val="FFFFFF"/>
              </w:rPr>
              <w:t>Net</w:t>
            </w:r>
          </w:p>
        </w:tc>
        <w:tc>
          <w:tcPr>
            <w:tcW w:w="640" w:type="dxa"/>
            <w:vAlign w:val="bottom"/>
            <w:vMerge w:val="restart"/>
            <w:shd w:val="clear" w:color="auto" w:fill="0336FF"/>
          </w:tcPr>
          <w:p>
            <w:pPr>
              <w:jc w:val="right"/>
              <w:spacing w:after="0"/>
              <w:rPr>
                <w:sz w:val="20"/>
                <w:szCs w:val="20"/>
                <w:color w:val="auto"/>
              </w:rPr>
            </w:pPr>
            <w:r>
              <w:rPr>
                <w:rFonts w:ascii="Arial" w:cs="Arial" w:eastAsia="Arial" w:hAnsi="Arial"/>
                <w:sz w:val="11"/>
                <w:szCs w:val="11"/>
                <w:b w:val="1"/>
                <w:bCs w:val="1"/>
                <w:color w:val="FFFFFF"/>
              </w:rPr>
              <w:t>CSM</w:t>
            </w:r>
          </w:p>
        </w:tc>
        <w:tc>
          <w:tcPr>
            <w:tcW w:w="1040" w:type="dxa"/>
            <w:vAlign w:val="bottom"/>
            <w:shd w:val="clear" w:color="auto" w:fill="0336FF"/>
          </w:tcPr>
          <w:p>
            <w:pPr>
              <w:jc w:val="right"/>
              <w:ind w:right="65"/>
              <w:spacing w:after="0"/>
              <w:rPr>
                <w:sz w:val="20"/>
                <w:szCs w:val="20"/>
                <w:color w:val="auto"/>
              </w:rPr>
            </w:pPr>
            <w:r>
              <w:rPr>
                <w:rFonts w:ascii="Arial" w:cs="Arial" w:eastAsia="Arial" w:hAnsi="Arial"/>
                <w:sz w:val="11"/>
                <w:szCs w:val="11"/>
                <w:b w:val="1"/>
                <w:bCs w:val="1"/>
                <w:color w:val="FFFFFF"/>
              </w:rPr>
              <w:t>Measure</w:t>
            </w:r>
          </w:p>
        </w:tc>
        <w:tc>
          <w:tcPr>
            <w:tcW w:w="0" w:type="dxa"/>
            <w:vAlign w:val="bottom"/>
          </w:tcPr>
          <w:p>
            <w:pPr>
              <w:spacing w:after="0"/>
              <w:rPr>
                <w:sz w:val="1"/>
                <w:szCs w:val="1"/>
                <w:color w:val="auto"/>
              </w:rPr>
            </w:pPr>
          </w:p>
        </w:tc>
      </w:tr>
      <w:tr>
        <w:trPr>
          <w:trHeight w:val="54"/>
        </w:trPr>
        <w:tc>
          <w:tcPr>
            <w:tcW w:w="520" w:type="dxa"/>
            <w:vAlign w:val="bottom"/>
            <w:tcBorders>
              <w:left w:val="single" w:sz="8" w:color="auto"/>
            </w:tcBorders>
            <w:vMerge w:val="restart"/>
            <w:shd w:val="clear" w:color="auto" w:fill="0336FF"/>
          </w:tcPr>
          <w:p>
            <w:pPr>
              <w:ind w:left="40"/>
              <w:spacing w:after="0"/>
              <w:rPr>
                <w:sz w:val="20"/>
                <w:szCs w:val="20"/>
                <w:color w:val="auto"/>
              </w:rPr>
            </w:pPr>
            <w:r>
              <w:rPr>
                <w:rFonts w:ascii="Arial" w:cs="Arial" w:eastAsia="Arial" w:hAnsi="Arial"/>
                <w:sz w:val="11"/>
                <w:szCs w:val="11"/>
                <w:b w:val="1"/>
                <w:bCs w:val="1"/>
                <w:color w:val="FFFFFF"/>
              </w:rPr>
              <w:t>Year</w:t>
            </w:r>
          </w:p>
        </w:tc>
        <w:tc>
          <w:tcPr>
            <w:tcW w:w="2000" w:type="dxa"/>
            <w:vAlign w:val="bottom"/>
            <w:gridSpan w:val="2"/>
            <w:vMerge w:val="restart"/>
            <w:shd w:val="clear" w:color="auto" w:fill="0336FF"/>
          </w:tcPr>
          <w:p>
            <w:pPr>
              <w:jc w:val="right"/>
              <w:ind w:right="44"/>
              <w:spacing w:after="0"/>
              <w:rPr>
                <w:sz w:val="20"/>
                <w:szCs w:val="20"/>
                <w:color w:val="auto"/>
              </w:rPr>
            </w:pPr>
            <w:r>
              <w:rPr>
                <w:rFonts w:ascii="Arial" w:cs="Arial" w:eastAsia="Arial" w:hAnsi="Arial"/>
                <w:sz w:val="11"/>
                <w:szCs w:val="11"/>
                <w:b w:val="1"/>
                <w:bCs w:val="1"/>
                <w:color w:val="FFFFFF"/>
              </w:rPr>
              <w:t>Michael Burkland Michael Burkland</w:t>
            </w:r>
          </w:p>
        </w:tc>
        <w:tc>
          <w:tcPr>
            <w:tcW w:w="940" w:type="dxa"/>
            <w:vAlign w:val="bottom"/>
            <w:vMerge w:val="restart"/>
            <w:shd w:val="clear" w:color="auto" w:fill="0336FF"/>
          </w:tcPr>
          <w:p>
            <w:pPr>
              <w:jc w:val="right"/>
              <w:ind w:right="62"/>
              <w:spacing w:after="0"/>
              <w:rPr>
                <w:sz w:val="20"/>
                <w:szCs w:val="20"/>
                <w:color w:val="auto"/>
              </w:rPr>
            </w:pPr>
            <w:r>
              <w:rPr>
                <w:rFonts w:ascii="Arial" w:cs="Arial" w:eastAsia="Arial" w:hAnsi="Arial"/>
                <w:sz w:val="11"/>
                <w:szCs w:val="11"/>
                <w:b w:val="1"/>
                <w:bCs w:val="1"/>
                <w:color w:val="FFFFFF"/>
              </w:rPr>
              <w:t>Trollope</w:t>
            </w:r>
          </w:p>
        </w:tc>
        <w:tc>
          <w:tcPr>
            <w:tcW w:w="980" w:type="dxa"/>
            <w:vAlign w:val="bottom"/>
            <w:vMerge w:val="restart"/>
            <w:shd w:val="clear" w:color="auto" w:fill="0336FF"/>
          </w:tcPr>
          <w:p>
            <w:pPr>
              <w:jc w:val="right"/>
              <w:ind w:right="45"/>
              <w:spacing w:after="0"/>
              <w:rPr>
                <w:sz w:val="20"/>
                <w:szCs w:val="20"/>
                <w:color w:val="auto"/>
              </w:rPr>
            </w:pPr>
            <w:r>
              <w:rPr>
                <w:rFonts w:ascii="Arial" w:cs="Arial" w:eastAsia="Arial" w:hAnsi="Arial"/>
                <w:sz w:val="11"/>
                <w:szCs w:val="11"/>
                <w:b w:val="1"/>
                <w:bCs w:val="1"/>
                <w:color w:val="FFFFFF"/>
              </w:rPr>
              <w:t>Rowan Trollope</w:t>
            </w:r>
          </w:p>
        </w:tc>
        <w:tc>
          <w:tcPr>
            <w:tcW w:w="980" w:type="dxa"/>
            <w:vAlign w:val="bottom"/>
            <w:vMerge w:val="restart"/>
            <w:shd w:val="clear" w:color="auto" w:fill="0336FF"/>
          </w:tcPr>
          <w:p>
            <w:pPr>
              <w:jc w:val="right"/>
              <w:ind w:right="82"/>
              <w:spacing w:after="0"/>
              <w:rPr>
                <w:sz w:val="20"/>
                <w:szCs w:val="20"/>
                <w:color w:val="auto"/>
              </w:rPr>
            </w:pPr>
            <w:r>
              <w:rPr>
                <w:rFonts w:ascii="Arial" w:cs="Arial" w:eastAsia="Arial" w:hAnsi="Arial"/>
                <w:sz w:val="11"/>
                <w:szCs w:val="11"/>
                <w:b w:val="1"/>
                <w:bCs w:val="1"/>
                <w:color w:val="FFFFFF"/>
              </w:rPr>
              <w:t>Other NEOs</w:t>
            </w:r>
          </w:p>
        </w:tc>
        <w:tc>
          <w:tcPr>
            <w:tcW w:w="940" w:type="dxa"/>
            <w:vAlign w:val="bottom"/>
            <w:vMerge w:val="restart"/>
            <w:shd w:val="clear" w:color="auto" w:fill="0336FF"/>
          </w:tcPr>
          <w:p>
            <w:pPr>
              <w:jc w:val="right"/>
              <w:spacing w:after="0"/>
              <w:rPr>
                <w:sz w:val="20"/>
                <w:szCs w:val="20"/>
                <w:color w:val="auto"/>
              </w:rPr>
            </w:pPr>
            <w:r>
              <w:rPr>
                <w:rFonts w:ascii="Arial" w:cs="Arial" w:eastAsia="Arial" w:hAnsi="Arial"/>
                <w:sz w:val="11"/>
                <w:szCs w:val="11"/>
                <w:b w:val="1"/>
                <w:bCs w:val="1"/>
                <w:color w:val="FFFFFF"/>
              </w:rPr>
              <w:t>Other NEOs</w:t>
            </w:r>
          </w:p>
        </w:tc>
        <w:tc>
          <w:tcPr>
            <w:tcW w:w="880" w:type="dxa"/>
            <w:vAlign w:val="bottom"/>
            <w:vMerge w:val="restart"/>
            <w:shd w:val="clear" w:color="auto" w:fill="0336FF"/>
          </w:tcPr>
          <w:p>
            <w:pPr>
              <w:ind w:left="480"/>
              <w:spacing w:after="0"/>
              <w:rPr>
                <w:sz w:val="20"/>
                <w:szCs w:val="20"/>
                <w:color w:val="auto"/>
              </w:rPr>
            </w:pPr>
            <w:r>
              <w:rPr>
                <w:rFonts w:ascii="Arial" w:cs="Arial" w:eastAsia="Arial" w:hAnsi="Arial"/>
                <w:sz w:val="11"/>
                <w:szCs w:val="11"/>
                <w:b w:val="1"/>
                <w:bCs w:val="1"/>
                <w:color w:val="FFFFFF"/>
              </w:rPr>
              <w:t>Return</w:t>
            </w:r>
          </w:p>
        </w:tc>
        <w:tc>
          <w:tcPr>
            <w:tcW w:w="720" w:type="dxa"/>
            <w:vAlign w:val="bottom"/>
            <w:vMerge w:val="restart"/>
            <w:shd w:val="clear" w:color="auto" w:fill="0336FF"/>
          </w:tcPr>
          <w:p>
            <w:pPr>
              <w:jc w:val="right"/>
              <w:spacing w:after="0"/>
              <w:rPr>
                <w:sz w:val="20"/>
                <w:szCs w:val="20"/>
                <w:color w:val="auto"/>
              </w:rPr>
            </w:pPr>
            <w:r>
              <w:rPr>
                <w:rFonts w:ascii="Arial" w:cs="Arial" w:eastAsia="Arial" w:hAnsi="Arial"/>
                <w:sz w:val="11"/>
                <w:szCs w:val="11"/>
                <w:b w:val="1"/>
                <w:bCs w:val="1"/>
                <w:color w:val="FFFFFF"/>
              </w:rPr>
              <w:t>Computer</w:t>
            </w:r>
          </w:p>
        </w:tc>
        <w:tc>
          <w:tcPr>
            <w:tcW w:w="120" w:type="dxa"/>
            <w:vAlign w:val="bottom"/>
            <w:shd w:val="clear" w:color="auto" w:fill="0336FF"/>
          </w:tcPr>
          <w:p>
            <w:pPr>
              <w:spacing w:after="0"/>
              <w:rPr>
                <w:sz w:val="4"/>
                <w:szCs w:val="4"/>
                <w:color w:val="auto"/>
              </w:rPr>
            </w:pPr>
          </w:p>
        </w:tc>
        <w:tc>
          <w:tcPr>
            <w:tcW w:w="780" w:type="dxa"/>
            <w:vAlign w:val="bottom"/>
            <w:vMerge w:val="restart"/>
            <w:shd w:val="clear" w:color="auto" w:fill="0336FF"/>
          </w:tcPr>
          <w:p>
            <w:pPr>
              <w:jc w:val="right"/>
              <w:ind w:right="142"/>
              <w:spacing w:after="0"/>
              <w:rPr>
                <w:sz w:val="20"/>
                <w:szCs w:val="20"/>
                <w:color w:val="auto"/>
              </w:rPr>
            </w:pPr>
            <w:r>
              <w:rPr>
                <w:rFonts w:ascii="Arial" w:cs="Arial" w:eastAsia="Arial" w:hAnsi="Arial"/>
                <w:sz w:val="11"/>
                <w:szCs w:val="11"/>
                <w:b w:val="1"/>
                <w:bCs w:val="1"/>
                <w:color w:val="FFFFFF"/>
                <w:w w:val="94"/>
              </w:rPr>
              <w:t>Processing</w:t>
            </w:r>
          </w:p>
        </w:tc>
        <w:tc>
          <w:tcPr>
            <w:tcW w:w="700" w:type="dxa"/>
            <w:vAlign w:val="bottom"/>
            <w:vMerge w:val="restart"/>
            <w:shd w:val="clear" w:color="auto" w:fill="0336FF"/>
          </w:tcPr>
          <w:p>
            <w:pPr>
              <w:jc w:val="right"/>
              <w:spacing w:after="0"/>
              <w:rPr>
                <w:sz w:val="20"/>
                <w:szCs w:val="20"/>
                <w:color w:val="auto"/>
              </w:rPr>
            </w:pPr>
            <w:r>
              <w:rPr>
                <w:rFonts w:ascii="Arial" w:cs="Arial" w:eastAsia="Arial" w:hAnsi="Arial"/>
                <w:sz w:val="11"/>
                <w:szCs w:val="11"/>
                <w:b w:val="1"/>
                <w:bCs w:val="1"/>
                <w:color w:val="FFFFFF"/>
              </w:rPr>
              <w:t>Loss</w:t>
            </w:r>
          </w:p>
        </w:tc>
        <w:tc>
          <w:tcPr>
            <w:tcW w:w="640" w:type="dxa"/>
            <w:vAlign w:val="bottom"/>
            <w:vMerge w:val="continue"/>
            <w:shd w:val="clear" w:color="auto" w:fill="0336FF"/>
          </w:tcPr>
          <w:p>
            <w:pPr>
              <w:spacing w:after="0"/>
              <w:rPr>
                <w:sz w:val="4"/>
                <w:szCs w:val="4"/>
                <w:color w:val="auto"/>
              </w:rPr>
            </w:pPr>
          </w:p>
        </w:tc>
        <w:tc>
          <w:tcPr>
            <w:tcW w:w="1040" w:type="dxa"/>
            <w:vAlign w:val="bottom"/>
            <w:vMerge w:val="restart"/>
            <w:shd w:val="clear" w:color="auto" w:fill="0336FF"/>
          </w:tcPr>
          <w:p>
            <w:pPr>
              <w:jc w:val="right"/>
              <w:ind w:right="65"/>
              <w:spacing w:after="0"/>
              <w:rPr>
                <w:sz w:val="20"/>
                <w:szCs w:val="20"/>
                <w:color w:val="auto"/>
              </w:rPr>
            </w:pPr>
            <w:r>
              <w:rPr>
                <w:rFonts w:ascii="Arial" w:cs="Arial" w:eastAsia="Arial" w:hAnsi="Arial"/>
                <w:sz w:val="11"/>
                <w:szCs w:val="11"/>
                <w:b w:val="1"/>
                <w:bCs w:val="1"/>
                <w:color w:val="FFFFFF"/>
                <w:w w:val="98"/>
              </w:rPr>
              <w:t>Adjusted EBITDA</w:t>
            </w:r>
          </w:p>
        </w:tc>
        <w:tc>
          <w:tcPr>
            <w:tcW w:w="0" w:type="dxa"/>
            <w:vAlign w:val="bottom"/>
          </w:tcPr>
          <w:p>
            <w:pPr>
              <w:spacing w:after="0"/>
              <w:rPr>
                <w:sz w:val="1"/>
                <w:szCs w:val="1"/>
                <w:color w:val="auto"/>
              </w:rPr>
            </w:pPr>
          </w:p>
        </w:tc>
      </w:tr>
      <w:tr>
        <w:trPr>
          <w:trHeight w:val="108"/>
        </w:trPr>
        <w:tc>
          <w:tcPr>
            <w:tcW w:w="520" w:type="dxa"/>
            <w:vAlign w:val="bottom"/>
            <w:tcBorders>
              <w:left w:val="single" w:sz="8" w:color="auto"/>
            </w:tcBorders>
            <w:vMerge w:val="continue"/>
            <w:shd w:val="clear" w:color="auto" w:fill="0336FF"/>
          </w:tcPr>
          <w:p>
            <w:pPr>
              <w:spacing w:after="0"/>
              <w:rPr>
                <w:sz w:val="9"/>
                <w:szCs w:val="9"/>
                <w:color w:val="auto"/>
              </w:rPr>
            </w:pPr>
          </w:p>
        </w:tc>
        <w:tc>
          <w:tcPr>
            <w:tcW w:w="2000" w:type="dxa"/>
            <w:vAlign w:val="bottom"/>
            <w:gridSpan w:val="2"/>
            <w:vMerge w:val="continue"/>
            <w:shd w:val="clear" w:color="auto" w:fill="0336FF"/>
          </w:tcPr>
          <w:p>
            <w:pPr>
              <w:spacing w:after="0"/>
              <w:rPr>
                <w:sz w:val="9"/>
                <w:szCs w:val="9"/>
                <w:color w:val="auto"/>
              </w:rPr>
            </w:pPr>
          </w:p>
        </w:tc>
        <w:tc>
          <w:tcPr>
            <w:tcW w:w="940" w:type="dxa"/>
            <w:vAlign w:val="bottom"/>
            <w:vMerge w:val="continue"/>
            <w:shd w:val="clear" w:color="auto" w:fill="0336FF"/>
          </w:tcPr>
          <w:p>
            <w:pPr>
              <w:spacing w:after="0"/>
              <w:rPr>
                <w:sz w:val="9"/>
                <w:szCs w:val="9"/>
                <w:color w:val="auto"/>
              </w:rPr>
            </w:pPr>
          </w:p>
        </w:tc>
        <w:tc>
          <w:tcPr>
            <w:tcW w:w="980" w:type="dxa"/>
            <w:vAlign w:val="bottom"/>
            <w:vMerge w:val="continue"/>
            <w:shd w:val="clear" w:color="auto" w:fill="0336FF"/>
          </w:tcPr>
          <w:p>
            <w:pPr>
              <w:spacing w:after="0"/>
              <w:rPr>
                <w:sz w:val="9"/>
                <w:szCs w:val="9"/>
                <w:color w:val="auto"/>
              </w:rPr>
            </w:pPr>
          </w:p>
        </w:tc>
        <w:tc>
          <w:tcPr>
            <w:tcW w:w="980" w:type="dxa"/>
            <w:vAlign w:val="bottom"/>
            <w:vMerge w:val="continue"/>
            <w:shd w:val="clear" w:color="auto" w:fill="0336FF"/>
          </w:tcPr>
          <w:p>
            <w:pPr>
              <w:spacing w:after="0"/>
              <w:rPr>
                <w:sz w:val="9"/>
                <w:szCs w:val="9"/>
                <w:color w:val="auto"/>
              </w:rPr>
            </w:pPr>
          </w:p>
        </w:tc>
        <w:tc>
          <w:tcPr>
            <w:tcW w:w="940" w:type="dxa"/>
            <w:vAlign w:val="bottom"/>
            <w:vMerge w:val="continue"/>
            <w:shd w:val="clear" w:color="auto" w:fill="0336FF"/>
          </w:tcPr>
          <w:p>
            <w:pPr>
              <w:spacing w:after="0"/>
              <w:rPr>
                <w:sz w:val="9"/>
                <w:szCs w:val="9"/>
                <w:color w:val="auto"/>
              </w:rPr>
            </w:pPr>
          </w:p>
        </w:tc>
        <w:tc>
          <w:tcPr>
            <w:tcW w:w="880" w:type="dxa"/>
            <w:vAlign w:val="bottom"/>
            <w:vMerge w:val="continue"/>
            <w:shd w:val="clear" w:color="auto" w:fill="0336FF"/>
          </w:tcPr>
          <w:p>
            <w:pPr>
              <w:spacing w:after="0"/>
              <w:rPr>
                <w:sz w:val="9"/>
                <w:szCs w:val="9"/>
                <w:color w:val="auto"/>
              </w:rPr>
            </w:pPr>
          </w:p>
        </w:tc>
        <w:tc>
          <w:tcPr>
            <w:tcW w:w="720" w:type="dxa"/>
            <w:vAlign w:val="bottom"/>
            <w:vMerge w:val="continue"/>
            <w:shd w:val="clear" w:color="auto" w:fill="0336FF"/>
          </w:tcPr>
          <w:p>
            <w:pPr>
              <w:spacing w:after="0"/>
              <w:rPr>
                <w:sz w:val="9"/>
                <w:szCs w:val="9"/>
                <w:color w:val="auto"/>
              </w:rPr>
            </w:pPr>
          </w:p>
        </w:tc>
        <w:tc>
          <w:tcPr>
            <w:tcW w:w="120" w:type="dxa"/>
            <w:vAlign w:val="bottom"/>
            <w:shd w:val="clear" w:color="auto" w:fill="0336FF"/>
          </w:tcPr>
          <w:p>
            <w:pPr>
              <w:spacing w:after="0"/>
              <w:rPr>
                <w:sz w:val="9"/>
                <w:szCs w:val="9"/>
                <w:color w:val="auto"/>
              </w:rPr>
            </w:pPr>
          </w:p>
        </w:tc>
        <w:tc>
          <w:tcPr>
            <w:tcW w:w="780" w:type="dxa"/>
            <w:vAlign w:val="bottom"/>
            <w:vMerge w:val="continue"/>
            <w:shd w:val="clear" w:color="auto" w:fill="0336FF"/>
          </w:tcPr>
          <w:p>
            <w:pPr>
              <w:spacing w:after="0"/>
              <w:rPr>
                <w:sz w:val="9"/>
                <w:szCs w:val="9"/>
                <w:color w:val="auto"/>
              </w:rPr>
            </w:pPr>
          </w:p>
        </w:tc>
        <w:tc>
          <w:tcPr>
            <w:tcW w:w="700" w:type="dxa"/>
            <w:vAlign w:val="bottom"/>
            <w:vMerge w:val="continue"/>
            <w:shd w:val="clear" w:color="auto" w:fill="0336FF"/>
          </w:tcPr>
          <w:p>
            <w:pPr>
              <w:spacing w:after="0"/>
              <w:rPr>
                <w:sz w:val="9"/>
                <w:szCs w:val="9"/>
                <w:color w:val="auto"/>
              </w:rPr>
            </w:pPr>
          </w:p>
        </w:tc>
        <w:tc>
          <w:tcPr>
            <w:tcW w:w="640" w:type="dxa"/>
            <w:vAlign w:val="bottom"/>
            <w:shd w:val="clear" w:color="auto" w:fill="0336FF"/>
          </w:tcPr>
          <w:p>
            <w:pPr>
              <w:jc w:val="right"/>
              <w:spacing w:after="0" w:line="108" w:lineRule="exact"/>
              <w:rPr>
                <w:sz w:val="20"/>
                <w:szCs w:val="20"/>
                <w:color w:val="auto"/>
              </w:rPr>
            </w:pPr>
            <w:r>
              <w:rPr>
                <w:rFonts w:ascii="Arial" w:cs="Arial" w:eastAsia="Arial" w:hAnsi="Arial"/>
                <w:sz w:val="11"/>
                <w:szCs w:val="11"/>
                <w:b w:val="1"/>
                <w:bCs w:val="1"/>
                <w:color w:val="FFFFFF"/>
                <w:w w:val="97"/>
              </w:rPr>
              <w:t>Revenue (i)</w:t>
            </w:r>
          </w:p>
        </w:tc>
        <w:tc>
          <w:tcPr>
            <w:tcW w:w="1040" w:type="dxa"/>
            <w:vAlign w:val="bottom"/>
            <w:vMerge w:val="continue"/>
            <w:shd w:val="clear" w:color="auto" w:fill="0336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20" w:type="dxa"/>
            <w:vAlign w:val="bottom"/>
            <w:tcBorders>
              <w:left w:val="single" w:sz="8" w:color="auto"/>
              <w:bottom w:val="single" w:sz="8" w:color="0336FF"/>
            </w:tcBorders>
            <w:shd w:val="clear" w:color="auto" w:fill="0336FF"/>
          </w:tcPr>
          <w:p>
            <w:pPr>
              <w:ind w:left="40"/>
              <w:spacing w:after="0"/>
              <w:rPr>
                <w:sz w:val="20"/>
                <w:szCs w:val="20"/>
                <w:color w:val="auto"/>
              </w:rPr>
            </w:pPr>
            <w:r>
              <w:rPr>
                <w:rFonts w:ascii="Arial" w:cs="Arial" w:eastAsia="Arial" w:hAnsi="Arial"/>
                <w:sz w:val="11"/>
                <w:szCs w:val="11"/>
                <w:b w:val="1"/>
                <w:bCs w:val="1"/>
                <w:color w:val="FFFFFF"/>
              </w:rPr>
              <w:t>(a)</w:t>
            </w:r>
          </w:p>
        </w:tc>
        <w:tc>
          <w:tcPr>
            <w:tcW w:w="1020" w:type="dxa"/>
            <w:vAlign w:val="bottom"/>
            <w:tcBorders>
              <w:bottom w:val="single" w:sz="8" w:color="0336FF"/>
            </w:tcBorders>
            <w:shd w:val="clear" w:color="auto" w:fill="0336FF"/>
          </w:tcPr>
          <w:p>
            <w:pPr>
              <w:jc w:val="right"/>
              <w:ind w:right="22"/>
              <w:spacing w:after="0"/>
              <w:rPr>
                <w:sz w:val="20"/>
                <w:szCs w:val="20"/>
                <w:color w:val="auto"/>
              </w:rPr>
            </w:pPr>
            <w:r>
              <w:rPr>
                <w:rFonts w:ascii="Arial" w:cs="Arial" w:eastAsia="Arial" w:hAnsi="Arial"/>
                <w:sz w:val="11"/>
                <w:szCs w:val="11"/>
                <w:b w:val="1"/>
                <w:bCs w:val="1"/>
                <w:color w:val="FFFFFF"/>
              </w:rPr>
              <w:t>(b)</w:t>
            </w:r>
          </w:p>
        </w:tc>
        <w:tc>
          <w:tcPr>
            <w:tcW w:w="980" w:type="dxa"/>
            <w:vAlign w:val="bottom"/>
            <w:tcBorders>
              <w:bottom w:val="single" w:sz="8" w:color="0336FF"/>
            </w:tcBorders>
            <w:shd w:val="clear" w:color="auto" w:fill="0336FF"/>
          </w:tcPr>
          <w:p>
            <w:pPr>
              <w:jc w:val="right"/>
              <w:ind w:right="44"/>
              <w:spacing w:after="0" w:line="135" w:lineRule="exact"/>
              <w:rPr>
                <w:sz w:val="20"/>
                <w:szCs w:val="20"/>
                <w:color w:val="auto"/>
              </w:rPr>
            </w:pPr>
            <w:r>
              <w:rPr>
                <w:rFonts w:ascii="Arial" w:cs="Arial" w:eastAsia="Arial" w:hAnsi="Arial"/>
                <w:sz w:val="15"/>
                <w:szCs w:val="15"/>
                <w:b w:val="1"/>
                <w:bCs w:val="1"/>
                <w:color w:val="FFFFFF"/>
                <w:vertAlign w:val="subscript"/>
              </w:rPr>
              <w:t>(c)</w:t>
            </w:r>
            <w:r>
              <w:rPr>
                <w:rFonts w:ascii="Arial" w:cs="Arial" w:eastAsia="Arial" w:hAnsi="Arial"/>
                <w:sz w:val="6"/>
                <w:szCs w:val="6"/>
                <w:b w:val="1"/>
                <w:bCs w:val="1"/>
                <w:color w:val="FFFFFF"/>
              </w:rPr>
              <w:t>(1)(8)</w:t>
            </w:r>
          </w:p>
        </w:tc>
        <w:tc>
          <w:tcPr>
            <w:tcW w:w="940" w:type="dxa"/>
            <w:vAlign w:val="bottom"/>
            <w:tcBorders>
              <w:bottom w:val="single" w:sz="8" w:color="0336FF"/>
            </w:tcBorders>
            <w:shd w:val="clear" w:color="auto" w:fill="0336FF"/>
          </w:tcPr>
          <w:p>
            <w:pPr>
              <w:jc w:val="right"/>
              <w:ind w:right="22"/>
              <w:spacing w:after="0"/>
              <w:rPr>
                <w:sz w:val="20"/>
                <w:szCs w:val="20"/>
                <w:color w:val="auto"/>
              </w:rPr>
            </w:pPr>
            <w:r>
              <w:rPr>
                <w:rFonts w:ascii="Arial" w:cs="Arial" w:eastAsia="Arial" w:hAnsi="Arial"/>
                <w:sz w:val="11"/>
                <w:szCs w:val="11"/>
                <w:b w:val="1"/>
                <w:bCs w:val="1"/>
                <w:color w:val="FFFFFF"/>
              </w:rPr>
              <w:t>(b)</w:t>
            </w:r>
          </w:p>
        </w:tc>
        <w:tc>
          <w:tcPr>
            <w:tcW w:w="980" w:type="dxa"/>
            <w:vAlign w:val="bottom"/>
            <w:tcBorders>
              <w:bottom w:val="single" w:sz="8" w:color="0336FF"/>
            </w:tcBorders>
            <w:shd w:val="clear" w:color="auto" w:fill="0336FF"/>
          </w:tcPr>
          <w:p>
            <w:pPr>
              <w:jc w:val="right"/>
              <w:ind w:right="45"/>
              <w:spacing w:after="0" w:line="135" w:lineRule="exact"/>
              <w:rPr>
                <w:sz w:val="20"/>
                <w:szCs w:val="20"/>
                <w:color w:val="auto"/>
              </w:rPr>
            </w:pPr>
            <w:r>
              <w:rPr>
                <w:rFonts w:ascii="Arial" w:cs="Arial" w:eastAsia="Arial" w:hAnsi="Arial"/>
                <w:sz w:val="15"/>
                <w:szCs w:val="15"/>
                <w:b w:val="1"/>
                <w:bCs w:val="1"/>
                <w:color w:val="FFFFFF"/>
                <w:vertAlign w:val="subscript"/>
              </w:rPr>
              <w:t>(c)</w:t>
            </w:r>
            <w:r>
              <w:rPr>
                <w:rFonts w:ascii="Arial" w:cs="Arial" w:eastAsia="Arial" w:hAnsi="Arial"/>
                <w:sz w:val="6"/>
                <w:szCs w:val="6"/>
                <w:b w:val="1"/>
                <w:bCs w:val="1"/>
                <w:color w:val="FFFFFF"/>
              </w:rPr>
              <w:t>(2)(8)</w:t>
            </w:r>
          </w:p>
        </w:tc>
        <w:tc>
          <w:tcPr>
            <w:tcW w:w="980" w:type="dxa"/>
            <w:vAlign w:val="bottom"/>
            <w:tcBorders>
              <w:bottom w:val="single" w:sz="8" w:color="0336FF"/>
            </w:tcBorders>
            <w:shd w:val="clear" w:color="auto" w:fill="0336FF"/>
          </w:tcPr>
          <w:p>
            <w:pPr>
              <w:jc w:val="right"/>
              <w:ind w:right="62"/>
              <w:spacing w:after="0"/>
              <w:rPr>
                <w:sz w:val="20"/>
                <w:szCs w:val="20"/>
                <w:color w:val="auto"/>
              </w:rPr>
            </w:pPr>
            <w:r>
              <w:rPr>
                <w:rFonts w:ascii="Arial" w:cs="Arial" w:eastAsia="Arial" w:hAnsi="Arial"/>
                <w:sz w:val="11"/>
                <w:szCs w:val="11"/>
                <w:b w:val="1"/>
                <w:bCs w:val="1"/>
                <w:color w:val="FFFFFF"/>
              </w:rPr>
              <w:t>(d)</w:t>
            </w:r>
          </w:p>
        </w:tc>
        <w:tc>
          <w:tcPr>
            <w:tcW w:w="940" w:type="dxa"/>
            <w:vAlign w:val="bottom"/>
            <w:tcBorders>
              <w:bottom w:val="single" w:sz="8" w:color="0336FF"/>
            </w:tcBorders>
            <w:shd w:val="clear" w:color="auto" w:fill="0336FF"/>
          </w:tcPr>
          <w:p>
            <w:pPr>
              <w:jc w:val="right"/>
              <w:spacing w:after="0" w:line="135" w:lineRule="exact"/>
              <w:rPr>
                <w:sz w:val="20"/>
                <w:szCs w:val="20"/>
                <w:color w:val="auto"/>
              </w:rPr>
            </w:pPr>
            <w:r>
              <w:rPr>
                <w:rFonts w:ascii="Arial" w:cs="Arial" w:eastAsia="Arial" w:hAnsi="Arial"/>
                <w:sz w:val="15"/>
                <w:szCs w:val="15"/>
                <w:b w:val="1"/>
                <w:bCs w:val="1"/>
                <w:color w:val="FFFFFF"/>
                <w:vertAlign w:val="subscript"/>
              </w:rPr>
              <w:t>(e)</w:t>
            </w:r>
            <w:r>
              <w:rPr>
                <w:rFonts w:ascii="Arial" w:cs="Arial" w:eastAsia="Arial" w:hAnsi="Arial"/>
                <w:sz w:val="6"/>
                <w:szCs w:val="6"/>
                <w:b w:val="1"/>
                <w:bCs w:val="1"/>
                <w:color w:val="FFFFFF"/>
              </w:rPr>
              <w:t>(3)(8)</w:t>
            </w:r>
          </w:p>
        </w:tc>
        <w:tc>
          <w:tcPr>
            <w:tcW w:w="880" w:type="dxa"/>
            <w:vAlign w:val="bottom"/>
            <w:tcBorders>
              <w:bottom w:val="single" w:sz="8" w:color="0336FF"/>
            </w:tcBorders>
            <w:shd w:val="clear" w:color="auto" w:fill="0336FF"/>
          </w:tcPr>
          <w:p>
            <w:pPr>
              <w:jc w:val="right"/>
              <w:spacing w:after="0"/>
              <w:rPr>
                <w:sz w:val="20"/>
                <w:szCs w:val="20"/>
                <w:color w:val="auto"/>
              </w:rPr>
            </w:pPr>
            <w:r>
              <w:rPr>
                <w:rFonts w:ascii="Arial" w:cs="Arial" w:eastAsia="Arial" w:hAnsi="Arial"/>
                <w:sz w:val="11"/>
                <w:szCs w:val="11"/>
                <w:b w:val="1"/>
                <w:bCs w:val="1"/>
                <w:color w:val="FFFFFF"/>
              </w:rPr>
              <w:t>(f)</w:t>
            </w:r>
          </w:p>
        </w:tc>
        <w:tc>
          <w:tcPr>
            <w:tcW w:w="720" w:type="dxa"/>
            <w:vAlign w:val="bottom"/>
            <w:tcBorders>
              <w:bottom w:val="single" w:sz="8" w:color="0336FF"/>
            </w:tcBorders>
            <w:shd w:val="clear" w:color="auto" w:fill="0336FF"/>
          </w:tcPr>
          <w:p>
            <w:pPr>
              <w:jc w:val="center"/>
              <w:ind w:left="343"/>
              <w:spacing w:after="0"/>
              <w:rPr>
                <w:sz w:val="20"/>
                <w:szCs w:val="20"/>
                <w:color w:val="auto"/>
              </w:rPr>
            </w:pPr>
            <w:r>
              <w:rPr>
                <w:rFonts w:ascii="Arial" w:cs="Arial" w:eastAsia="Arial" w:hAnsi="Arial"/>
                <w:sz w:val="11"/>
                <w:szCs w:val="11"/>
                <w:b w:val="1"/>
                <w:bCs w:val="1"/>
                <w:color w:val="FFFFFF"/>
                <w:w w:val="97"/>
              </w:rPr>
              <w:t>Index</w:t>
            </w:r>
          </w:p>
        </w:tc>
        <w:tc>
          <w:tcPr>
            <w:tcW w:w="120" w:type="dxa"/>
            <w:vAlign w:val="bottom"/>
            <w:tcBorders>
              <w:bottom w:val="single" w:sz="8" w:color="0336FF"/>
            </w:tcBorders>
            <w:shd w:val="clear" w:color="auto" w:fill="0336FF"/>
          </w:tcPr>
          <w:p>
            <w:pPr>
              <w:spacing w:after="0"/>
              <w:rPr>
                <w:sz w:val="14"/>
                <w:szCs w:val="14"/>
                <w:color w:val="auto"/>
              </w:rPr>
            </w:pPr>
          </w:p>
        </w:tc>
        <w:tc>
          <w:tcPr>
            <w:tcW w:w="780" w:type="dxa"/>
            <w:vAlign w:val="bottom"/>
            <w:tcBorders>
              <w:bottom w:val="single" w:sz="8" w:color="0336FF"/>
            </w:tcBorders>
            <w:shd w:val="clear" w:color="auto" w:fill="0336FF"/>
          </w:tcPr>
          <w:p>
            <w:pPr>
              <w:jc w:val="right"/>
              <w:ind w:right="142"/>
              <w:spacing w:after="0"/>
              <w:rPr>
                <w:sz w:val="20"/>
                <w:szCs w:val="20"/>
                <w:color w:val="auto"/>
              </w:rPr>
            </w:pPr>
            <w:r>
              <w:rPr>
                <w:rFonts w:ascii="Arial" w:cs="Arial" w:eastAsia="Arial" w:hAnsi="Arial"/>
                <w:sz w:val="11"/>
                <w:szCs w:val="11"/>
                <w:b w:val="1"/>
                <w:bCs w:val="1"/>
                <w:color w:val="FFFFFF"/>
              </w:rPr>
              <w:t>Index</w:t>
            </w:r>
          </w:p>
        </w:tc>
        <w:tc>
          <w:tcPr>
            <w:tcW w:w="700" w:type="dxa"/>
            <w:vAlign w:val="bottom"/>
            <w:tcBorders>
              <w:bottom w:val="single" w:sz="8" w:color="0336FF"/>
            </w:tcBorders>
            <w:shd w:val="clear" w:color="auto" w:fill="0336FF"/>
          </w:tcPr>
          <w:p>
            <w:pPr>
              <w:jc w:val="right"/>
              <w:spacing w:after="0"/>
              <w:rPr>
                <w:sz w:val="20"/>
                <w:szCs w:val="20"/>
                <w:color w:val="auto"/>
              </w:rPr>
            </w:pPr>
            <w:r>
              <w:rPr>
                <w:rFonts w:ascii="Arial" w:cs="Arial" w:eastAsia="Arial" w:hAnsi="Arial"/>
                <w:sz w:val="11"/>
                <w:szCs w:val="11"/>
                <w:b w:val="1"/>
                <w:bCs w:val="1"/>
                <w:color w:val="FFFFFF"/>
              </w:rPr>
              <w:t>(h)</w:t>
            </w:r>
            <w:r>
              <w:rPr>
                <w:rFonts w:ascii="Arial" w:cs="Arial" w:eastAsia="Arial" w:hAnsi="Arial"/>
                <w:sz w:val="7"/>
                <w:szCs w:val="7"/>
                <w:b w:val="1"/>
                <w:bCs w:val="1"/>
                <w:color w:val="FFFFFF"/>
              </w:rPr>
              <w:t>(5)</w:t>
            </w:r>
          </w:p>
        </w:tc>
        <w:tc>
          <w:tcPr>
            <w:tcW w:w="640" w:type="dxa"/>
            <w:vAlign w:val="bottom"/>
            <w:tcBorders>
              <w:bottom w:val="single" w:sz="8" w:color="0336FF"/>
            </w:tcBorders>
            <w:shd w:val="clear" w:color="auto" w:fill="0336FF"/>
          </w:tcPr>
          <w:p>
            <w:pPr>
              <w:jc w:val="right"/>
              <w:spacing w:after="0"/>
              <w:rPr>
                <w:sz w:val="20"/>
                <w:szCs w:val="20"/>
                <w:color w:val="auto"/>
              </w:rPr>
            </w:pPr>
            <w:r>
              <w:rPr>
                <w:rFonts w:ascii="Arial" w:cs="Arial" w:eastAsia="Arial" w:hAnsi="Arial"/>
                <w:sz w:val="7"/>
                <w:szCs w:val="7"/>
                <w:b w:val="1"/>
                <w:bCs w:val="1"/>
                <w:color w:val="FFFFFF"/>
              </w:rPr>
              <w:t>(6)</w:t>
            </w:r>
          </w:p>
        </w:tc>
        <w:tc>
          <w:tcPr>
            <w:tcW w:w="1040" w:type="dxa"/>
            <w:vAlign w:val="bottom"/>
            <w:tcBorders>
              <w:bottom w:val="single" w:sz="8" w:color="0336FF"/>
            </w:tcBorders>
            <w:shd w:val="clear" w:color="auto" w:fill="0336FF"/>
          </w:tcPr>
          <w:p>
            <w:pPr>
              <w:jc w:val="right"/>
              <w:ind w:right="65"/>
              <w:spacing w:after="0" w:line="135" w:lineRule="exact"/>
              <w:rPr>
                <w:sz w:val="20"/>
                <w:szCs w:val="20"/>
                <w:color w:val="auto"/>
              </w:rPr>
            </w:pPr>
            <w:r>
              <w:rPr>
                <w:rFonts w:ascii="Arial" w:cs="Arial" w:eastAsia="Arial" w:hAnsi="Arial"/>
                <w:sz w:val="15"/>
                <w:szCs w:val="15"/>
                <w:b w:val="1"/>
                <w:bCs w:val="1"/>
                <w:color w:val="FFFFFF"/>
                <w:vertAlign w:val="subscript"/>
              </w:rPr>
              <w:t>(j)</w:t>
            </w:r>
            <w:r>
              <w:rPr>
                <w:rFonts w:ascii="Arial" w:cs="Arial" w:eastAsia="Arial" w:hAnsi="Arial"/>
                <w:sz w:val="6"/>
                <w:szCs w:val="6"/>
                <w:b w:val="1"/>
                <w:bCs w:val="1"/>
                <w:color w:val="FFFFFF"/>
              </w:rPr>
              <w:t>(7)</w:t>
            </w:r>
          </w:p>
        </w:tc>
        <w:tc>
          <w:tcPr>
            <w:tcW w:w="0" w:type="dxa"/>
            <w:vAlign w:val="bottom"/>
          </w:tcPr>
          <w:p>
            <w:pPr>
              <w:spacing w:after="0"/>
              <w:rPr>
                <w:sz w:val="1"/>
                <w:szCs w:val="1"/>
                <w:color w:val="auto"/>
              </w:rPr>
            </w:pPr>
          </w:p>
        </w:tc>
      </w:tr>
      <w:tr>
        <w:trPr>
          <w:trHeight w:val="175"/>
        </w:trPr>
        <w:tc>
          <w:tcPr>
            <w:tcW w:w="520" w:type="dxa"/>
            <w:vAlign w:val="bottom"/>
          </w:tcPr>
          <w:p>
            <w:pPr>
              <w:ind w:left="20"/>
              <w:spacing w:after="0"/>
              <w:rPr>
                <w:sz w:val="20"/>
                <w:szCs w:val="20"/>
                <w:color w:val="auto"/>
              </w:rPr>
            </w:pPr>
            <w:r>
              <w:rPr>
                <w:rFonts w:ascii="Arial" w:cs="Arial" w:eastAsia="Arial" w:hAnsi="Arial"/>
                <w:sz w:val="13"/>
                <w:szCs w:val="13"/>
                <w:color w:val="2D3243"/>
              </w:rPr>
              <w:t>2023</w:t>
            </w:r>
          </w:p>
        </w:tc>
        <w:tc>
          <w:tcPr>
            <w:tcW w:w="1020" w:type="dxa"/>
            <w:vAlign w:val="bottom"/>
          </w:tcPr>
          <w:p>
            <w:pPr>
              <w:jc w:val="right"/>
              <w:ind w:right="62"/>
              <w:spacing w:after="0"/>
              <w:rPr>
                <w:sz w:val="20"/>
                <w:szCs w:val="20"/>
                <w:color w:val="auto"/>
              </w:rPr>
            </w:pPr>
            <w:r>
              <w:rPr>
                <w:rFonts w:ascii="Arial" w:cs="Arial" w:eastAsia="Arial" w:hAnsi="Arial"/>
                <w:sz w:val="13"/>
                <w:szCs w:val="13"/>
                <w:color w:val="2D3243"/>
              </w:rPr>
              <w:t>1,195,211</w:t>
            </w:r>
          </w:p>
        </w:tc>
        <w:tc>
          <w:tcPr>
            <w:tcW w:w="980" w:type="dxa"/>
            <w:vAlign w:val="bottom"/>
          </w:tcPr>
          <w:p>
            <w:pPr>
              <w:jc w:val="right"/>
              <w:ind w:right="84"/>
              <w:spacing w:after="0"/>
              <w:rPr>
                <w:sz w:val="20"/>
                <w:szCs w:val="20"/>
                <w:color w:val="auto"/>
              </w:rPr>
            </w:pPr>
            <w:r>
              <w:rPr>
                <w:rFonts w:ascii="Arial" w:cs="Arial" w:eastAsia="Arial" w:hAnsi="Arial"/>
                <w:sz w:val="13"/>
                <w:szCs w:val="13"/>
                <w:color w:val="2D3243"/>
              </w:rPr>
              <w:t>3,136,538</w:t>
            </w:r>
          </w:p>
        </w:tc>
        <w:tc>
          <w:tcPr>
            <w:tcW w:w="940" w:type="dxa"/>
            <w:vAlign w:val="bottom"/>
          </w:tcPr>
          <w:p>
            <w:pPr>
              <w:jc w:val="right"/>
              <w:ind w:right="62"/>
              <w:spacing w:after="0"/>
              <w:rPr>
                <w:sz w:val="20"/>
                <w:szCs w:val="20"/>
                <w:color w:val="auto"/>
              </w:rPr>
            </w:pPr>
            <w:r>
              <w:rPr>
                <w:rFonts w:ascii="Arial" w:cs="Arial" w:eastAsia="Arial" w:hAnsi="Arial"/>
                <w:sz w:val="13"/>
                <w:szCs w:val="13"/>
                <w:color w:val="2D3243"/>
              </w:rPr>
              <w:t>—</w:t>
            </w:r>
          </w:p>
        </w:tc>
        <w:tc>
          <w:tcPr>
            <w:tcW w:w="980" w:type="dxa"/>
            <w:vAlign w:val="bottom"/>
          </w:tcPr>
          <w:p>
            <w:pPr>
              <w:jc w:val="right"/>
              <w:ind w:right="85"/>
              <w:spacing w:after="0"/>
              <w:rPr>
                <w:sz w:val="20"/>
                <w:szCs w:val="20"/>
                <w:color w:val="auto"/>
              </w:rPr>
            </w:pPr>
            <w:r>
              <w:rPr>
                <w:rFonts w:ascii="Arial" w:cs="Arial" w:eastAsia="Arial" w:hAnsi="Arial"/>
                <w:sz w:val="13"/>
                <w:szCs w:val="13"/>
                <w:color w:val="2D3243"/>
              </w:rPr>
              <w:t>—</w:t>
            </w:r>
          </w:p>
        </w:tc>
        <w:tc>
          <w:tcPr>
            <w:tcW w:w="980" w:type="dxa"/>
            <w:vAlign w:val="bottom"/>
          </w:tcPr>
          <w:p>
            <w:pPr>
              <w:jc w:val="right"/>
              <w:ind w:right="102"/>
              <w:spacing w:after="0"/>
              <w:rPr>
                <w:sz w:val="20"/>
                <w:szCs w:val="20"/>
                <w:color w:val="auto"/>
              </w:rPr>
            </w:pPr>
            <w:r>
              <w:rPr>
                <w:rFonts w:ascii="Arial" w:cs="Arial" w:eastAsia="Arial" w:hAnsi="Arial"/>
                <w:sz w:val="13"/>
                <w:szCs w:val="13"/>
                <w:color w:val="2D3243"/>
              </w:rPr>
              <w:t>4,361,681</w:t>
            </w:r>
          </w:p>
        </w:tc>
        <w:tc>
          <w:tcPr>
            <w:tcW w:w="940" w:type="dxa"/>
            <w:vAlign w:val="bottom"/>
          </w:tcPr>
          <w:p>
            <w:pPr>
              <w:jc w:val="right"/>
              <w:ind w:right="5"/>
              <w:spacing w:after="0"/>
              <w:rPr>
                <w:sz w:val="20"/>
                <w:szCs w:val="20"/>
                <w:color w:val="auto"/>
              </w:rPr>
            </w:pPr>
            <w:r>
              <w:rPr>
                <w:rFonts w:ascii="Arial" w:cs="Arial" w:eastAsia="Arial" w:hAnsi="Arial"/>
                <w:sz w:val="13"/>
                <w:szCs w:val="13"/>
                <w:color w:val="2D3243"/>
              </w:rPr>
              <w:t>4,919,123</w:t>
            </w:r>
          </w:p>
        </w:tc>
        <w:tc>
          <w:tcPr>
            <w:tcW w:w="880" w:type="dxa"/>
            <w:vAlign w:val="bottom"/>
          </w:tcPr>
          <w:p>
            <w:pPr>
              <w:ind w:left="600"/>
              <w:spacing w:after="0"/>
              <w:rPr>
                <w:sz w:val="20"/>
                <w:szCs w:val="20"/>
                <w:color w:val="auto"/>
              </w:rPr>
            </w:pPr>
            <w:r>
              <w:rPr>
                <w:rFonts w:ascii="Arial" w:cs="Arial" w:eastAsia="Arial" w:hAnsi="Arial"/>
                <w:sz w:val="13"/>
                <w:szCs w:val="13"/>
                <w:color w:val="2D3243"/>
              </w:rPr>
              <w:t>120</w:t>
            </w:r>
          </w:p>
        </w:tc>
        <w:tc>
          <w:tcPr>
            <w:tcW w:w="720" w:type="dxa"/>
            <w:vAlign w:val="bottom"/>
          </w:tcPr>
          <w:p>
            <w:pPr>
              <w:jc w:val="center"/>
              <w:ind w:left="323"/>
              <w:spacing w:after="0"/>
              <w:rPr>
                <w:sz w:val="20"/>
                <w:szCs w:val="20"/>
                <w:color w:val="auto"/>
              </w:rPr>
            </w:pPr>
            <w:r>
              <w:rPr>
                <w:rFonts w:ascii="Arial" w:cs="Arial" w:eastAsia="Arial" w:hAnsi="Arial"/>
                <w:sz w:val="13"/>
                <w:szCs w:val="13"/>
                <w:color w:val="2D3243"/>
              </w:rPr>
              <w:t>213</w:t>
            </w:r>
          </w:p>
        </w:tc>
        <w:tc>
          <w:tcPr>
            <w:tcW w:w="120" w:type="dxa"/>
            <w:vAlign w:val="bottom"/>
          </w:tcPr>
          <w:p>
            <w:pPr>
              <w:spacing w:after="0"/>
              <w:rPr>
                <w:sz w:val="15"/>
                <w:szCs w:val="15"/>
                <w:color w:val="auto"/>
              </w:rPr>
            </w:pPr>
          </w:p>
        </w:tc>
        <w:tc>
          <w:tcPr>
            <w:tcW w:w="780" w:type="dxa"/>
            <w:vAlign w:val="bottom"/>
          </w:tcPr>
          <w:p>
            <w:pPr>
              <w:jc w:val="right"/>
              <w:ind w:right="182"/>
              <w:spacing w:after="0"/>
              <w:rPr>
                <w:sz w:val="20"/>
                <w:szCs w:val="20"/>
                <w:color w:val="auto"/>
              </w:rPr>
            </w:pPr>
            <w:r>
              <w:rPr>
                <w:rFonts w:ascii="Arial" w:cs="Arial" w:eastAsia="Arial" w:hAnsi="Arial"/>
                <w:sz w:val="13"/>
                <w:szCs w:val="13"/>
                <w:color w:val="2D3243"/>
              </w:rPr>
              <w:t>—</w:t>
            </w:r>
          </w:p>
        </w:tc>
        <w:tc>
          <w:tcPr>
            <w:tcW w:w="700" w:type="dxa"/>
            <w:vAlign w:val="bottom"/>
          </w:tcPr>
          <w:p>
            <w:pPr>
              <w:jc w:val="right"/>
              <w:spacing w:after="0"/>
              <w:rPr>
                <w:sz w:val="20"/>
                <w:szCs w:val="20"/>
                <w:color w:val="auto"/>
              </w:rPr>
            </w:pPr>
            <w:r>
              <w:rPr>
                <w:rFonts w:ascii="Arial" w:cs="Arial" w:eastAsia="Arial" w:hAnsi="Arial"/>
                <w:sz w:val="13"/>
                <w:szCs w:val="13"/>
                <w:color w:val="2D3243"/>
              </w:rPr>
              <w:t>(81,764)</w:t>
            </w:r>
          </w:p>
        </w:tc>
        <w:tc>
          <w:tcPr>
            <w:tcW w:w="640" w:type="dxa"/>
            <w:vAlign w:val="bottom"/>
          </w:tcPr>
          <w:p>
            <w:pPr>
              <w:jc w:val="right"/>
              <w:ind w:right="24"/>
              <w:spacing w:after="0"/>
              <w:rPr>
                <w:sz w:val="20"/>
                <w:szCs w:val="20"/>
                <w:color w:val="auto"/>
              </w:rPr>
            </w:pPr>
            <w:r>
              <w:rPr>
                <w:rFonts w:ascii="Arial" w:cs="Arial" w:eastAsia="Arial" w:hAnsi="Arial"/>
                <w:sz w:val="13"/>
                <w:szCs w:val="13"/>
                <w:color w:val="2D3243"/>
              </w:rPr>
              <w:t>910,488</w:t>
            </w:r>
          </w:p>
        </w:tc>
        <w:tc>
          <w:tcPr>
            <w:tcW w:w="1040" w:type="dxa"/>
            <w:vAlign w:val="bottom"/>
          </w:tcPr>
          <w:p>
            <w:pPr>
              <w:jc w:val="right"/>
              <w:ind w:right="105"/>
              <w:spacing w:after="0"/>
              <w:rPr>
                <w:sz w:val="20"/>
                <w:szCs w:val="20"/>
                <w:color w:val="auto"/>
              </w:rPr>
            </w:pPr>
            <w:r>
              <w:rPr>
                <w:rFonts w:ascii="Arial" w:cs="Arial" w:eastAsia="Arial" w:hAnsi="Arial"/>
                <w:sz w:val="13"/>
                <w:szCs w:val="13"/>
                <w:color w:val="2D3243"/>
              </w:rPr>
              <w:t>166,265</w:t>
            </w:r>
          </w:p>
        </w:tc>
        <w:tc>
          <w:tcPr>
            <w:tcW w:w="0" w:type="dxa"/>
            <w:vAlign w:val="bottom"/>
          </w:tcPr>
          <w:p>
            <w:pPr>
              <w:spacing w:after="0"/>
              <w:rPr>
                <w:sz w:val="1"/>
                <w:szCs w:val="1"/>
                <w:color w:val="auto"/>
              </w:rPr>
            </w:pPr>
          </w:p>
        </w:tc>
      </w:tr>
      <w:tr>
        <w:trPr>
          <w:trHeight w:val="28"/>
        </w:trPr>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Borders>
              <w:left w:val="single" w:sz="8" w:color="F0F1F2"/>
              <w:bottom w:val="single" w:sz="8" w:color="F0F1F2"/>
            </w:tcBorders>
            <w:shd w:val="clear" w:color="auto" w:fill="F0F1F2"/>
          </w:tcPr>
          <w:p>
            <w:pPr>
              <w:ind w:left="20"/>
              <w:spacing w:after="0"/>
              <w:rPr>
                <w:sz w:val="20"/>
                <w:szCs w:val="20"/>
                <w:color w:val="auto"/>
              </w:rPr>
            </w:pPr>
            <w:r>
              <w:rPr>
                <w:rFonts w:ascii="Arial" w:cs="Arial" w:eastAsia="Arial" w:hAnsi="Arial"/>
                <w:sz w:val="13"/>
                <w:szCs w:val="13"/>
                <w:color w:val="2D3243"/>
              </w:rPr>
              <w:t>2022</w:t>
            </w:r>
          </w:p>
        </w:tc>
        <w:tc>
          <w:tcPr>
            <w:tcW w:w="1020" w:type="dxa"/>
            <w:vAlign w:val="bottom"/>
            <w:tcBorders>
              <w:bottom w:val="single" w:sz="8" w:color="F0F1F2"/>
            </w:tcBorders>
            <w:shd w:val="clear" w:color="auto" w:fill="F0F1F2"/>
          </w:tcPr>
          <w:p>
            <w:pPr>
              <w:jc w:val="right"/>
              <w:ind w:right="62"/>
              <w:spacing w:after="0"/>
              <w:rPr>
                <w:sz w:val="20"/>
                <w:szCs w:val="20"/>
                <w:color w:val="auto"/>
              </w:rPr>
            </w:pPr>
            <w:r>
              <w:rPr>
                <w:rFonts w:ascii="Arial" w:cs="Arial" w:eastAsia="Arial" w:hAnsi="Arial"/>
                <w:sz w:val="13"/>
                <w:szCs w:val="13"/>
                <w:color w:val="2D3243"/>
              </w:rPr>
              <w:t>38,225,785</w:t>
            </w:r>
          </w:p>
        </w:tc>
        <w:tc>
          <w:tcPr>
            <w:tcW w:w="980" w:type="dxa"/>
            <w:vAlign w:val="bottom"/>
            <w:tcBorders>
              <w:bottom w:val="single" w:sz="8" w:color="F0F1F2"/>
            </w:tcBorders>
            <w:shd w:val="clear" w:color="auto" w:fill="F0F1F2"/>
          </w:tcPr>
          <w:p>
            <w:pPr>
              <w:jc w:val="right"/>
              <w:ind w:right="84"/>
              <w:spacing w:after="0"/>
              <w:rPr>
                <w:sz w:val="20"/>
                <w:szCs w:val="20"/>
                <w:color w:val="auto"/>
              </w:rPr>
            </w:pPr>
            <w:r>
              <w:rPr>
                <w:rFonts w:ascii="Arial" w:cs="Arial" w:eastAsia="Arial" w:hAnsi="Arial"/>
                <w:sz w:val="13"/>
                <w:szCs w:val="13"/>
                <w:color w:val="2D3243"/>
              </w:rPr>
              <w:t>35,344,854</w:t>
            </w:r>
          </w:p>
        </w:tc>
        <w:tc>
          <w:tcPr>
            <w:tcW w:w="940" w:type="dxa"/>
            <w:vAlign w:val="bottom"/>
            <w:tcBorders>
              <w:bottom w:val="single" w:sz="8" w:color="F0F1F2"/>
            </w:tcBorders>
            <w:shd w:val="clear" w:color="auto" w:fill="F0F1F2"/>
          </w:tcPr>
          <w:p>
            <w:pPr>
              <w:jc w:val="right"/>
              <w:ind w:right="62"/>
              <w:spacing w:after="0"/>
              <w:rPr>
                <w:sz w:val="20"/>
                <w:szCs w:val="20"/>
                <w:color w:val="auto"/>
              </w:rPr>
            </w:pPr>
            <w:r>
              <w:rPr>
                <w:rFonts w:ascii="Arial" w:cs="Arial" w:eastAsia="Arial" w:hAnsi="Arial"/>
                <w:sz w:val="13"/>
                <w:szCs w:val="13"/>
                <w:color w:val="2D3243"/>
              </w:rPr>
              <w:t>11,137,770</w:t>
            </w:r>
          </w:p>
        </w:tc>
        <w:tc>
          <w:tcPr>
            <w:tcW w:w="980" w:type="dxa"/>
            <w:vAlign w:val="bottom"/>
            <w:tcBorders>
              <w:bottom w:val="single" w:sz="8" w:color="F0F1F2"/>
            </w:tcBorders>
            <w:shd w:val="clear" w:color="auto" w:fill="F0F1F2"/>
          </w:tcPr>
          <w:p>
            <w:pPr>
              <w:jc w:val="right"/>
              <w:ind w:right="65"/>
              <w:spacing w:after="0"/>
              <w:rPr>
                <w:sz w:val="20"/>
                <w:szCs w:val="20"/>
                <w:color w:val="auto"/>
              </w:rPr>
            </w:pPr>
            <w:r>
              <w:rPr>
                <w:rFonts w:ascii="Arial" w:cs="Arial" w:eastAsia="Arial" w:hAnsi="Arial"/>
                <w:sz w:val="13"/>
                <w:szCs w:val="13"/>
                <w:color w:val="2D3243"/>
              </w:rPr>
              <w:t>(7,178,662)</w:t>
            </w:r>
          </w:p>
        </w:tc>
        <w:tc>
          <w:tcPr>
            <w:tcW w:w="980" w:type="dxa"/>
            <w:vAlign w:val="bottom"/>
            <w:tcBorders>
              <w:bottom w:val="single" w:sz="8" w:color="F0F1F2"/>
            </w:tcBorders>
            <w:shd w:val="clear" w:color="auto" w:fill="F0F1F2"/>
          </w:tcPr>
          <w:p>
            <w:pPr>
              <w:jc w:val="right"/>
              <w:ind w:right="102"/>
              <w:spacing w:after="0"/>
              <w:rPr>
                <w:sz w:val="20"/>
                <w:szCs w:val="20"/>
                <w:color w:val="auto"/>
              </w:rPr>
            </w:pPr>
            <w:r>
              <w:rPr>
                <w:rFonts w:ascii="Arial" w:cs="Arial" w:eastAsia="Arial" w:hAnsi="Arial"/>
                <w:sz w:val="13"/>
                <w:szCs w:val="13"/>
                <w:color w:val="2D3243"/>
              </w:rPr>
              <w:t>7,857,310</w:t>
            </w:r>
          </w:p>
        </w:tc>
        <w:tc>
          <w:tcPr>
            <w:tcW w:w="940" w:type="dxa"/>
            <w:vAlign w:val="bottom"/>
            <w:tcBorders>
              <w:bottom w:val="single" w:sz="8" w:color="F0F1F2"/>
            </w:tcBorders>
            <w:shd w:val="clear" w:color="auto" w:fill="F0F1F2"/>
          </w:tcPr>
          <w:p>
            <w:pPr>
              <w:jc w:val="right"/>
              <w:ind w:right="5"/>
              <w:spacing w:after="0"/>
              <w:rPr>
                <w:sz w:val="20"/>
                <w:szCs w:val="20"/>
                <w:color w:val="auto"/>
              </w:rPr>
            </w:pPr>
            <w:r>
              <w:rPr>
                <w:rFonts w:ascii="Arial" w:cs="Arial" w:eastAsia="Arial" w:hAnsi="Arial"/>
                <w:sz w:val="13"/>
                <w:szCs w:val="13"/>
                <w:color w:val="2D3243"/>
              </w:rPr>
              <w:t>1,669,124</w:t>
            </w:r>
          </w:p>
        </w:tc>
        <w:tc>
          <w:tcPr>
            <w:tcW w:w="880" w:type="dxa"/>
            <w:vAlign w:val="bottom"/>
            <w:tcBorders>
              <w:bottom w:val="single" w:sz="8" w:color="F0F1F2"/>
            </w:tcBorders>
            <w:shd w:val="clear" w:color="auto" w:fill="F0F1F2"/>
          </w:tcPr>
          <w:p>
            <w:pPr>
              <w:ind w:left="600"/>
              <w:spacing w:after="0"/>
              <w:rPr>
                <w:sz w:val="20"/>
                <w:szCs w:val="20"/>
                <w:color w:val="auto"/>
              </w:rPr>
            </w:pPr>
            <w:r>
              <w:rPr>
                <w:rFonts w:ascii="Arial" w:cs="Arial" w:eastAsia="Arial" w:hAnsi="Arial"/>
                <w:sz w:val="13"/>
                <w:szCs w:val="13"/>
                <w:color w:val="2D3243"/>
              </w:rPr>
              <w:t>103</w:t>
            </w:r>
          </w:p>
        </w:tc>
        <w:tc>
          <w:tcPr>
            <w:tcW w:w="720" w:type="dxa"/>
            <w:vAlign w:val="bottom"/>
            <w:tcBorders>
              <w:bottom w:val="single" w:sz="8" w:color="F0F1F2"/>
            </w:tcBorders>
            <w:shd w:val="clear" w:color="auto" w:fill="F0F1F2"/>
          </w:tcPr>
          <w:p>
            <w:pPr>
              <w:jc w:val="center"/>
              <w:ind w:left="323"/>
              <w:spacing w:after="0"/>
              <w:rPr>
                <w:sz w:val="20"/>
                <w:szCs w:val="20"/>
                <w:color w:val="auto"/>
              </w:rPr>
            </w:pPr>
            <w:r>
              <w:rPr>
                <w:rFonts w:ascii="Arial" w:cs="Arial" w:eastAsia="Arial" w:hAnsi="Arial"/>
                <w:sz w:val="13"/>
                <w:szCs w:val="13"/>
                <w:color w:val="2D3243"/>
              </w:rPr>
              <w:t>130</w:t>
            </w:r>
          </w:p>
        </w:tc>
        <w:tc>
          <w:tcPr>
            <w:tcW w:w="120" w:type="dxa"/>
            <w:vAlign w:val="bottom"/>
            <w:tcBorders>
              <w:bottom w:val="single" w:sz="8" w:color="F0F1F2"/>
            </w:tcBorders>
            <w:shd w:val="clear" w:color="auto" w:fill="F0F1F2"/>
          </w:tcPr>
          <w:p>
            <w:pPr>
              <w:spacing w:after="0"/>
              <w:rPr>
                <w:sz w:val="15"/>
                <w:szCs w:val="15"/>
                <w:color w:val="auto"/>
              </w:rPr>
            </w:pPr>
          </w:p>
        </w:tc>
        <w:tc>
          <w:tcPr>
            <w:tcW w:w="780" w:type="dxa"/>
            <w:vAlign w:val="bottom"/>
            <w:tcBorders>
              <w:bottom w:val="single" w:sz="8" w:color="F0F1F2"/>
            </w:tcBorders>
            <w:shd w:val="clear" w:color="auto" w:fill="F0F1F2"/>
          </w:tcPr>
          <w:p>
            <w:pPr>
              <w:jc w:val="right"/>
              <w:ind w:right="182"/>
              <w:spacing w:after="0"/>
              <w:rPr>
                <w:sz w:val="20"/>
                <w:szCs w:val="20"/>
                <w:color w:val="auto"/>
              </w:rPr>
            </w:pPr>
            <w:r>
              <w:rPr>
                <w:rFonts w:ascii="Arial" w:cs="Arial" w:eastAsia="Arial" w:hAnsi="Arial"/>
                <w:sz w:val="13"/>
                <w:szCs w:val="13"/>
                <w:color w:val="2D3243"/>
              </w:rPr>
              <w:t>115</w:t>
            </w:r>
          </w:p>
        </w:tc>
        <w:tc>
          <w:tcPr>
            <w:tcW w:w="70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3"/>
                <w:szCs w:val="13"/>
                <w:color w:val="2D3243"/>
              </w:rPr>
              <w:t>(94,650)</w:t>
            </w:r>
          </w:p>
        </w:tc>
        <w:tc>
          <w:tcPr>
            <w:tcW w:w="640" w:type="dxa"/>
            <w:vAlign w:val="bottom"/>
            <w:tcBorders>
              <w:bottom w:val="single" w:sz="8" w:color="F0F1F2"/>
            </w:tcBorders>
            <w:shd w:val="clear" w:color="auto" w:fill="F0F1F2"/>
          </w:tcPr>
          <w:p>
            <w:pPr>
              <w:jc w:val="right"/>
              <w:ind w:right="24"/>
              <w:spacing w:after="0"/>
              <w:rPr>
                <w:sz w:val="20"/>
                <w:szCs w:val="20"/>
                <w:color w:val="auto"/>
              </w:rPr>
            </w:pPr>
            <w:r>
              <w:rPr>
                <w:rFonts w:ascii="Arial" w:cs="Arial" w:eastAsia="Arial" w:hAnsi="Arial"/>
                <w:sz w:val="13"/>
                <w:szCs w:val="13"/>
                <w:color w:val="2D3243"/>
              </w:rPr>
              <w:t>778,846</w:t>
            </w:r>
          </w:p>
        </w:tc>
        <w:tc>
          <w:tcPr>
            <w:tcW w:w="1040" w:type="dxa"/>
            <w:vAlign w:val="bottom"/>
            <w:tcBorders>
              <w:bottom w:val="single" w:sz="8" w:color="F0F1F2"/>
            </w:tcBorders>
            <w:shd w:val="clear" w:color="auto" w:fill="F0F1F2"/>
          </w:tcPr>
          <w:p>
            <w:pPr>
              <w:jc w:val="right"/>
              <w:ind w:right="105"/>
              <w:spacing w:after="0"/>
              <w:rPr>
                <w:sz w:val="20"/>
                <w:szCs w:val="20"/>
                <w:color w:val="auto"/>
              </w:rPr>
            </w:pPr>
            <w:r>
              <w:rPr>
                <w:rFonts w:ascii="Arial" w:cs="Arial" w:eastAsia="Arial" w:hAnsi="Arial"/>
                <w:sz w:val="13"/>
                <w:szCs w:val="13"/>
                <w:color w:val="2D3243"/>
              </w:rPr>
              <w:t>140,436</w:t>
            </w:r>
          </w:p>
        </w:tc>
        <w:tc>
          <w:tcPr>
            <w:tcW w:w="0" w:type="dxa"/>
            <w:vAlign w:val="bottom"/>
          </w:tcPr>
          <w:p>
            <w:pPr>
              <w:spacing w:after="0"/>
              <w:rPr>
                <w:sz w:val="1"/>
                <w:szCs w:val="1"/>
                <w:color w:val="auto"/>
              </w:rPr>
            </w:pPr>
          </w:p>
        </w:tc>
      </w:tr>
      <w:tr>
        <w:trPr>
          <w:trHeight w:val="175"/>
        </w:trPr>
        <w:tc>
          <w:tcPr>
            <w:tcW w:w="520" w:type="dxa"/>
            <w:vAlign w:val="bottom"/>
          </w:tcPr>
          <w:p>
            <w:pPr>
              <w:ind w:left="20"/>
              <w:spacing w:after="0"/>
              <w:rPr>
                <w:sz w:val="20"/>
                <w:szCs w:val="20"/>
                <w:color w:val="auto"/>
              </w:rPr>
            </w:pPr>
            <w:r>
              <w:rPr>
                <w:rFonts w:ascii="Arial" w:cs="Arial" w:eastAsia="Arial" w:hAnsi="Arial"/>
                <w:sz w:val="13"/>
                <w:szCs w:val="13"/>
                <w:color w:val="2D3243"/>
              </w:rPr>
              <w:t>2021</w:t>
            </w:r>
          </w:p>
        </w:tc>
        <w:tc>
          <w:tcPr>
            <w:tcW w:w="1020" w:type="dxa"/>
            <w:vAlign w:val="bottom"/>
          </w:tcPr>
          <w:p>
            <w:pPr>
              <w:jc w:val="right"/>
              <w:ind w:right="62"/>
              <w:spacing w:after="0"/>
              <w:rPr>
                <w:sz w:val="20"/>
                <w:szCs w:val="20"/>
                <w:color w:val="auto"/>
              </w:rPr>
            </w:pPr>
            <w:r>
              <w:rPr>
                <w:rFonts w:ascii="Arial" w:cs="Arial" w:eastAsia="Arial" w:hAnsi="Arial"/>
                <w:sz w:val="13"/>
                <w:szCs w:val="13"/>
                <w:color w:val="2D3243"/>
              </w:rPr>
              <w:t>—</w:t>
            </w:r>
          </w:p>
        </w:tc>
        <w:tc>
          <w:tcPr>
            <w:tcW w:w="980" w:type="dxa"/>
            <w:vAlign w:val="bottom"/>
          </w:tcPr>
          <w:p>
            <w:pPr>
              <w:jc w:val="right"/>
              <w:ind w:right="84"/>
              <w:spacing w:after="0"/>
              <w:rPr>
                <w:sz w:val="20"/>
                <w:szCs w:val="20"/>
                <w:color w:val="auto"/>
              </w:rPr>
            </w:pPr>
            <w:r>
              <w:rPr>
                <w:rFonts w:ascii="Arial" w:cs="Arial" w:eastAsia="Arial" w:hAnsi="Arial"/>
                <w:sz w:val="13"/>
                <w:szCs w:val="13"/>
                <w:color w:val="2D3243"/>
              </w:rPr>
              <w:t>—</w:t>
            </w:r>
          </w:p>
        </w:tc>
        <w:tc>
          <w:tcPr>
            <w:tcW w:w="940" w:type="dxa"/>
            <w:vAlign w:val="bottom"/>
          </w:tcPr>
          <w:p>
            <w:pPr>
              <w:jc w:val="right"/>
              <w:ind w:right="62"/>
              <w:spacing w:after="0"/>
              <w:rPr>
                <w:sz w:val="20"/>
                <w:szCs w:val="20"/>
                <w:color w:val="auto"/>
              </w:rPr>
            </w:pPr>
            <w:r>
              <w:rPr>
                <w:rFonts w:ascii="Arial" w:cs="Arial" w:eastAsia="Arial" w:hAnsi="Arial"/>
                <w:sz w:val="13"/>
                <w:szCs w:val="13"/>
                <w:color w:val="2D3243"/>
              </w:rPr>
              <w:t>10,825,689</w:t>
            </w:r>
          </w:p>
        </w:tc>
        <w:tc>
          <w:tcPr>
            <w:tcW w:w="980" w:type="dxa"/>
            <w:vAlign w:val="bottom"/>
          </w:tcPr>
          <w:p>
            <w:pPr>
              <w:jc w:val="right"/>
              <w:ind w:right="85"/>
              <w:spacing w:after="0"/>
              <w:rPr>
                <w:sz w:val="20"/>
                <w:szCs w:val="20"/>
                <w:color w:val="auto"/>
              </w:rPr>
            </w:pPr>
            <w:r>
              <w:rPr>
                <w:rFonts w:ascii="Arial" w:cs="Arial" w:eastAsia="Arial" w:hAnsi="Arial"/>
                <w:sz w:val="13"/>
                <w:szCs w:val="13"/>
                <w:color w:val="2D3243"/>
              </w:rPr>
              <w:t>4,461,892</w:t>
            </w:r>
          </w:p>
        </w:tc>
        <w:tc>
          <w:tcPr>
            <w:tcW w:w="980" w:type="dxa"/>
            <w:vAlign w:val="bottom"/>
          </w:tcPr>
          <w:p>
            <w:pPr>
              <w:jc w:val="right"/>
              <w:ind w:right="102"/>
              <w:spacing w:after="0"/>
              <w:rPr>
                <w:sz w:val="20"/>
                <w:szCs w:val="20"/>
                <w:color w:val="auto"/>
              </w:rPr>
            </w:pPr>
            <w:r>
              <w:rPr>
                <w:rFonts w:ascii="Arial" w:cs="Arial" w:eastAsia="Arial" w:hAnsi="Arial"/>
                <w:sz w:val="13"/>
                <w:szCs w:val="13"/>
                <w:color w:val="2D3243"/>
              </w:rPr>
              <w:t>4,617,926</w:t>
            </w:r>
          </w:p>
        </w:tc>
        <w:tc>
          <w:tcPr>
            <w:tcW w:w="940" w:type="dxa"/>
            <w:vAlign w:val="bottom"/>
          </w:tcPr>
          <w:p>
            <w:pPr>
              <w:jc w:val="right"/>
              <w:ind w:right="5"/>
              <w:spacing w:after="0"/>
              <w:rPr>
                <w:sz w:val="20"/>
                <w:szCs w:val="20"/>
                <w:color w:val="auto"/>
              </w:rPr>
            </w:pPr>
            <w:r>
              <w:rPr>
                <w:rFonts w:ascii="Arial" w:cs="Arial" w:eastAsia="Arial" w:hAnsi="Arial"/>
                <w:sz w:val="13"/>
                <w:szCs w:val="13"/>
                <w:color w:val="2D3243"/>
              </w:rPr>
              <w:t>1,270,926</w:t>
            </w:r>
          </w:p>
        </w:tc>
        <w:tc>
          <w:tcPr>
            <w:tcW w:w="880" w:type="dxa"/>
            <w:vAlign w:val="bottom"/>
          </w:tcPr>
          <w:p>
            <w:pPr>
              <w:ind w:left="600"/>
              <w:spacing w:after="0"/>
              <w:rPr>
                <w:sz w:val="20"/>
                <w:szCs w:val="20"/>
                <w:color w:val="auto"/>
              </w:rPr>
            </w:pPr>
            <w:r>
              <w:rPr>
                <w:rFonts w:ascii="Arial" w:cs="Arial" w:eastAsia="Arial" w:hAnsi="Arial"/>
                <w:sz w:val="13"/>
                <w:szCs w:val="13"/>
                <w:color w:val="2D3243"/>
              </w:rPr>
              <w:t>209</w:t>
            </w:r>
          </w:p>
        </w:tc>
        <w:tc>
          <w:tcPr>
            <w:tcW w:w="720" w:type="dxa"/>
            <w:vAlign w:val="bottom"/>
          </w:tcPr>
          <w:p>
            <w:pPr>
              <w:jc w:val="center"/>
              <w:ind w:left="323"/>
              <w:spacing w:after="0"/>
              <w:rPr>
                <w:sz w:val="20"/>
                <w:szCs w:val="20"/>
                <w:color w:val="auto"/>
              </w:rPr>
            </w:pPr>
            <w:r>
              <w:rPr>
                <w:rFonts w:ascii="Arial" w:cs="Arial" w:eastAsia="Arial" w:hAnsi="Arial"/>
                <w:sz w:val="13"/>
                <w:szCs w:val="13"/>
                <w:color w:val="2D3243"/>
              </w:rPr>
              <w:t>200</w:t>
            </w:r>
          </w:p>
        </w:tc>
        <w:tc>
          <w:tcPr>
            <w:tcW w:w="120" w:type="dxa"/>
            <w:vAlign w:val="bottom"/>
          </w:tcPr>
          <w:p>
            <w:pPr>
              <w:spacing w:after="0"/>
              <w:rPr>
                <w:sz w:val="15"/>
                <w:szCs w:val="15"/>
                <w:color w:val="auto"/>
              </w:rPr>
            </w:pPr>
          </w:p>
        </w:tc>
        <w:tc>
          <w:tcPr>
            <w:tcW w:w="780" w:type="dxa"/>
            <w:vAlign w:val="bottom"/>
          </w:tcPr>
          <w:p>
            <w:pPr>
              <w:jc w:val="right"/>
              <w:ind w:right="182"/>
              <w:spacing w:after="0"/>
              <w:rPr>
                <w:sz w:val="20"/>
                <w:szCs w:val="20"/>
                <w:color w:val="auto"/>
              </w:rPr>
            </w:pPr>
            <w:r>
              <w:rPr>
                <w:rFonts w:ascii="Arial" w:cs="Arial" w:eastAsia="Arial" w:hAnsi="Arial"/>
                <w:sz w:val="13"/>
                <w:szCs w:val="13"/>
                <w:color w:val="2D3243"/>
              </w:rPr>
              <w:t>186</w:t>
            </w:r>
          </w:p>
        </w:tc>
        <w:tc>
          <w:tcPr>
            <w:tcW w:w="700" w:type="dxa"/>
            <w:vAlign w:val="bottom"/>
          </w:tcPr>
          <w:p>
            <w:pPr>
              <w:jc w:val="right"/>
              <w:spacing w:after="0"/>
              <w:rPr>
                <w:sz w:val="20"/>
                <w:szCs w:val="20"/>
                <w:color w:val="auto"/>
              </w:rPr>
            </w:pPr>
            <w:r>
              <w:rPr>
                <w:rFonts w:ascii="Arial" w:cs="Arial" w:eastAsia="Arial" w:hAnsi="Arial"/>
                <w:sz w:val="13"/>
                <w:szCs w:val="13"/>
                <w:color w:val="2D3243"/>
              </w:rPr>
              <w:t>(53,000)</w:t>
            </w:r>
          </w:p>
        </w:tc>
        <w:tc>
          <w:tcPr>
            <w:tcW w:w="640" w:type="dxa"/>
            <w:vAlign w:val="bottom"/>
          </w:tcPr>
          <w:p>
            <w:pPr>
              <w:jc w:val="right"/>
              <w:ind w:right="24"/>
              <w:spacing w:after="0"/>
              <w:rPr>
                <w:sz w:val="20"/>
                <w:szCs w:val="20"/>
                <w:color w:val="auto"/>
              </w:rPr>
            </w:pPr>
            <w:r>
              <w:rPr>
                <w:rFonts w:ascii="Arial" w:cs="Arial" w:eastAsia="Arial" w:hAnsi="Arial"/>
                <w:sz w:val="13"/>
                <w:szCs w:val="13"/>
                <w:color w:val="2D3243"/>
              </w:rPr>
              <w:t>609,591</w:t>
            </w:r>
          </w:p>
        </w:tc>
        <w:tc>
          <w:tcPr>
            <w:tcW w:w="1040" w:type="dxa"/>
            <w:vAlign w:val="bottom"/>
          </w:tcPr>
          <w:p>
            <w:pPr>
              <w:jc w:val="right"/>
              <w:ind w:right="105"/>
              <w:spacing w:after="0"/>
              <w:rPr>
                <w:sz w:val="20"/>
                <w:szCs w:val="20"/>
                <w:color w:val="auto"/>
              </w:rPr>
            </w:pPr>
            <w:r>
              <w:rPr>
                <w:rFonts w:ascii="Arial" w:cs="Arial" w:eastAsia="Arial" w:hAnsi="Arial"/>
                <w:sz w:val="13"/>
                <w:szCs w:val="13"/>
                <w:color w:val="2D3243"/>
              </w:rPr>
              <w:t>110,503</w:t>
            </w:r>
          </w:p>
        </w:tc>
        <w:tc>
          <w:tcPr>
            <w:tcW w:w="0" w:type="dxa"/>
            <w:vAlign w:val="bottom"/>
          </w:tcPr>
          <w:p>
            <w:pPr>
              <w:spacing w:after="0"/>
              <w:rPr>
                <w:sz w:val="1"/>
                <w:szCs w:val="1"/>
                <w:color w:val="auto"/>
              </w:rPr>
            </w:pPr>
          </w:p>
        </w:tc>
      </w:tr>
      <w:tr>
        <w:trPr>
          <w:trHeight w:val="28"/>
        </w:trPr>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Borders>
              <w:left w:val="single" w:sz="8" w:color="F0F1F2"/>
              <w:bottom w:val="single" w:sz="8" w:color="F0F1F2"/>
            </w:tcBorders>
            <w:shd w:val="clear" w:color="auto" w:fill="F0F1F2"/>
          </w:tcPr>
          <w:p>
            <w:pPr>
              <w:ind w:left="20"/>
              <w:spacing w:after="0"/>
              <w:rPr>
                <w:sz w:val="20"/>
                <w:szCs w:val="20"/>
                <w:color w:val="auto"/>
              </w:rPr>
            </w:pPr>
            <w:r>
              <w:rPr>
                <w:rFonts w:ascii="Arial" w:cs="Arial" w:eastAsia="Arial" w:hAnsi="Arial"/>
                <w:sz w:val="13"/>
                <w:szCs w:val="13"/>
                <w:color w:val="2D3243"/>
              </w:rPr>
              <w:t>2020</w:t>
            </w:r>
          </w:p>
        </w:tc>
        <w:tc>
          <w:tcPr>
            <w:tcW w:w="1020" w:type="dxa"/>
            <w:vAlign w:val="bottom"/>
            <w:tcBorders>
              <w:bottom w:val="single" w:sz="8" w:color="F0F1F2"/>
            </w:tcBorders>
            <w:shd w:val="clear" w:color="auto" w:fill="F0F1F2"/>
          </w:tcPr>
          <w:p>
            <w:pPr>
              <w:jc w:val="right"/>
              <w:ind w:right="62"/>
              <w:spacing w:after="0"/>
              <w:rPr>
                <w:sz w:val="20"/>
                <w:szCs w:val="20"/>
                <w:color w:val="auto"/>
              </w:rPr>
            </w:pPr>
            <w:r>
              <w:rPr>
                <w:rFonts w:ascii="Arial" w:cs="Arial" w:eastAsia="Arial" w:hAnsi="Arial"/>
                <w:sz w:val="13"/>
                <w:szCs w:val="13"/>
                <w:color w:val="2D3243"/>
              </w:rPr>
              <w:t>—</w:t>
            </w:r>
          </w:p>
        </w:tc>
        <w:tc>
          <w:tcPr>
            <w:tcW w:w="980" w:type="dxa"/>
            <w:vAlign w:val="bottom"/>
            <w:tcBorders>
              <w:bottom w:val="single" w:sz="8" w:color="F0F1F2"/>
            </w:tcBorders>
            <w:shd w:val="clear" w:color="auto" w:fill="F0F1F2"/>
          </w:tcPr>
          <w:p>
            <w:pPr>
              <w:jc w:val="right"/>
              <w:ind w:right="84"/>
              <w:spacing w:after="0"/>
              <w:rPr>
                <w:sz w:val="20"/>
                <w:szCs w:val="20"/>
                <w:color w:val="auto"/>
              </w:rPr>
            </w:pPr>
            <w:r>
              <w:rPr>
                <w:rFonts w:ascii="Arial" w:cs="Arial" w:eastAsia="Arial" w:hAnsi="Arial"/>
                <w:sz w:val="13"/>
                <w:szCs w:val="13"/>
                <w:color w:val="2D3243"/>
              </w:rPr>
              <w:t>—</w:t>
            </w:r>
          </w:p>
        </w:tc>
        <w:tc>
          <w:tcPr>
            <w:tcW w:w="940" w:type="dxa"/>
            <w:vAlign w:val="bottom"/>
            <w:tcBorders>
              <w:bottom w:val="single" w:sz="8" w:color="F0F1F2"/>
            </w:tcBorders>
            <w:shd w:val="clear" w:color="auto" w:fill="F0F1F2"/>
          </w:tcPr>
          <w:p>
            <w:pPr>
              <w:jc w:val="right"/>
              <w:ind w:right="62"/>
              <w:spacing w:after="0"/>
              <w:rPr>
                <w:sz w:val="20"/>
                <w:szCs w:val="20"/>
                <w:color w:val="auto"/>
              </w:rPr>
            </w:pPr>
            <w:r>
              <w:rPr>
                <w:rFonts w:ascii="Arial" w:cs="Arial" w:eastAsia="Arial" w:hAnsi="Arial"/>
                <w:sz w:val="13"/>
                <w:szCs w:val="13"/>
                <w:color w:val="2D3243"/>
              </w:rPr>
              <w:t>6,417,891</w:t>
            </w:r>
          </w:p>
        </w:tc>
        <w:tc>
          <w:tcPr>
            <w:tcW w:w="980" w:type="dxa"/>
            <w:vAlign w:val="bottom"/>
            <w:tcBorders>
              <w:bottom w:val="single" w:sz="8" w:color="F0F1F2"/>
            </w:tcBorders>
            <w:shd w:val="clear" w:color="auto" w:fill="F0F1F2"/>
          </w:tcPr>
          <w:p>
            <w:pPr>
              <w:jc w:val="right"/>
              <w:ind w:right="85"/>
              <w:spacing w:after="0"/>
              <w:rPr>
                <w:sz w:val="20"/>
                <w:szCs w:val="20"/>
                <w:color w:val="auto"/>
              </w:rPr>
            </w:pPr>
            <w:r>
              <w:rPr>
                <w:rFonts w:ascii="Arial" w:cs="Arial" w:eastAsia="Arial" w:hAnsi="Arial"/>
                <w:sz w:val="13"/>
                <w:szCs w:val="13"/>
                <w:color w:val="2D3243"/>
              </w:rPr>
              <w:t>37,440,834</w:t>
            </w:r>
          </w:p>
        </w:tc>
        <w:tc>
          <w:tcPr>
            <w:tcW w:w="980" w:type="dxa"/>
            <w:vAlign w:val="bottom"/>
            <w:tcBorders>
              <w:bottom w:val="single" w:sz="8" w:color="F0F1F2"/>
            </w:tcBorders>
            <w:shd w:val="clear" w:color="auto" w:fill="F0F1F2"/>
          </w:tcPr>
          <w:p>
            <w:pPr>
              <w:jc w:val="right"/>
              <w:ind w:right="102"/>
              <w:spacing w:after="0"/>
              <w:rPr>
                <w:sz w:val="20"/>
                <w:szCs w:val="20"/>
                <w:color w:val="auto"/>
              </w:rPr>
            </w:pPr>
            <w:r>
              <w:rPr>
                <w:rFonts w:ascii="Arial" w:cs="Arial" w:eastAsia="Arial" w:hAnsi="Arial"/>
                <w:sz w:val="13"/>
                <w:szCs w:val="13"/>
                <w:color w:val="2D3243"/>
              </w:rPr>
              <w:t>3,003,657</w:t>
            </w:r>
          </w:p>
        </w:tc>
        <w:tc>
          <w:tcPr>
            <w:tcW w:w="940" w:type="dxa"/>
            <w:vAlign w:val="bottom"/>
            <w:tcBorders>
              <w:bottom w:val="single" w:sz="8" w:color="F0F1F2"/>
            </w:tcBorders>
            <w:shd w:val="clear" w:color="auto" w:fill="F0F1F2"/>
          </w:tcPr>
          <w:p>
            <w:pPr>
              <w:jc w:val="right"/>
              <w:ind w:right="5"/>
              <w:spacing w:after="0"/>
              <w:rPr>
                <w:sz w:val="20"/>
                <w:szCs w:val="20"/>
                <w:color w:val="auto"/>
              </w:rPr>
            </w:pPr>
            <w:r>
              <w:rPr>
                <w:rFonts w:ascii="Arial" w:cs="Arial" w:eastAsia="Arial" w:hAnsi="Arial"/>
                <w:sz w:val="13"/>
                <w:szCs w:val="13"/>
                <w:color w:val="2D3243"/>
              </w:rPr>
              <w:t>15,448,098</w:t>
            </w:r>
          </w:p>
        </w:tc>
        <w:tc>
          <w:tcPr>
            <w:tcW w:w="880" w:type="dxa"/>
            <w:vAlign w:val="bottom"/>
            <w:tcBorders>
              <w:bottom w:val="single" w:sz="8" w:color="F0F1F2"/>
            </w:tcBorders>
            <w:shd w:val="clear" w:color="auto" w:fill="F0F1F2"/>
          </w:tcPr>
          <w:p>
            <w:pPr>
              <w:ind w:left="600"/>
              <w:spacing w:after="0"/>
              <w:rPr>
                <w:sz w:val="20"/>
                <w:szCs w:val="20"/>
                <w:color w:val="auto"/>
              </w:rPr>
            </w:pPr>
            <w:r>
              <w:rPr>
                <w:rFonts w:ascii="Arial" w:cs="Arial" w:eastAsia="Arial" w:hAnsi="Arial"/>
                <w:sz w:val="13"/>
                <w:szCs w:val="13"/>
                <w:color w:val="2D3243"/>
              </w:rPr>
              <w:t>266</w:t>
            </w:r>
          </w:p>
        </w:tc>
        <w:tc>
          <w:tcPr>
            <w:tcW w:w="720" w:type="dxa"/>
            <w:vAlign w:val="bottom"/>
            <w:tcBorders>
              <w:bottom w:val="single" w:sz="8" w:color="F0F1F2"/>
            </w:tcBorders>
            <w:shd w:val="clear" w:color="auto" w:fill="F0F1F2"/>
          </w:tcPr>
          <w:p>
            <w:pPr>
              <w:jc w:val="center"/>
              <w:ind w:left="323"/>
              <w:spacing w:after="0"/>
              <w:rPr>
                <w:sz w:val="20"/>
                <w:szCs w:val="20"/>
                <w:color w:val="auto"/>
              </w:rPr>
            </w:pPr>
            <w:r>
              <w:rPr>
                <w:rFonts w:ascii="Arial" w:cs="Arial" w:eastAsia="Arial" w:hAnsi="Arial"/>
                <w:sz w:val="13"/>
                <w:szCs w:val="13"/>
                <w:color w:val="2D3243"/>
              </w:rPr>
              <w:t>157</w:t>
            </w:r>
          </w:p>
        </w:tc>
        <w:tc>
          <w:tcPr>
            <w:tcW w:w="120" w:type="dxa"/>
            <w:vAlign w:val="bottom"/>
            <w:tcBorders>
              <w:bottom w:val="single" w:sz="8" w:color="F0F1F2"/>
            </w:tcBorders>
            <w:shd w:val="clear" w:color="auto" w:fill="F0F1F2"/>
          </w:tcPr>
          <w:p>
            <w:pPr>
              <w:spacing w:after="0"/>
              <w:rPr>
                <w:sz w:val="15"/>
                <w:szCs w:val="15"/>
                <w:color w:val="auto"/>
              </w:rPr>
            </w:pPr>
          </w:p>
        </w:tc>
        <w:tc>
          <w:tcPr>
            <w:tcW w:w="780" w:type="dxa"/>
            <w:vAlign w:val="bottom"/>
            <w:tcBorders>
              <w:bottom w:val="single" w:sz="8" w:color="F0F1F2"/>
            </w:tcBorders>
            <w:shd w:val="clear" w:color="auto" w:fill="F0F1F2"/>
          </w:tcPr>
          <w:p>
            <w:pPr>
              <w:jc w:val="right"/>
              <w:ind w:right="182"/>
              <w:spacing w:after="0"/>
              <w:rPr>
                <w:sz w:val="20"/>
                <w:szCs w:val="20"/>
                <w:color w:val="auto"/>
              </w:rPr>
            </w:pPr>
            <w:r>
              <w:rPr>
                <w:rFonts w:ascii="Arial" w:cs="Arial" w:eastAsia="Arial" w:hAnsi="Arial"/>
                <w:sz w:val="13"/>
                <w:szCs w:val="13"/>
                <w:color w:val="2D3243"/>
              </w:rPr>
              <w:t>147</w:t>
            </w:r>
          </w:p>
        </w:tc>
        <w:tc>
          <w:tcPr>
            <w:tcW w:w="70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3"/>
                <w:szCs w:val="13"/>
                <w:color w:val="2D3243"/>
              </w:rPr>
              <w:t>(42,130)</w:t>
            </w:r>
          </w:p>
        </w:tc>
        <w:tc>
          <w:tcPr>
            <w:tcW w:w="640" w:type="dxa"/>
            <w:vAlign w:val="bottom"/>
            <w:tcBorders>
              <w:bottom w:val="single" w:sz="8" w:color="F0F1F2"/>
            </w:tcBorders>
            <w:shd w:val="clear" w:color="auto" w:fill="F0F1F2"/>
          </w:tcPr>
          <w:p>
            <w:pPr>
              <w:jc w:val="right"/>
              <w:ind w:right="24"/>
              <w:spacing w:after="0"/>
              <w:rPr>
                <w:sz w:val="20"/>
                <w:szCs w:val="20"/>
                <w:color w:val="auto"/>
              </w:rPr>
            </w:pPr>
            <w:r>
              <w:rPr>
                <w:rFonts w:ascii="Arial" w:cs="Arial" w:eastAsia="Arial" w:hAnsi="Arial"/>
                <w:sz w:val="13"/>
                <w:szCs w:val="13"/>
                <w:color w:val="2D3243"/>
              </w:rPr>
              <w:t>434,908</w:t>
            </w:r>
          </w:p>
        </w:tc>
        <w:tc>
          <w:tcPr>
            <w:tcW w:w="1040" w:type="dxa"/>
            <w:vAlign w:val="bottom"/>
            <w:tcBorders>
              <w:bottom w:val="single" w:sz="8" w:color="F0F1F2"/>
            </w:tcBorders>
            <w:shd w:val="clear" w:color="auto" w:fill="F0F1F2"/>
          </w:tcPr>
          <w:p>
            <w:pPr>
              <w:jc w:val="right"/>
              <w:ind w:right="105"/>
              <w:spacing w:after="0"/>
              <w:rPr>
                <w:sz w:val="20"/>
                <w:szCs w:val="20"/>
                <w:color w:val="auto"/>
              </w:rPr>
            </w:pPr>
            <w:r>
              <w:rPr>
                <w:rFonts w:ascii="Arial" w:cs="Arial" w:eastAsia="Arial" w:hAnsi="Arial"/>
                <w:sz w:val="13"/>
                <w:szCs w:val="13"/>
                <w:color w:val="2D3243"/>
              </w:rPr>
              <w:t>85,681</w:t>
            </w:r>
          </w:p>
        </w:tc>
        <w:tc>
          <w:tcPr>
            <w:tcW w:w="0" w:type="dxa"/>
            <w:vAlign w:val="bottom"/>
          </w:tcPr>
          <w:p>
            <w:pPr>
              <w:spacing w:after="0"/>
              <w:rPr>
                <w:sz w:val="1"/>
                <w:szCs w:val="1"/>
                <w:color w:val="auto"/>
              </w:rPr>
            </w:pPr>
          </w:p>
        </w:tc>
      </w:tr>
      <w:tr>
        <w:trPr>
          <w:trHeight w:val="20"/>
        </w:trPr>
        <w:tc>
          <w:tcPr>
            <w:tcW w:w="520" w:type="dxa"/>
            <w:vAlign w:val="bottom"/>
            <w:tcBorders>
              <w:left w:val="single" w:sz="8" w:color="0336FF"/>
            </w:tcBorders>
            <w:shd w:val="clear" w:color="auto" w:fill="0336FF"/>
          </w:tcPr>
          <w:p>
            <w:pPr>
              <w:spacing w:after="0" w:line="20" w:lineRule="exact"/>
              <w:rPr>
                <w:sz w:val="1"/>
                <w:szCs w:val="1"/>
                <w:color w:val="auto"/>
              </w:rPr>
            </w:pPr>
          </w:p>
        </w:tc>
        <w:tc>
          <w:tcPr>
            <w:tcW w:w="1020" w:type="dxa"/>
            <w:vAlign w:val="bottom"/>
            <w:shd w:val="clear" w:color="auto" w:fill="0336FF"/>
          </w:tcPr>
          <w:p>
            <w:pPr>
              <w:spacing w:after="0" w:line="20" w:lineRule="exact"/>
              <w:rPr>
                <w:sz w:val="1"/>
                <w:szCs w:val="1"/>
                <w:color w:val="auto"/>
              </w:rPr>
            </w:pPr>
          </w:p>
        </w:tc>
        <w:tc>
          <w:tcPr>
            <w:tcW w:w="980" w:type="dxa"/>
            <w:vAlign w:val="bottom"/>
            <w:shd w:val="clear" w:color="auto" w:fill="0336FF"/>
          </w:tcPr>
          <w:p>
            <w:pPr>
              <w:spacing w:after="0" w:line="20" w:lineRule="exact"/>
              <w:rPr>
                <w:sz w:val="1"/>
                <w:szCs w:val="1"/>
                <w:color w:val="auto"/>
              </w:rPr>
            </w:pPr>
          </w:p>
        </w:tc>
        <w:tc>
          <w:tcPr>
            <w:tcW w:w="940" w:type="dxa"/>
            <w:vAlign w:val="bottom"/>
            <w:shd w:val="clear" w:color="auto" w:fill="0336FF"/>
          </w:tcPr>
          <w:p>
            <w:pPr>
              <w:spacing w:after="0" w:line="20" w:lineRule="exact"/>
              <w:rPr>
                <w:sz w:val="1"/>
                <w:szCs w:val="1"/>
                <w:color w:val="auto"/>
              </w:rPr>
            </w:pPr>
          </w:p>
        </w:tc>
        <w:tc>
          <w:tcPr>
            <w:tcW w:w="980" w:type="dxa"/>
            <w:vAlign w:val="bottom"/>
            <w:shd w:val="clear" w:color="auto" w:fill="0336FF"/>
          </w:tcPr>
          <w:p>
            <w:pPr>
              <w:spacing w:after="0" w:line="20" w:lineRule="exact"/>
              <w:rPr>
                <w:sz w:val="1"/>
                <w:szCs w:val="1"/>
                <w:color w:val="auto"/>
              </w:rPr>
            </w:pPr>
          </w:p>
        </w:tc>
        <w:tc>
          <w:tcPr>
            <w:tcW w:w="980" w:type="dxa"/>
            <w:vAlign w:val="bottom"/>
            <w:shd w:val="clear" w:color="auto" w:fill="0336FF"/>
          </w:tcPr>
          <w:p>
            <w:pPr>
              <w:spacing w:after="0" w:line="20" w:lineRule="exact"/>
              <w:rPr>
                <w:sz w:val="1"/>
                <w:szCs w:val="1"/>
                <w:color w:val="auto"/>
              </w:rPr>
            </w:pPr>
          </w:p>
        </w:tc>
        <w:tc>
          <w:tcPr>
            <w:tcW w:w="940" w:type="dxa"/>
            <w:vAlign w:val="bottom"/>
            <w:shd w:val="clear" w:color="auto" w:fill="0336FF"/>
          </w:tcPr>
          <w:p>
            <w:pPr>
              <w:spacing w:after="0" w:line="20" w:lineRule="exact"/>
              <w:rPr>
                <w:sz w:val="1"/>
                <w:szCs w:val="1"/>
                <w:color w:val="auto"/>
              </w:rPr>
            </w:pPr>
          </w:p>
        </w:tc>
        <w:tc>
          <w:tcPr>
            <w:tcW w:w="880" w:type="dxa"/>
            <w:vAlign w:val="bottom"/>
            <w:shd w:val="clear" w:color="auto" w:fill="0336FF"/>
          </w:tcPr>
          <w:p>
            <w:pPr>
              <w:spacing w:after="0" w:line="20" w:lineRule="exact"/>
              <w:rPr>
                <w:sz w:val="1"/>
                <w:szCs w:val="1"/>
                <w:color w:val="auto"/>
              </w:rPr>
            </w:pPr>
          </w:p>
        </w:tc>
        <w:tc>
          <w:tcPr>
            <w:tcW w:w="720" w:type="dxa"/>
            <w:vAlign w:val="bottom"/>
            <w:shd w:val="clear" w:color="auto" w:fill="0336FF"/>
          </w:tcPr>
          <w:p>
            <w:pPr>
              <w:spacing w:after="0" w:line="20" w:lineRule="exact"/>
              <w:rPr>
                <w:sz w:val="1"/>
                <w:szCs w:val="1"/>
                <w:color w:val="auto"/>
              </w:rPr>
            </w:pPr>
          </w:p>
        </w:tc>
        <w:tc>
          <w:tcPr>
            <w:tcW w:w="120" w:type="dxa"/>
            <w:vAlign w:val="bottom"/>
            <w:shd w:val="clear" w:color="auto" w:fill="0336FF"/>
          </w:tcPr>
          <w:p>
            <w:pPr>
              <w:spacing w:after="0" w:line="20" w:lineRule="exact"/>
              <w:rPr>
                <w:sz w:val="1"/>
                <w:szCs w:val="1"/>
                <w:color w:val="auto"/>
              </w:rPr>
            </w:pPr>
          </w:p>
        </w:tc>
        <w:tc>
          <w:tcPr>
            <w:tcW w:w="780" w:type="dxa"/>
            <w:vAlign w:val="bottom"/>
            <w:shd w:val="clear" w:color="auto" w:fill="0336FF"/>
          </w:tcPr>
          <w:p>
            <w:pPr>
              <w:spacing w:after="0" w:line="20" w:lineRule="exact"/>
              <w:rPr>
                <w:sz w:val="1"/>
                <w:szCs w:val="1"/>
                <w:color w:val="auto"/>
              </w:rPr>
            </w:pPr>
          </w:p>
        </w:tc>
        <w:tc>
          <w:tcPr>
            <w:tcW w:w="700" w:type="dxa"/>
            <w:vAlign w:val="bottom"/>
            <w:shd w:val="clear" w:color="auto" w:fill="0336FF"/>
          </w:tcPr>
          <w:p>
            <w:pPr>
              <w:spacing w:after="0" w:line="20" w:lineRule="exact"/>
              <w:rPr>
                <w:sz w:val="1"/>
                <w:szCs w:val="1"/>
                <w:color w:val="auto"/>
              </w:rPr>
            </w:pPr>
          </w:p>
        </w:tc>
        <w:tc>
          <w:tcPr>
            <w:tcW w:w="640" w:type="dxa"/>
            <w:vAlign w:val="bottom"/>
            <w:shd w:val="clear" w:color="auto" w:fill="0336FF"/>
          </w:tcPr>
          <w:p>
            <w:pPr>
              <w:spacing w:after="0" w:line="20" w:lineRule="exact"/>
              <w:rPr>
                <w:sz w:val="1"/>
                <w:szCs w:val="1"/>
                <w:color w:val="auto"/>
              </w:rPr>
            </w:pPr>
          </w:p>
        </w:tc>
        <w:tc>
          <w:tcPr>
            <w:tcW w:w="1040" w:type="dxa"/>
            <w:vAlign w:val="bottom"/>
            <w:shd w:val="clear" w:color="auto" w:fill="0336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-1096645</wp:posOffset>
            </wp:positionV>
            <wp:extent cx="9169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-1542415</wp:posOffset>
            </wp:positionV>
            <wp:extent cx="30346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034665" cy="8890"/>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-719455</wp:posOffset>
            </wp:positionV>
            <wp:extent cx="1524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2400" cy="8890"/>
                    </a:xfrm>
                    <a:prstGeom prst="rect">
                      <a:avLst/>
                    </a:prstGeom>
                    <a:noFill/>
                  </pic:spPr>
                </pic:pic>
              </a:graphicData>
            </a:graphic>
          </wp:anchor>
        </w:drawing>
        <w:drawing>
          <wp:anchor simplePos="0" relativeHeight="251657728" behindDoc="1" locked="0" layoutInCell="0" allowOverlap="1">
            <wp:simplePos x="0" y="0"/>
            <wp:positionH relativeFrom="column">
              <wp:posOffset>6616065</wp:posOffset>
            </wp:positionH>
            <wp:positionV relativeFrom="paragraph">
              <wp:posOffset>-831215</wp:posOffset>
            </wp:positionV>
            <wp:extent cx="449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49580" cy="8255"/>
                    </a:xfrm>
                    <a:prstGeom prst="rect">
                      <a:avLst/>
                    </a:prstGeom>
                    <a:noFill/>
                  </pic:spPr>
                </pic:pic>
              </a:graphicData>
            </a:graphic>
          </wp:anchor>
        </w:drawing>
        <w:drawing>
          <wp:anchor simplePos="0" relativeHeight="251657728" behindDoc="1" locked="0" layoutInCell="0" allowOverlap="1">
            <wp:simplePos x="0" y="0"/>
            <wp:positionH relativeFrom="column">
              <wp:posOffset>6787515</wp:posOffset>
            </wp:positionH>
            <wp:positionV relativeFrom="paragraph">
              <wp:posOffset>-745490</wp:posOffset>
            </wp:positionV>
            <wp:extent cx="2781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8130" cy="8255"/>
                    </a:xfrm>
                    <a:prstGeom prst="rect">
                      <a:avLst/>
                    </a:prstGeom>
                    <a:noFill/>
                  </pic:spPr>
                </pic:pic>
              </a:graphicData>
            </a:graphic>
          </wp:anchor>
        </w:drawing>
      </w:r>
    </w:p>
    <w:p>
      <w:pPr>
        <w:spacing w:after="0" w:line="146"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4"/>
          <w:szCs w:val="14"/>
          <w:color w:val="2D3243"/>
        </w:rPr>
      </w:pPr>
      <w:r>
        <w:rPr>
          <w:rFonts w:ascii="Arial" w:cs="Arial" w:eastAsia="Arial" w:hAnsi="Arial"/>
          <w:sz w:val="14"/>
          <w:szCs w:val="14"/>
          <w:color w:val="2D3243"/>
        </w:rPr>
        <w:t>Michael Burkland served as our CEO beginning on November 28, 2022.</w:t>
      </w:r>
    </w:p>
    <w:p>
      <w:pPr>
        <w:spacing w:after="0" w:line="109" w:lineRule="exact"/>
        <w:rPr>
          <w:rFonts w:ascii="Arial" w:cs="Arial" w:eastAsia="Arial" w:hAnsi="Arial"/>
          <w:sz w:val="14"/>
          <w:szCs w:val="14"/>
          <w:color w:val="2D3243"/>
        </w:rPr>
      </w:pPr>
    </w:p>
    <w:p>
      <w:pPr>
        <w:ind w:left="420" w:hanging="412"/>
        <w:spacing w:after="0"/>
        <w:tabs>
          <w:tab w:leader="none" w:pos="420" w:val="left"/>
        </w:tabs>
        <w:numPr>
          <w:ilvl w:val="0"/>
          <w:numId w:val="68"/>
        </w:numPr>
        <w:rPr>
          <w:rFonts w:ascii="Arial" w:cs="Arial" w:eastAsia="Arial" w:hAnsi="Arial"/>
          <w:sz w:val="14"/>
          <w:szCs w:val="14"/>
          <w:color w:val="2D3243"/>
        </w:rPr>
      </w:pPr>
      <w:r>
        <w:rPr>
          <w:rFonts w:ascii="Arial" w:cs="Arial" w:eastAsia="Arial" w:hAnsi="Arial"/>
          <w:sz w:val="14"/>
          <w:szCs w:val="14"/>
          <w:color w:val="2D3243"/>
        </w:rPr>
        <w:t>Mr. Rowan Trollope served as our CEO for the entirety of 2020 and 2021, and through November 28, 2022, for 2022.</w:t>
      </w:r>
    </w:p>
    <w:p>
      <w:pPr>
        <w:spacing w:after="0" w:line="109" w:lineRule="exact"/>
        <w:rPr>
          <w:rFonts w:ascii="Arial" w:cs="Arial" w:eastAsia="Arial" w:hAnsi="Arial"/>
          <w:sz w:val="14"/>
          <w:szCs w:val="14"/>
          <w:color w:val="2D3243"/>
        </w:rPr>
      </w:pPr>
    </w:p>
    <w:p>
      <w:pPr>
        <w:ind w:left="420" w:hanging="412"/>
        <w:spacing w:after="0"/>
        <w:tabs>
          <w:tab w:leader="none" w:pos="420" w:val="left"/>
        </w:tabs>
        <w:numPr>
          <w:ilvl w:val="0"/>
          <w:numId w:val="68"/>
        </w:numPr>
        <w:rPr>
          <w:rFonts w:ascii="Arial" w:cs="Arial" w:eastAsia="Arial" w:hAnsi="Arial"/>
          <w:sz w:val="14"/>
          <w:szCs w:val="14"/>
          <w:color w:val="2D3243"/>
        </w:rPr>
      </w:pPr>
      <w:r>
        <w:rPr>
          <w:rFonts w:ascii="Arial" w:cs="Arial" w:eastAsia="Arial" w:hAnsi="Arial"/>
          <w:sz w:val="14"/>
          <w:szCs w:val="14"/>
          <w:color w:val="2D3243"/>
        </w:rPr>
        <w:t>The NEOs included in this calculation for each year are:</w:t>
      </w:r>
    </w:p>
    <w:p>
      <w:pPr>
        <w:spacing w:after="0" w:line="109" w:lineRule="exact"/>
        <w:rPr>
          <w:rFonts w:ascii="Arial" w:cs="Arial" w:eastAsia="Arial" w:hAnsi="Arial"/>
          <w:sz w:val="14"/>
          <w:szCs w:val="14"/>
          <w:color w:val="2D3243"/>
        </w:rPr>
      </w:pPr>
    </w:p>
    <w:p>
      <w:pPr>
        <w:ind w:left="1080" w:hanging="424"/>
        <w:spacing w:after="0"/>
        <w:tabs>
          <w:tab w:leader="none" w:pos="1080" w:val="left"/>
        </w:tabs>
        <w:numPr>
          <w:ilvl w:val="1"/>
          <w:numId w:val="68"/>
        </w:numPr>
        <w:rPr>
          <w:rFonts w:ascii="Arial" w:cs="Arial" w:eastAsia="Arial" w:hAnsi="Arial"/>
          <w:sz w:val="14"/>
          <w:szCs w:val="14"/>
          <w:color w:val="2D3243"/>
        </w:rPr>
      </w:pPr>
      <w:r>
        <w:rPr>
          <w:rFonts w:ascii="Arial" w:cs="Arial" w:eastAsia="Arial" w:hAnsi="Arial"/>
          <w:sz w:val="14"/>
          <w:szCs w:val="14"/>
          <w:color w:val="2D3243"/>
        </w:rPr>
        <w:t>2023 - Barry Zwarenstein, Daniel Burkland, Andy Dignan and Panos Kozanian.</w:t>
      </w:r>
    </w:p>
    <w:p>
      <w:pPr>
        <w:spacing w:after="0" w:line="109" w:lineRule="exact"/>
        <w:rPr>
          <w:rFonts w:ascii="Arial" w:cs="Arial" w:eastAsia="Arial" w:hAnsi="Arial"/>
          <w:sz w:val="14"/>
          <w:szCs w:val="14"/>
          <w:color w:val="2D3243"/>
        </w:rPr>
      </w:pPr>
    </w:p>
    <w:p>
      <w:pPr>
        <w:ind w:left="1060" w:hanging="404"/>
        <w:spacing w:after="0"/>
        <w:tabs>
          <w:tab w:leader="none" w:pos="1060" w:val="left"/>
        </w:tabs>
        <w:numPr>
          <w:ilvl w:val="1"/>
          <w:numId w:val="68"/>
        </w:numPr>
        <w:rPr>
          <w:rFonts w:ascii="Arial" w:cs="Arial" w:eastAsia="Arial" w:hAnsi="Arial"/>
          <w:sz w:val="14"/>
          <w:szCs w:val="14"/>
          <w:color w:val="2D3243"/>
        </w:rPr>
      </w:pPr>
      <w:r>
        <w:rPr>
          <w:rFonts w:ascii="Arial" w:cs="Arial" w:eastAsia="Arial" w:hAnsi="Arial"/>
          <w:sz w:val="14"/>
          <w:szCs w:val="14"/>
          <w:color w:val="2D3243"/>
        </w:rPr>
        <w:t>2022 - Barry Zwarenstein, Daniel Burkland, Scott Welch and Panos Kozanian.</w:t>
      </w:r>
    </w:p>
    <w:p>
      <w:pPr>
        <w:spacing w:after="0" w:line="109" w:lineRule="exact"/>
        <w:rPr>
          <w:rFonts w:ascii="Arial" w:cs="Arial" w:eastAsia="Arial" w:hAnsi="Arial"/>
          <w:sz w:val="14"/>
          <w:szCs w:val="14"/>
          <w:color w:val="2D3243"/>
        </w:rPr>
      </w:pPr>
    </w:p>
    <w:p>
      <w:pPr>
        <w:ind w:left="1060" w:hanging="404"/>
        <w:spacing w:after="0"/>
        <w:tabs>
          <w:tab w:leader="none" w:pos="1060" w:val="left"/>
        </w:tabs>
        <w:numPr>
          <w:ilvl w:val="1"/>
          <w:numId w:val="68"/>
        </w:numPr>
        <w:rPr>
          <w:rFonts w:ascii="Arial" w:cs="Arial" w:eastAsia="Arial" w:hAnsi="Arial"/>
          <w:sz w:val="14"/>
          <w:szCs w:val="14"/>
          <w:color w:val="2D3243"/>
        </w:rPr>
      </w:pPr>
      <w:r>
        <w:rPr>
          <w:rFonts w:ascii="Arial" w:cs="Arial" w:eastAsia="Arial" w:hAnsi="Arial"/>
          <w:sz w:val="14"/>
          <w:szCs w:val="14"/>
          <w:color w:val="2D3243"/>
        </w:rPr>
        <w:t>2021 - Barry Zwarenstein, Daniel Burkland and Scott Welch.</w:t>
      </w:r>
    </w:p>
    <w:p>
      <w:pPr>
        <w:spacing w:after="0" w:line="109" w:lineRule="exact"/>
        <w:rPr>
          <w:rFonts w:ascii="Arial" w:cs="Arial" w:eastAsia="Arial" w:hAnsi="Arial"/>
          <w:sz w:val="14"/>
          <w:szCs w:val="14"/>
          <w:color w:val="2D3243"/>
        </w:rPr>
      </w:pPr>
    </w:p>
    <w:p>
      <w:pPr>
        <w:ind w:left="1060" w:hanging="404"/>
        <w:spacing w:after="0"/>
        <w:tabs>
          <w:tab w:leader="none" w:pos="1060" w:val="left"/>
        </w:tabs>
        <w:numPr>
          <w:ilvl w:val="1"/>
          <w:numId w:val="68"/>
        </w:numPr>
        <w:rPr>
          <w:rFonts w:ascii="Arial" w:cs="Arial" w:eastAsia="Arial" w:hAnsi="Arial"/>
          <w:sz w:val="14"/>
          <w:szCs w:val="14"/>
          <w:color w:val="2D3243"/>
        </w:rPr>
      </w:pPr>
      <w:r>
        <w:rPr>
          <w:rFonts w:ascii="Arial" w:cs="Arial" w:eastAsia="Arial" w:hAnsi="Arial"/>
          <w:sz w:val="14"/>
          <w:szCs w:val="14"/>
          <w:color w:val="2D3243"/>
        </w:rPr>
        <w:t>2020 - Barry Zwarenstein, Daniel Burkland and Scott Welch.</w:t>
      </w:r>
    </w:p>
    <w:p>
      <w:pPr>
        <w:spacing w:after="0" w:line="217" w:lineRule="exact"/>
        <w:rPr>
          <w:rFonts w:ascii="Arial" w:cs="Arial" w:eastAsia="Arial" w:hAnsi="Arial"/>
          <w:sz w:val="14"/>
          <w:szCs w:val="14"/>
          <w:color w:val="2D3243"/>
        </w:rPr>
      </w:pPr>
    </w:p>
    <w:p>
      <w:pPr>
        <w:ind w:left="420" w:hanging="412"/>
        <w:spacing w:after="0" w:line="329" w:lineRule="auto"/>
        <w:tabs>
          <w:tab w:leader="none" w:pos="418" w:val="left"/>
        </w:tabs>
        <w:numPr>
          <w:ilvl w:val="0"/>
          <w:numId w:val="68"/>
        </w:numPr>
        <w:rPr>
          <w:rFonts w:ascii="Arial" w:cs="Arial" w:eastAsia="Arial" w:hAnsi="Arial"/>
          <w:sz w:val="14"/>
          <w:szCs w:val="14"/>
          <w:color w:val="2D3243"/>
        </w:rPr>
      </w:pPr>
      <w:r>
        <w:rPr>
          <w:rFonts w:ascii="Arial" w:cs="Arial" w:eastAsia="Arial" w:hAnsi="Arial"/>
          <w:sz w:val="14"/>
          <w:szCs w:val="14"/>
          <w:color w:val="2D3243"/>
        </w:rPr>
        <w:t>For each of 2023, 2022, 2021 and 2020, total shareholder return for the Company and the peer group was calculated as the yearly percentage change in cumulative total shareholder return based on a deemed fixed investment of $100 at market close on December 31, 2019. The yearly percentage change in cumulative total shareholder return was measured as the quotient of (a) the difference between stock price per share at the end and the beginning of the Measurement Period, divided by (b) stock price per share at the beginning of the Measurement Period. For purposes of this pay versus performance disclosure, our peer group is the NASDAQ Computer Index (the "Peer Group"). Beginning in 2023, we started to compare our common stock to the NASDAQ Computer Index and ceased using the NASDAQ Computer and Data Processing Index as that index is no longer available. Because fiscal years are presented in the table in reverse chronological order (from top to bottom), the table should be read from bottom to top for purposes of understanding cumulative returns over time.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69</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7" w:name="page78"/>
    <w:bookmarkEnd w:id="77"/>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0" w:hanging="412"/>
        <w:spacing w:after="0"/>
        <w:tabs>
          <w:tab w:leader="none" w:pos="420" w:val="left"/>
        </w:tabs>
        <w:numPr>
          <w:ilvl w:val="0"/>
          <w:numId w:val="69"/>
        </w:numPr>
        <w:rPr>
          <w:rFonts w:ascii="Arial" w:cs="Arial" w:eastAsia="Arial" w:hAnsi="Arial"/>
          <w:sz w:val="14"/>
          <w:szCs w:val="14"/>
          <w:color w:val="2D3243"/>
        </w:rPr>
      </w:pPr>
      <w:r>
        <w:rPr>
          <w:rFonts w:ascii="Arial" w:cs="Arial" w:eastAsia="Arial" w:hAnsi="Arial"/>
          <w:sz w:val="14"/>
          <w:szCs w:val="14"/>
          <w:color w:val="2D3243"/>
        </w:rPr>
        <w:t>Net loss attributable to Five9, Inc. as reported in the consolidated financial statements included in our Form 10-K for the year ended December 31, 2023.</w:t>
      </w:r>
    </w:p>
    <w:p>
      <w:pPr>
        <w:spacing w:after="0" w:line="109" w:lineRule="exact"/>
        <w:rPr>
          <w:rFonts w:ascii="Arial" w:cs="Arial" w:eastAsia="Arial" w:hAnsi="Arial"/>
          <w:sz w:val="14"/>
          <w:szCs w:val="14"/>
          <w:color w:val="2D3243"/>
        </w:rPr>
      </w:pPr>
    </w:p>
    <w:p>
      <w:pPr>
        <w:ind w:left="420" w:hanging="412"/>
        <w:spacing w:after="0"/>
        <w:tabs>
          <w:tab w:leader="none" w:pos="420" w:val="left"/>
        </w:tabs>
        <w:numPr>
          <w:ilvl w:val="0"/>
          <w:numId w:val="69"/>
        </w:numPr>
        <w:rPr>
          <w:rFonts w:ascii="Arial" w:cs="Arial" w:eastAsia="Arial" w:hAnsi="Arial"/>
          <w:sz w:val="14"/>
          <w:szCs w:val="14"/>
          <w:color w:val="2D3243"/>
        </w:rPr>
      </w:pPr>
      <w:r>
        <w:rPr>
          <w:rFonts w:ascii="Arial" w:cs="Arial" w:eastAsia="Arial" w:hAnsi="Arial"/>
          <w:sz w:val="14"/>
          <w:szCs w:val="14"/>
          <w:color w:val="2D3243"/>
        </w:rPr>
        <w:t>Revenue as reported in the consolidated financial statements included in our Form 10-K for the year ended December 31, 2023.</w:t>
      </w:r>
    </w:p>
    <w:p>
      <w:pPr>
        <w:spacing w:after="0" w:line="109" w:lineRule="exact"/>
        <w:rPr>
          <w:rFonts w:ascii="Arial" w:cs="Arial" w:eastAsia="Arial" w:hAnsi="Arial"/>
          <w:sz w:val="14"/>
          <w:szCs w:val="14"/>
          <w:color w:val="2D3243"/>
        </w:rPr>
      </w:pPr>
    </w:p>
    <w:p>
      <w:pPr>
        <w:ind w:left="420" w:right="140" w:hanging="412"/>
        <w:spacing w:after="0" w:line="332" w:lineRule="auto"/>
        <w:tabs>
          <w:tab w:leader="none" w:pos="418" w:val="left"/>
        </w:tabs>
        <w:numPr>
          <w:ilvl w:val="0"/>
          <w:numId w:val="69"/>
        </w:numPr>
        <w:rPr>
          <w:rFonts w:ascii="Arial" w:cs="Arial" w:eastAsia="Arial" w:hAnsi="Arial"/>
          <w:sz w:val="14"/>
          <w:szCs w:val="14"/>
          <w:color w:val="2D3243"/>
        </w:rPr>
      </w:pPr>
      <w:r>
        <w:rPr>
          <w:rFonts w:ascii="Arial" w:cs="Arial" w:eastAsia="Arial" w:hAnsi="Arial"/>
          <w:sz w:val="14"/>
          <w:szCs w:val="14"/>
          <w:color w:val="2D3243"/>
        </w:rPr>
        <w:t>Adjusted EBITDA as reported in the consolidated financial statements included in our Form 10-K for the year ended December 31, 2023. Adjusted EBITDA is calculated as net loss before (1) depreciation and amortization, (2) stock-based compensation, (3) interest expense, (4) interest (income) and other, (5) exit costs related to the closure and relocation of our Russian operations, (6) acquisition and related transaction costs and one-time integration costs, (7) contingent consideration expense, (8) refund for prior year overpayment of USF fees, (9) lease amortization for finance leases, (10) provision for (benefit from) income taxes, and (11) other items that do not directly affect what we consider to be our core operating performance.</w:t>
      </w:r>
    </w:p>
    <w:p>
      <w:pPr>
        <w:spacing w:after="0" w:line="20" w:lineRule="exact"/>
        <w:rPr>
          <w:rFonts w:ascii="Arial" w:cs="Arial" w:eastAsia="Arial" w:hAnsi="Arial"/>
          <w:sz w:val="14"/>
          <w:szCs w:val="14"/>
          <w:color w:val="2D3243"/>
        </w:rPr>
      </w:pPr>
    </w:p>
    <w:p>
      <w:pPr>
        <w:ind w:left="420" w:right="100" w:hanging="412"/>
        <w:spacing w:after="0" w:line="365" w:lineRule="auto"/>
        <w:tabs>
          <w:tab w:leader="none" w:pos="418" w:val="left"/>
        </w:tabs>
        <w:numPr>
          <w:ilvl w:val="0"/>
          <w:numId w:val="69"/>
        </w:numPr>
        <w:rPr>
          <w:rFonts w:ascii="Arial" w:cs="Arial" w:eastAsia="Arial" w:hAnsi="Arial"/>
          <w:sz w:val="14"/>
          <w:szCs w:val="14"/>
          <w:color w:val="2D3243"/>
        </w:rPr>
      </w:pPr>
      <w:r>
        <w:rPr>
          <w:rFonts w:ascii="Arial" w:cs="Arial" w:eastAsia="Arial" w:hAnsi="Arial"/>
          <w:sz w:val="14"/>
          <w:szCs w:val="14"/>
          <w:color w:val="2D3243"/>
        </w:rPr>
        <w:t>The additional table below sets forth each of the amounts required by Item 402(v) of Regulation S-K to be deducted from and added to the amount of total compensation as reflected in the Summary Compensation Table, to calculate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3810</wp:posOffset>
            </wp:positionV>
            <wp:extent cx="6437630" cy="3600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37630" cy="3600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tbl>
      <w:tblPr>
        <w:tblLayout w:type="fixed"/>
        <w:tblInd w:w="420" w:type="dxa"/>
        <w:tblCellMar>
          <w:top w:w="0" w:type="dxa"/>
          <w:left w:w="0" w:type="dxa"/>
          <w:bottom w:w="0" w:type="dxa"/>
          <w:right w:w="0" w:type="dxa"/>
        </w:tblCellMar>
      </w:tblPr>
      <w:tr>
        <w:trPr>
          <w:trHeight w:val="135"/>
        </w:trPr>
        <w:tc>
          <w:tcPr>
            <w:tcW w:w="1460" w:type="dxa"/>
            <w:vAlign w:val="bottom"/>
          </w:tcPr>
          <w:p>
            <w:pPr>
              <w:ind w:left="20"/>
              <w:spacing w:after="0"/>
              <w:rPr>
                <w:sz w:val="20"/>
                <w:szCs w:val="20"/>
                <w:color w:val="auto"/>
              </w:rPr>
            </w:pPr>
            <w:r>
              <w:rPr>
                <w:rFonts w:ascii="Arial" w:cs="Arial" w:eastAsia="Arial" w:hAnsi="Arial"/>
                <w:sz w:val="11"/>
                <w:szCs w:val="11"/>
                <w:color w:val="2D3243"/>
              </w:rPr>
              <w:t>Total Compensation for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tcPr>
          <w:p>
            <w:pPr>
              <w:ind w:left="20"/>
              <w:spacing w:after="0"/>
              <w:rPr>
                <w:sz w:val="20"/>
                <w:szCs w:val="20"/>
                <w:color w:val="auto"/>
              </w:rPr>
            </w:pPr>
            <w:r>
              <w:rPr>
                <w:rFonts w:ascii="Arial" w:cs="Arial" w:eastAsia="Arial" w:hAnsi="Arial"/>
                <w:sz w:val="11"/>
                <w:szCs w:val="11"/>
                <w:color w:val="2D3243"/>
              </w:rPr>
              <w:t>covered fiscal year (FY) from</w:t>
            </w:r>
          </w:p>
        </w:tc>
        <w:tc>
          <w:tcPr>
            <w:tcW w:w="60" w:type="dxa"/>
            <w:vAlign w:val="bottom"/>
          </w:tcPr>
          <w:p>
            <w:pPr>
              <w:jc w:val="right"/>
              <w:spacing w:after="0"/>
              <w:rPr>
                <w:sz w:val="20"/>
                <w:szCs w:val="20"/>
                <w:color w:val="auto"/>
              </w:rPr>
            </w:pPr>
            <w:r>
              <w:rPr>
                <w:rFonts w:ascii="Arial" w:cs="Arial" w:eastAsia="Arial" w:hAnsi="Arial"/>
                <w:sz w:val="10"/>
                <w:szCs w:val="10"/>
                <w:color w:val="2D3243"/>
                <w:w w:val="71"/>
              </w:rPr>
              <w:t>$</w:t>
            </w:r>
          </w:p>
        </w:tc>
        <w:tc>
          <w:tcPr>
            <w:tcW w:w="0" w:type="dxa"/>
            <w:vAlign w:val="bottom"/>
          </w:tcPr>
          <w:p>
            <w:pPr>
              <w:spacing w:after="0"/>
              <w:rPr>
                <w:sz w:val="1"/>
                <w:szCs w:val="1"/>
                <w:color w:val="auto"/>
              </w:rPr>
            </w:pPr>
          </w:p>
        </w:tc>
      </w:tr>
      <w:tr>
        <w:trPr>
          <w:trHeight w:val="125"/>
        </w:trPr>
        <w:tc>
          <w:tcPr>
            <w:tcW w:w="1460" w:type="dxa"/>
            <w:vAlign w:val="bottom"/>
          </w:tcPr>
          <w:p>
            <w:pPr>
              <w:ind w:left="20"/>
              <w:spacing w:after="0" w:line="125" w:lineRule="exact"/>
              <w:rPr>
                <w:sz w:val="20"/>
                <w:szCs w:val="20"/>
                <w:color w:val="auto"/>
              </w:rPr>
            </w:pPr>
            <w:r>
              <w:rPr>
                <w:rFonts w:ascii="Arial" w:cs="Arial" w:eastAsia="Arial" w:hAnsi="Arial"/>
                <w:sz w:val="11"/>
                <w:szCs w:val="11"/>
                <w:color w:val="2D3243"/>
              </w:rPr>
              <w:t>Summary Compensation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Arial" w:cs="Arial" w:eastAsia="Arial" w:hAnsi="Arial"/>
                <w:sz w:val="11"/>
                <w:szCs w:val="11"/>
                <w:color w:val="2D3243"/>
              </w:rPr>
              <w:t>Table (SCT)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460" w:type="dxa"/>
            <w:vAlign w:val="bottom"/>
          </w:tcPr>
          <w:p>
            <w:pPr>
              <w:ind w:left="20"/>
              <w:spacing w:after="0"/>
              <w:rPr>
                <w:sz w:val="20"/>
                <w:szCs w:val="20"/>
                <w:color w:val="auto"/>
              </w:rPr>
            </w:pPr>
            <w:r>
              <w:rPr>
                <w:rFonts w:ascii="Arial" w:cs="Arial" w:eastAsia="Arial" w:hAnsi="Arial"/>
                <w:sz w:val="11"/>
                <w:szCs w:val="11"/>
                <w:color w:val="2D3243"/>
              </w:rPr>
              <w:t>DEDUCT: grant date fair</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2D3243"/>
                <w:w w:val="71"/>
              </w:rPr>
              <w:t>$</w:t>
            </w:r>
          </w:p>
        </w:tc>
        <w:tc>
          <w:tcPr>
            <w:tcW w:w="0" w:type="dxa"/>
            <w:vAlign w:val="bottom"/>
          </w:tcPr>
          <w:p>
            <w:pPr>
              <w:spacing w:after="0"/>
              <w:rPr>
                <w:sz w:val="1"/>
                <w:szCs w:val="1"/>
                <w:color w:val="auto"/>
              </w:rPr>
            </w:pPr>
          </w:p>
        </w:tc>
      </w:tr>
      <w:tr>
        <w:trPr>
          <w:trHeight w:val="122"/>
        </w:trPr>
        <w:tc>
          <w:tcPr>
            <w:tcW w:w="1460" w:type="dxa"/>
            <w:vAlign w:val="bottom"/>
          </w:tcPr>
          <w:p>
            <w:pPr>
              <w:ind w:left="20"/>
              <w:spacing w:after="0" w:line="122" w:lineRule="exact"/>
              <w:rPr>
                <w:sz w:val="20"/>
                <w:szCs w:val="20"/>
                <w:color w:val="auto"/>
              </w:rPr>
            </w:pPr>
            <w:r>
              <w:rPr>
                <w:rFonts w:ascii="Arial" w:cs="Arial" w:eastAsia="Arial" w:hAnsi="Arial"/>
                <w:sz w:val="11"/>
                <w:szCs w:val="11"/>
                <w:color w:val="2D3243"/>
              </w:rPr>
              <w:t>value (GDFV) of equity</w:t>
            </w: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Arial" w:cs="Arial" w:eastAsia="Arial" w:hAnsi="Arial"/>
                <w:sz w:val="11"/>
                <w:szCs w:val="11"/>
                <w:color w:val="2D3243"/>
              </w:rPr>
              <w:t>awards granted during FY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20"/>
              <w:spacing w:after="0"/>
              <w:rPr>
                <w:sz w:val="20"/>
                <w:szCs w:val="20"/>
                <w:color w:val="auto"/>
              </w:rPr>
            </w:pPr>
            <w:r>
              <w:rPr>
                <w:rFonts w:ascii="Arial" w:cs="Arial" w:eastAsia="Arial" w:hAnsi="Arial"/>
                <w:sz w:val="11"/>
                <w:szCs w:val="11"/>
                <w:color w:val="2D3243"/>
              </w:rPr>
              <w:t>ADD: Fair value (FV) as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60" w:type="dxa"/>
            <w:vAlign w:val="bottom"/>
          </w:tcPr>
          <w:p>
            <w:pPr>
              <w:ind w:left="20"/>
              <w:spacing w:after="0" w:line="122" w:lineRule="exact"/>
              <w:rPr>
                <w:sz w:val="20"/>
                <w:szCs w:val="20"/>
                <w:color w:val="auto"/>
              </w:rPr>
            </w:pPr>
            <w:r>
              <w:rPr>
                <w:rFonts w:ascii="Arial" w:cs="Arial" w:eastAsia="Arial" w:hAnsi="Arial"/>
                <w:sz w:val="11"/>
                <w:szCs w:val="11"/>
                <w:color w:val="2D3243"/>
              </w:rPr>
              <w:t>FY-end of equity awards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rPr>
                <w:sz w:val="20"/>
                <w:szCs w:val="20"/>
                <w:color w:val="auto"/>
              </w:rPr>
            </w:pPr>
            <w:r>
              <w:rPr>
                <w:rFonts w:ascii="Arial" w:cs="Arial" w:eastAsia="Arial" w:hAnsi="Arial"/>
                <w:sz w:val="11"/>
                <w:szCs w:val="11"/>
                <w:color w:val="2D3243"/>
              </w:rPr>
              <w:t>granted during the year that</w:t>
            </w:r>
          </w:p>
        </w:tc>
        <w:tc>
          <w:tcPr>
            <w:tcW w:w="60" w:type="dxa"/>
            <w:vAlign w:val="bottom"/>
          </w:tcPr>
          <w:p>
            <w:pPr>
              <w:jc w:val="right"/>
              <w:spacing w:after="0"/>
              <w:rPr>
                <w:sz w:val="20"/>
                <w:szCs w:val="20"/>
                <w:color w:val="auto"/>
              </w:rPr>
            </w:pPr>
            <w:r>
              <w:rPr>
                <w:rFonts w:ascii="Arial" w:cs="Arial" w:eastAsia="Arial" w:hAnsi="Arial"/>
                <w:sz w:val="10"/>
                <w:szCs w:val="10"/>
                <w:color w:val="2D3243"/>
                <w:w w:val="71"/>
              </w:rPr>
              <w:t>$</w:t>
            </w:r>
          </w:p>
        </w:tc>
        <w:tc>
          <w:tcPr>
            <w:tcW w:w="0" w:type="dxa"/>
            <w:vAlign w:val="bottom"/>
          </w:tcPr>
          <w:p>
            <w:pPr>
              <w:spacing w:after="0"/>
              <w:rPr>
                <w:sz w:val="1"/>
                <w:szCs w:val="1"/>
                <w:color w:val="auto"/>
              </w:rPr>
            </w:pPr>
          </w:p>
        </w:tc>
      </w:tr>
      <w:tr>
        <w:trPr>
          <w:trHeight w:val="122"/>
        </w:trPr>
        <w:tc>
          <w:tcPr>
            <w:tcW w:w="1460" w:type="dxa"/>
            <w:vAlign w:val="bottom"/>
          </w:tcPr>
          <w:p>
            <w:pPr>
              <w:ind w:left="20"/>
              <w:spacing w:after="0" w:line="122" w:lineRule="exact"/>
              <w:rPr>
                <w:sz w:val="20"/>
                <w:szCs w:val="20"/>
                <w:color w:val="auto"/>
              </w:rPr>
            </w:pPr>
            <w:r>
              <w:rPr>
                <w:rFonts w:ascii="Arial" w:cs="Arial" w:eastAsia="Arial" w:hAnsi="Arial"/>
                <w:sz w:val="11"/>
                <w:szCs w:val="11"/>
                <w:color w:val="2D3243"/>
              </w:rPr>
              <w:t>are outstanding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Arial" w:cs="Arial" w:eastAsia="Arial" w:hAnsi="Arial"/>
                <w:sz w:val="11"/>
                <w:szCs w:val="11"/>
                <w:color w:val="2D3243"/>
              </w:rPr>
              <w:t>unvested as of FY-end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20"/>
              <w:spacing w:after="0"/>
              <w:rPr>
                <w:sz w:val="20"/>
                <w:szCs w:val="20"/>
                <w:color w:val="auto"/>
              </w:rPr>
            </w:pPr>
            <w:r>
              <w:rPr>
                <w:rFonts w:ascii="Arial" w:cs="Arial" w:eastAsia="Arial" w:hAnsi="Arial"/>
                <w:sz w:val="11"/>
                <w:szCs w:val="11"/>
                <w:color w:val="2D3243"/>
                <w:w w:val="99"/>
              </w:rPr>
              <w:t>ADD: change as of end of FY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460" w:type="dxa"/>
            <w:vAlign w:val="bottom"/>
          </w:tcPr>
          <w:p>
            <w:pPr>
              <w:ind w:left="20"/>
              <w:spacing w:after="0" w:line="122" w:lineRule="exact"/>
              <w:rPr>
                <w:sz w:val="20"/>
                <w:szCs w:val="20"/>
                <w:color w:val="auto"/>
              </w:rPr>
            </w:pPr>
            <w:r>
              <w:rPr>
                <w:rFonts w:ascii="Arial" w:cs="Arial" w:eastAsia="Arial" w:hAnsi="Arial"/>
                <w:sz w:val="11"/>
                <w:szCs w:val="11"/>
                <w:color w:val="2D3243"/>
              </w:rPr>
              <w:t>in FV of awards granted in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rPr>
                <w:sz w:val="20"/>
                <w:szCs w:val="20"/>
                <w:color w:val="auto"/>
              </w:rPr>
            </w:pPr>
            <w:r>
              <w:rPr>
                <w:rFonts w:ascii="Arial" w:cs="Arial" w:eastAsia="Arial" w:hAnsi="Arial"/>
                <w:sz w:val="11"/>
                <w:szCs w:val="11"/>
                <w:color w:val="2D3243"/>
              </w:rPr>
              <w:t>any prior year that are</w:t>
            </w:r>
          </w:p>
        </w:tc>
        <w:tc>
          <w:tcPr>
            <w:tcW w:w="60" w:type="dxa"/>
            <w:vAlign w:val="bottom"/>
          </w:tcPr>
          <w:p>
            <w:pPr>
              <w:jc w:val="right"/>
              <w:spacing w:after="0"/>
              <w:rPr>
                <w:sz w:val="20"/>
                <w:szCs w:val="20"/>
                <w:color w:val="auto"/>
              </w:rPr>
            </w:pPr>
            <w:r>
              <w:rPr>
                <w:rFonts w:ascii="Arial" w:cs="Arial" w:eastAsia="Arial" w:hAnsi="Arial"/>
                <w:sz w:val="10"/>
                <w:szCs w:val="10"/>
                <w:color w:val="2D3243"/>
                <w:w w:val="71"/>
              </w:rPr>
              <w:t>$</w:t>
            </w:r>
          </w:p>
        </w:tc>
        <w:tc>
          <w:tcPr>
            <w:tcW w:w="0" w:type="dxa"/>
            <w:vAlign w:val="bottom"/>
          </w:tcPr>
          <w:p>
            <w:pPr>
              <w:spacing w:after="0"/>
              <w:rPr>
                <w:sz w:val="1"/>
                <w:szCs w:val="1"/>
                <w:color w:val="auto"/>
              </w:rPr>
            </w:pPr>
          </w:p>
        </w:tc>
      </w:tr>
      <w:tr>
        <w:trPr>
          <w:trHeight w:val="122"/>
        </w:trPr>
        <w:tc>
          <w:tcPr>
            <w:tcW w:w="1460" w:type="dxa"/>
            <w:vAlign w:val="bottom"/>
          </w:tcPr>
          <w:p>
            <w:pPr>
              <w:ind w:left="20"/>
              <w:spacing w:after="0" w:line="122" w:lineRule="exact"/>
              <w:rPr>
                <w:sz w:val="20"/>
                <w:szCs w:val="20"/>
                <w:color w:val="auto"/>
              </w:rPr>
            </w:pPr>
            <w:r>
              <w:rPr>
                <w:rFonts w:ascii="Arial" w:cs="Arial" w:eastAsia="Arial" w:hAnsi="Arial"/>
                <w:sz w:val="11"/>
                <w:szCs w:val="11"/>
                <w:color w:val="2D3243"/>
              </w:rPr>
              <w:t>outstanding and unvested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Arial" w:cs="Arial" w:eastAsia="Arial" w:hAnsi="Arial"/>
                <w:sz w:val="11"/>
                <w:szCs w:val="11"/>
                <w:color w:val="2D3243"/>
              </w:rPr>
              <w:t>of FY-end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20"/>
              <w:spacing w:after="0"/>
              <w:rPr>
                <w:sz w:val="20"/>
                <w:szCs w:val="20"/>
                <w:color w:val="auto"/>
              </w:rPr>
            </w:pPr>
            <w:r>
              <w:rPr>
                <w:rFonts w:ascii="Arial" w:cs="Arial" w:eastAsia="Arial" w:hAnsi="Arial"/>
                <w:sz w:val="11"/>
                <w:szCs w:val="11"/>
                <w:color w:val="2D3243"/>
                <w:w w:val="99"/>
              </w:rPr>
              <w:t>ADD: vesting date FV for any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460" w:type="dxa"/>
            <w:vAlign w:val="bottom"/>
          </w:tcPr>
          <w:p>
            <w:pPr>
              <w:ind w:left="20"/>
              <w:spacing w:after="0"/>
              <w:rPr>
                <w:sz w:val="20"/>
                <w:szCs w:val="20"/>
                <w:color w:val="auto"/>
              </w:rPr>
            </w:pPr>
            <w:r>
              <w:rPr>
                <w:rFonts w:ascii="Arial" w:cs="Arial" w:eastAsia="Arial" w:hAnsi="Arial"/>
                <w:sz w:val="11"/>
                <w:szCs w:val="11"/>
                <w:color w:val="2D3243"/>
              </w:rPr>
              <w:t>equity awards granted during</w:t>
            </w:r>
          </w:p>
        </w:tc>
        <w:tc>
          <w:tcPr>
            <w:tcW w:w="60" w:type="dxa"/>
            <w:vAlign w:val="bottom"/>
          </w:tcPr>
          <w:p>
            <w:pPr>
              <w:jc w:val="right"/>
              <w:spacing w:after="0"/>
              <w:rPr>
                <w:sz w:val="20"/>
                <w:szCs w:val="20"/>
                <w:color w:val="auto"/>
              </w:rPr>
            </w:pPr>
            <w:r>
              <w:rPr>
                <w:rFonts w:ascii="Arial" w:cs="Arial" w:eastAsia="Arial" w:hAnsi="Arial"/>
                <w:sz w:val="10"/>
                <w:szCs w:val="10"/>
                <w:color w:val="2D3243"/>
                <w:w w:val="71"/>
              </w:rPr>
              <w:t>$</w:t>
            </w:r>
          </w:p>
        </w:tc>
        <w:tc>
          <w:tcPr>
            <w:tcW w:w="0" w:type="dxa"/>
            <w:vAlign w:val="bottom"/>
          </w:tcPr>
          <w:p>
            <w:pPr>
              <w:spacing w:after="0"/>
              <w:rPr>
                <w:sz w:val="1"/>
                <w:szCs w:val="1"/>
                <w:color w:val="auto"/>
              </w:rPr>
            </w:pPr>
          </w:p>
        </w:tc>
      </w:tr>
      <w:tr>
        <w:trPr>
          <w:trHeight w:val="125"/>
        </w:trPr>
        <w:tc>
          <w:tcPr>
            <w:tcW w:w="1460" w:type="dxa"/>
            <w:vAlign w:val="bottom"/>
          </w:tcPr>
          <w:p>
            <w:pPr>
              <w:ind w:left="20"/>
              <w:spacing w:after="0" w:line="125" w:lineRule="exact"/>
              <w:rPr>
                <w:sz w:val="20"/>
                <w:szCs w:val="20"/>
                <w:color w:val="auto"/>
              </w:rPr>
            </w:pPr>
            <w:r>
              <w:rPr>
                <w:rFonts w:ascii="Arial" w:cs="Arial" w:eastAsia="Arial" w:hAnsi="Arial"/>
                <w:sz w:val="11"/>
                <w:szCs w:val="11"/>
                <w:color w:val="2D3243"/>
              </w:rPr>
              <w:t>the year that vested at the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Arial" w:cs="Arial" w:eastAsia="Arial" w:hAnsi="Arial"/>
                <w:sz w:val="11"/>
                <w:szCs w:val="11"/>
                <w:color w:val="2D3243"/>
              </w:rPr>
              <w:t>end of or during FY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460" w:type="dxa"/>
            <w:vAlign w:val="bottom"/>
          </w:tcPr>
          <w:p>
            <w:pPr>
              <w:ind w:left="20"/>
              <w:spacing w:after="0"/>
              <w:rPr>
                <w:sz w:val="20"/>
                <w:szCs w:val="20"/>
                <w:color w:val="auto"/>
              </w:rPr>
            </w:pPr>
            <w:r>
              <w:rPr>
                <w:rFonts w:ascii="Arial" w:cs="Arial" w:eastAsia="Arial" w:hAnsi="Arial"/>
                <w:sz w:val="11"/>
                <w:szCs w:val="11"/>
                <w:color w:val="2D3243"/>
              </w:rPr>
              <w:t>ADD: change as of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ind w:left="20"/>
              <w:spacing w:after="0" w:line="122" w:lineRule="exact"/>
              <w:rPr>
                <w:sz w:val="20"/>
                <w:szCs w:val="20"/>
                <w:color w:val="auto"/>
              </w:rPr>
            </w:pPr>
            <w:r>
              <w:rPr>
                <w:rFonts w:ascii="Arial" w:cs="Arial" w:eastAsia="Arial" w:hAnsi="Arial"/>
                <w:sz w:val="11"/>
                <w:szCs w:val="11"/>
                <w:color w:val="2D3243"/>
              </w:rPr>
              <w:t>vesting date (from end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60" w:type="dxa"/>
            <w:vAlign w:val="bottom"/>
          </w:tcPr>
          <w:p>
            <w:pPr>
              <w:ind w:left="20"/>
              <w:spacing w:after="0"/>
              <w:rPr>
                <w:sz w:val="20"/>
                <w:szCs w:val="20"/>
                <w:color w:val="auto"/>
              </w:rPr>
            </w:pPr>
            <w:r>
              <w:rPr>
                <w:rFonts w:ascii="Arial" w:cs="Arial" w:eastAsia="Arial" w:hAnsi="Arial"/>
                <w:sz w:val="11"/>
                <w:szCs w:val="11"/>
                <w:color w:val="2D3243"/>
              </w:rPr>
              <w:t>prior FY) in FV for any equity</w:t>
            </w:r>
          </w:p>
        </w:tc>
        <w:tc>
          <w:tcPr>
            <w:tcW w:w="60" w:type="dxa"/>
            <w:vAlign w:val="bottom"/>
          </w:tcPr>
          <w:p>
            <w:pPr>
              <w:jc w:val="right"/>
              <w:spacing w:after="0"/>
              <w:rPr>
                <w:sz w:val="20"/>
                <w:szCs w:val="20"/>
                <w:color w:val="auto"/>
              </w:rPr>
            </w:pPr>
            <w:r>
              <w:rPr>
                <w:rFonts w:ascii="Arial" w:cs="Arial" w:eastAsia="Arial" w:hAnsi="Arial"/>
                <w:sz w:val="10"/>
                <w:szCs w:val="10"/>
                <w:color w:val="2D3243"/>
                <w:w w:val="71"/>
              </w:rPr>
              <w:t>$</w:t>
            </w:r>
          </w:p>
        </w:tc>
        <w:tc>
          <w:tcPr>
            <w:tcW w:w="0" w:type="dxa"/>
            <w:vAlign w:val="bottom"/>
          </w:tcPr>
          <w:p>
            <w:pPr>
              <w:spacing w:after="0"/>
              <w:rPr>
                <w:sz w:val="1"/>
                <w:szCs w:val="1"/>
                <w:color w:val="auto"/>
              </w:rPr>
            </w:pPr>
          </w:p>
        </w:tc>
      </w:tr>
      <w:tr>
        <w:trPr>
          <w:trHeight w:val="112"/>
        </w:trPr>
        <w:tc>
          <w:tcPr>
            <w:tcW w:w="1460" w:type="dxa"/>
            <w:vAlign w:val="bottom"/>
          </w:tcPr>
          <w:p>
            <w:pPr>
              <w:ind w:left="20"/>
              <w:spacing w:after="0" w:line="112" w:lineRule="exact"/>
              <w:rPr>
                <w:sz w:val="20"/>
                <w:szCs w:val="20"/>
                <w:color w:val="auto"/>
              </w:rPr>
            </w:pPr>
            <w:r>
              <w:rPr>
                <w:rFonts w:ascii="Arial" w:cs="Arial" w:eastAsia="Arial" w:hAnsi="Arial"/>
                <w:sz w:val="11"/>
                <w:szCs w:val="11"/>
                <w:color w:val="2D3243"/>
              </w:rPr>
              <w:t>awards granted in any prior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rPr>
                <w:sz w:val="20"/>
                <w:szCs w:val="20"/>
                <w:color w:val="auto"/>
              </w:rPr>
            </w:pPr>
            <w:r>
              <w:rPr>
                <w:rFonts w:ascii="Arial" w:cs="Arial" w:eastAsia="Arial" w:hAnsi="Arial"/>
                <w:sz w:val="11"/>
                <w:szCs w:val="11"/>
                <w:color w:val="2D3243"/>
                <w:w w:val="99"/>
              </w:rPr>
              <w:t>year that vested at the end of</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Arial" w:cs="Arial" w:eastAsia="Arial" w:hAnsi="Arial"/>
                <w:sz w:val="11"/>
                <w:szCs w:val="11"/>
                <w:color w:val="2D3243"/>
              </w:rPr>
              <w:t>or during FY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20"/>
              <w:spacing w:after="0"/>
              <w:rPr>
                <w:sz w:val="20"/>
                <w:szCs w:val="20"/>
                <w:color w:val="auto"/>
              </w:rPr>
            </w:pPr>
            <w:r>
              <w:rPr>
                <w:rFonts w:ascii="Arial" w:cs="Arial" w:eastAsia="Arial" w:hAnsi="Arial"/>
                <w:sz w:val="11"/>
                <w:szCs w:val="11"/>
                <w:color w:val="2D3243"/>
              </w:rPr>
              <w:t>DEDUCT: FV at the end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60" w:type="dxa"/>
            <w:vAlign w:val="bottom"/>
          </w:tcPr>
          <w:p>
            <w:pPr>
              <w:ind w:left="20"/>
              <w:spacing w:after="0" w:line="122" w:lineRule="exact"/>
              <w:rPr>
                <w:sz w:val="20"/>
                <w:szCs w:val="20"/>
                <w:color w:val="auto"/>
              </w:rPr>
            </w:pPr>
            <w:r>
              <w:rPr>
                <w:rFonts w:ascii="Arial" w:cs="Arial" w:eastAsia="Arial" w:hAnsi="Arial"/>
                <w:sz w:val="11"/>
                <w:szCs w:val="11"/>
                <w:color w:val="2D3243"/>
              </w:rPr>
              <w:t>the prior FY for awards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rPr>
                <w:sz w:val="20"/>
                <w:szCs w:val="20"/>
                <w:color w:val="auto"/>
              </w:rPr>
            </w:pPr>
            <w:r>
              <w:rPr>
                <w:rFonts w:ascii="Arial" w:cs="Arial" w:eastAsia="Arial" w:hAnsi="Arial"/>
                <w:sz w:val="11"/>
                <w:szCs w:val="11"/>
                <w:color w:val="2D3243"/>
              </w:rPr>
              <w:t>granted in any prior year that</w:t>
            </w:r>
          </w:p>
        </w:tc>
        <w:tc>
          <w:tcPr>
            <w:tcW w:w="60" w:type="dxa"/>
            <w:vAlign w:val="bottom"/>
          </w:tcPr>
          <w:p>
            <w:pPr>
              <w:jc w:val="right"/>
              <w:spacing w:after="0"/>
              <w:rPr>
                <w:sz w:val="20"/>
                <w:szCs w:val="20"/>
                <w:color w:val="auto"/>
              </w:rPr>
            </w:pPr>
            <w:r>
              <w:rPr>
                <w:rFonts w:ascii="Arial" w:cs="Arial" w:eastAsia="Arial" w:hAnsi="Arial"/>
                <w:sz w:val="10"/>
                <w:szCs w:val="10"/>
                <w:color w:val="2D3243"/>
                <w:w w:val="71"/>
              </w:rPr>
              <w:t>$</w:t>
            </w:r>
          </w:p>
        </w:tc>
        <w:tc>
          <w:tcPr>
            <w:tcW w:w="0" w:type="dxa"/>
            <w:vAlign w:val="bottom"/>
          </w:tcPr>
          <w:p>
            <w:pPr>
              <w:spacing w:after="0"/>
              <w:rPr>
                <w:sz w:val="1"/>
                <w:szCs w:val="1"/>
                <w:color w:val="auto"/>
              </w:rPr>
            </w:pPr>
          </w:p>
        </w:tc>
      </w:tr>
      <w:tr>
        <w:trPr>
          <w:trHeight w:val="122"/>
        </w:trPr>
        <w:tc>
          <w:tcPr>
            <w:tcW w:w="1460" w:type="dxa"/>
            <w:vAlign w:val="bottom"/>
          </w:tcPr>
          <w:p>
            <w:pPr>
              <w:ind w:left="20"/>
              <w:spacing w:after="0" w:line="122" w:lineRule="exact"/>
              <w:rPr>
                <w:sz w:val="20"/>
                <w:szCs w:val="20"/>
                <w:color w:val="auto"/>
              </w:rPr>
            </w:pPr>
            <w:r>
              <w:rPr>
                <w:rFonts w:ascii="Arial" w:cs="Arial" w:eastAsia="Arial" w:hAnsi="Arial"/>
                <w:sz w:val="11"/>
                <w:szCs w:val="11"/>
                <w:color w:val="2D3243"/>
              </w:rPr>
              <w:t>failed to meet applicable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Arial" w:cs="Arial" w:eastAsia="Arial" w:hAnsi="Arial"/>
                <w:sz w:val="11"/>
                <w:szCs w:val="11"/>
                <w:color w:val="2D3243"/>
              </w:rPr>
              <w:t>vesting conditions during FY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20"/>
              <w:spacing w:after="0"/>
              <w:rPr>
                <w:sz w:val="20"/>
                <w:szCs w:val="20"/>
                <w:color w:val="auto"/>
              </w:rPr>
            </w:pPr>
            <w:r>
              <w:rPr>
                <w:rFonts w:ascii="Arial" w:cs="Arial" w:eastAsia="Arial" w:hAnsi="Arial"/>
                <w:sz w:val="11"/>
                <w:szCs w:val="11"/>
                <w:color w:val="2D3243"/>
              </w:rPr>
              <w:t>ADD: excess FV for equity</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2D3243"/>
                <w:w w:val="71"/>
              </w:rPr>
              <w:t>$</w:t>
            </w:r>
          </w:p>
        </w:tc>
        <w:tc>
          <w:tcPr>
            <w:tcW w:w="0" w:type="dxa"/>
            <w:vAlign w:val="bottom"/>
          </w:tcPr>
          <w:p>
            <w:pPr>
              <w:spacing w:after="0"/>
              <w:rPr>
                <w:sz w:val="1"/>
                <w:szCs w:val="1"/>
                <w:color w:val="auto"/>
              </w:rPr>
            </w:pPr>
          </w:p>
        </w:tc>
      </w:tr>
      <w:tr>
        <w:trPr>
          <w:trHeight w:val="122"/>
        </w:trPr>
        <w:tc>
          <w:tcPr>
            <w:tcW w:w="1460" w:type="dxa"/>
            <w:vAlign w:val="bottom"/>
          </w:tcPr>
          <w:p>
            <w:pPr>
              <w:ind w:left="20"/>
              <w:spacing w:after="0" w:line="122" w:lineRule="exact"/>
              <w:rPr>
                <w:sz w:val="20"/>
                <w:szCs w:val="20"/>
                <w:color w:val="auto"/>
              </w:rPr>
            </w:pPr>
            <w:r>
              <w:rPr>
                <w:rFonts w:ascii="Arial" w:cs="Arial" w:eastAsia="Arial" w:hAnsi="Arial"/>
                <w:sz w:val="11"/>
                <w:szCs w:val="11"/>
                <w:color w:val="2D3243"/>
              </w:rPr>
              <w:t>award modifications during</w:t>
            </w: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rPr>
                <w:sz w:val="20"/>
                <w:szCs w:val="20"/>
                <w:color w:val="auto"/>
              </w:rPr>
            </w:pPr>
            <w:r>
              <w:rPr>
                <w:rFonts w:ascii="Arial" w:cs="Arial" w:eastAsia="Arial" w:hAnsi="Arial"/>
                <w:sz w:val="11"/>
                <w:szCs w:val="11"/>
                <w:color w:val="2D3243"/>
              </w:rPr>
              <w:t>FY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20"/>
              <w:spacing w:after="0"/>
              <w:rPr>
                <w:sz w:val="20"/>
                <w:szCs w:val="20"/>
                <w:color w:val="auto"/>
              </w:rPr>
            </w:pPr>
            <w:r>
              <w:rPr>
                <w:rFonts w:ascii="Arial" w:cs="Arial" w:eastAsia="Arial" w:hAnsi="Arial"/>
                <w:sz w:val="11"/>
                <w:szCs w:val="11"/>
                <w:color w:val="2D3243"/>
              </w:rPr>
              <w:t>Compensation Actually Paid</w:t>
            </w:r>
          </w:p>
        </w:tc>
        <w:tc>
          <w:tcPr>
            <w:tcW w:w="60" w:type="dxa"/>
            <w:vAlign w:val="bottom"/>
          </w:tcPr>
          <w:p>
            <w:pPr>
              <w:jc w:val="right"/>
              <w:spacing w:after="0"/>
              <w:rPr>
                <w:sz w:val="20"/>
                <w:szCs w:val="20"/>
                <w:color w:val="auto"/>
              </w:rPr>
            </w:pPr>
            <w:r>
              <w:rPr>
                <w:rFonts w:ascii="Arial" w:cs="Arial" w:eastAsia="Arial" w:hAnsi="Arial"/>
                <w:sz w:val="10"/>
                <w:szCs w:val="10"/>
                <w:color w:val="2D3243"/>
                <w:w w:val="71"/>
              </w:rPr>
              <w:t>$</w:t>
            </w:r>
          </w:p>
        </w:tc>
        <w:tc>
          <w:tcPr>
            <w:tcW w:w="0" w:type="dxa"/>
            <w:vAlign w:val="bottom"/>
          </w:tcPr>
          <w:p>
            <w:pPr>
              <w:spacing w:after="0"/>
              <w:rPr>
                <w:sz w:val="1"/>
                <w:szCs w:val="1"/>
                <w:color w:val="auto"/>
              </w:rPr>
            </w:pPr>
          </w:p>
        </w:tc>
      </w:tr>
      <w:tr>
        <w:trPr>
          <w:trHeight w:val="147"/>
        </w:trPr>
        <w:tc>
          <w:tcPr>
            <w:tcW w:w="1460" w:type="dxa"/>
            <w:vAlign w:val="bottom"/>
            <w:tcBorders>
              <w:bottom w:val="single" w:sz="8" w:color="575A60"/>
            </w:tcBorders>
          </w:tcPr>
          <w:p>
            <w:pPr>
              <w:ind w:left="20"/>
              <w:spacing w:after="0"/>
              <w:rPr>
                <w:sz w:val="20"/>
                <w:szCs w:val="20"/>
                <w:color w:val="auto"/>
              </w:rPr>
            </w:pPr>
            <w:r>
              <w:rPr>
                <w:rFonts w:ascii="Arial" w:cs="Arial" w:eastAsia="Arial" w:hAnsi="Arial"/>
                <w:sz w:val="11"/>
                <w:szCs w:val="11"/>
                <w:color w:val="2D3243"/>
              </w:rPr>
              <w:t>(as defined by SEC rule)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720" w:type="dxa"/>
            <w:vAlign w:val="bottom"/>
            <w:gridSpan w:val="2"/>
          </w:tcPr>
          <w:p>
            <w:pPr>
              <w:jc w:val="right"/>
              <w:ind w:right="26"/>
              <w:spacing w:after="0"/>
              <w:rPr>
                <w:sz w:val="20"/>
                <w:szCs w:val="20"/>
                <w:color w:val="auto"/>
              </w:rPr>
            </w:pPr>
            <w:r>
              <w:rPr>
                <w:rFonts w:ascii="Arial" w:cs="Arial" w:eastAsia="Arial" w:hAnsi="Arial"/>
                <w:sz w:val="11"/>
                <w:szCs w:val="11"/>
                <w:b w:val="1"/>
                <w:bCs w:val="1"/>
                <w:color w:val="FFFFFF"/>
              </w:rPr>
              <w:t>2023</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66"/>
              <w:spacing w:after="0"/>
              <w:rPr>
                <w:sz w:val="20"/>
                <w:szCs w:val="20"/>
                <w:color w:val="auto"/>
              </w:rPr>
            </w:pPr>
            <w:r>
              <w:rPr>
                <w:rFonts w:ascii="Arial" w:cs="Arial" w:eastAsia="Arial" w:hAnsi="Arial"/>
                <w:sz w:val="11"/>
                <w:szCs w:val="11"/>
                <w:b w:val="1"/>
                <w:bCs w:val="1"/>
                <w:color w:val="FFFFFF"/>
              </w:rPr>
              <w:t>2022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6"/>
              <w:spacing w:after="0"/>
              <w:rPr>
                <w:sz w:val="20"/>
                <w:szCs w:val="20"/>
                <w:color w:val="auto"/>
              </w:rPr>
            </w:pPr>
            <w:r>
              <w:rPr>
                <w:rFonts w:ascii="Arial" w:cs="Arial" w:eastAsia="Arial" w:hAnsi="Arial"/>
                <w:sz w:val="11"/>
                <w:szCs w:val="11"/>
                <w:b w:val="1"/>
                <w:bCs w:val="1"/>
                <w:color w:val="FFFFFF"/>
              </w:rPr>
              <w:t>2021</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6"/>
              <w:spacing w:after="0"/>
              <w:rPr>
                <w:sz w:val="20"/>
                <w:szCs w:val="20"/>
                <w:color w:val="auto"/>
              </w:rPr>
            </w:pPr>
            <w:r>
              <w:rPr>
                <w:rFonts w:ascii="Arial" w:cs="Arial" w:eastAsia="Arial" w:hAnsi="Arial"/>
                <w:sz w:val="11"/>
                <w:szCs w:val="11"/>
                <w:b w:val="1"/>
                <w:bCs w:val="1"/>
                <w:color w:val="FFFFFF"/>
              </w:rPr>
              <w:t>2020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20" w:type="dxa"/>
            <w:vAlign w:val="bottom"/>
          </w:tcPr>
          <w:p>
            <w:pPr>
              <w:jc w:val="right"/>
              <w:spacing w:after="0"/>
              <w:rPr>
                <w:sz w:val="20"/>
                <w:szCs w:val="20"/>
                <w:color w:val="auto"/>
              </w:rPr>
            </w:pPr>
            <w:r>
              <w:rPr>
                <w:rFonts w:ascii="Arial" w:cs="Arial" w:eastAsia="Arial" w:hAnsi="Arial"/>
                <w:sz w:val="11"/>
                <w:szCs w:val="11"/>
                <w:b w:val="1"/>
                <w:bCs w:val="1"/>
                <w:color w:val="FFFFFF"/>
              </w:rPr>
              <w:t>Michael</w:t>
            </w:r>
          </w:p>
        </w:tc>
        <w:tc>
          <w:tcPr>
            <w:tcW w:w="200" w:type="dxa"/>
            <w:vAlign w:val="bottom"/>
          </w:tcPr>
          <w:p>
            <w:pPr>
              <w:spacing w:after="0"/>
              <w:rPr>
                <w:sz w:val="16"/>
                <w:szCs w:val="16"/>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b w:val="1"/>
                <w:bCs w:val="1"/>
                <w:color w:val="FFFFFF"/>
              </w:rPr>
              <w:t>Other NEOs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FFFFFF"/>
              </w:rPr>
              <w:t>Michael</w:t>
            </w: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FFFFFF"/>
              </w:rPr>
              <w:t>Rowan Trollope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FFFFFF"/>
              </w:rPr>
              <w:t>Other NEOs</w:t>
            </w:r>
          </w:p>
        </w:tc>
        <w:tc>
          <w:tcPr>
            <w:tcW w:w="24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FFFFFF"/>
              </w:rPr>
              <w:t>Rowan Trollope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FFFFFF"/>
              </w:rPr>
              <w:t>Other NEOs</w:t>
            </w:r>
          </w:p>
        </w:tc>
        <w:tc>
          <w:tcPr>
            <w:tcW w:w="24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FFFFFF"/>
              </w:rPr>
              <w:t>Rowan Trollope</w:t>
            </w:r>
          </w:p>
        </w:tc>
        <w:tc>
          <w:tcPr>
            <w:tcW w:w="200" w:type="dxa"/>
            <w:vAlign w:val="bottom"/>
          </w:tcPr>
          <w:p>
            <w:pPr>
              <w:spacing w:after="0"/>
              <w:rPr>
                <w:sz w:val="16"/>
                <w:szCs w:val="16"/>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b w:val="1"/>
                <w:bCs w:val="1"/>
                <w:color w:val="FFFFFF"/>
              </w:rPr>
              <w:t>Other NEOs</w:t>
            </w:r>
          </w:p>
        </w:tc>
        <w:tc>
          <w:tcPr>
            <w:tcW w:w="0" w:type="dxa"/>
            <w:vAlign w:val="bottom"/>
          </w:tcPr>
          <w:p>
            <w:pPr>
              <w:spacing w:after="0"/>
              <w:rPr>
                <w:sz w:val="1"/>
                <w:szCs w:val="1"/>
                <w:color w:val="auto"/>
              </w:rPr>
            </w:pPr>
          </w:p>
        </w:tc>
      </w:tr>
      <w:tr>
        <w:trPr>
          <w:trHeight w:val="155"/>
        </w:trPr>
        <w:tc>
          <w:tcPr>
            <w:tcW w:w="520" w:type="dxa"/>
            <w:vAlign w:val="bottom"/>
          </w:tcPr>
          <w:p>
            <w:pPr>
              <w:jc w:val="right"/>
              <w:spacing w:after="0"/>
              <w:rPr>
                <w:sz w:val="20"/>
                <w:szCs w:val="20"/>
                <w:color w:val="auto"/>
              </w:rPr>
            </w:pPr>
            <w:r>
              <w:rPr>
                <w:rFonts w:ascii="Arial" w:cs="Arial" w:eastAsia="Arial" w:hAnsi="Arial"/>
                <w:sz w:val="11"/>
                <w:szCs w:val="11"/>
                <w:b w:val="1"/>
                <w:bCs w:val="1"/>
                <w:color w:val="FFFFFF"/>
              </w:rPr>
              <w:t>Burkland</w:t>
            </w:r>
          </w:p>
        </w:tc>
        <w:tc>
          <w:tcPr>
            <w:tcW w:w="200" w:type="dxa"/>
            <w:vAlign w:val="bottom"/>
          </w:tcPr>
          <w:p>
            <w:pPr>
              <w:spacing w:after="0"/>
              <w:rPr>
                <w:sz w:val="13"/>
                <w:szCs w:val="13"/>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b w:val="1"/>
                <w:bCs w:val="1"/>
                <w:color w:val="FFFFFF"/>
              </w:rPr>
              <w:t>Average</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FFFFFF"/>
              </w:rPr>
              <w:t>Burkland</w:t>
            </w: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FFFFFF"/>
              </w:rPr>
              <w:t>Average</w:t>
            </w:r>
          </w:p>
        </w:tc>
        <w:tc>
          <w:tcPr>
            <w:tcW w:w="2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FFFFFF"/>
              </w:rPr>
              <w:t>Average</w:t>
            </w:r>
          </w:p>
        </w:tc>
        <w:tc>
          <w:tcPr>
            <w:tcW w:w="2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b w:val="1"/>
                <w:bCs w:val="1"/>
                <w:color w:val="FFFFFF"/>
              </w:rPr>
              <w:t>Average</w:t>
            </w:r>
          </w:p>
        </w:tc>
        <w:tc>
          <w:tcPr>
            <w:tcW w:w="0" w:type="dxa"/>
            <w:vAlign w:val="bottom"/>
          </w:tcPr>
          <w:p>
            <w:pPr>
              <w:spacing w:after="0"/>
              <w:rPr>
                <w:sz w:val="1"/>
                <w:szCs w:val="1"/>
                <w:color w:val="auto"/>
              </w:rPr>
            </w:pPr>
          </w:p>
        </w:tc>
      </w:tr>
      <w:tr>
        <w:trPr>
          <w:trHeight w:val="61"/>
        </w:trPr>
        <w:tc>
          <w:tcPr>
            <w:tcW w:w="520" w:type="dxa"/>
            <w:vAlign w:val="bottom"/>
          </w:tcPr>
          <w:p>
            <w:pPr>
              <w:spacing w:after="0"/>
              <w:rPr>
                <w:sz w:val="5"/>
                <w:szCs w:val="5"/>
                <w:color w:val="auto"/>
              </w:rPr>
            </w:pPr>
          </w:p>
        </w:tc>
        <w:tc>
          <w:tcPr>
            <w:tcW w:w="200" w:type="dxa"/>
            <w:vAlign w:val="bottom"/>
            <w:shd w:val="clear" w:color="auto" w:fill="0336FF"/>
          </w:tcPr>
          <w:p>
            <w:pPr>
              <w:spacing w:after="0"/>
              <w:rPr>
                <w:sz w:val="5"/>
                <w:szCs w:val="5"/>
                <w:color w:val="auto"/>
              </w:rPr>
            </w:pPr>
          </w:p>
        </w:tc>
        <w:tc>
          <w:tcPr>
            <w:tcW w:w="740" w:type="dxa"/>
            <w:vAlign w:val="bottom"/>
            <w:shd w:val="clear" w:color="auto" w:fill="0336FF"/>
          </w:tcPr>
          <w:p>
            <w:pPr>
              <w:spacing w:after="0"/>
              <w:rPr>
                <w:sz w:val="5"/>
                <w:szCs w:val="5"/>
                <w:color w:val="auto"/>
              </w:rPr>
            </w:pPr>
          </w:p>
        </w:tc>
        <w:tc>
          <w:tcPr>
            <w:tcW w:w="200" w:type="dxa"/>
            <w:vAlign w:val="bottom"/>
            <w:shd w:val="clear" w:color="auto" w:fill="0336FF"/>
          </w:tcPr>
          <w:p>
            <w:pPr>
              <w:spacing w:after="0"/>
              <w:rPr>
                <w:sz w:val="5"/>
                <w:szCs w:val="5"/>
                <w:color w:val="auto"/>
              </w:rPr>
            </w:pPr>
          </w:p>
        </w:tc>
        <w:tc>
          <w:tcPr>
            <w:tcW w:w="740" w:type="dxa"/>
            <w:vAlign w:val="bottom"/>
            <w:shd w:val="clear" w:color="auto" w:fill="0336FF"/>
          </w:tcPr>
          <w:p>
            <w:pPr>
              <w:spacing w:after="0"/>
              <w:rPr>
                <w:sz w:val="5"/>
                <w:szCs w:val="5"/>
                <w:color w:val="auto"/>
              </w:rPr>
            </w:pPr>
          </w:p>
        </w:tc>
        <w:tc>
          <w:tcPr>
            <w:tcW w:w="160" w:type="dxa"/>
            <w:vAlign w:val="bottom"/>
            <w:shd w:val="clear" w:color="auto" w:fill="0336FF"/>
          </w:tcPr>
          <w:p>
            <w:pPr>
              <w:spacing w:after="0"/>
              <w:rPr>
                <w:sz w:val="5"/>
                <w:szCs w:val="5"/>
                <w:color w:val="auto"/>
              </w:rPr>
            </w:pPr>
          </w:p>
        </w:tc>
        <w:tc>
          <w:tcPr>
            <w:tcW w:w="720" w:type="dxa"/>
            <w:vAlign w:val="bottom"/>
            <w:shd w:val="clear" w:color="auto" w:fill="0336FF"/>
          </w:tcPr>
          <w:p>
            <w:pPr>
              <w:spacing w:after="0"/>
              <w:rPr>
                <w:sz w:val="5"/>
                <w:szCs w:val="5"/>
                <w:color w:val="auto"/>
              </w:rPr>
            </w:pPr>
          </w:p>
        </w:tc>
        <w:tc>
          <w:tcPr>
            <w:tcW w:w="160" w:type="dxa"/>
            <w:vAlign w:val="bottom"/>
            <w:shd w:val="clear" w:color="auto" w:fill="0336FF"/>
          </w:tcPr>
          <w:p>
            <w:pPr>
              <w:spacing w:after="0"/>
              <w:rPr>
                <w:sz w:val="5"/>
                <w:szCs w:val="5"/>
                <w:color w:val="auto"/>
              </w:rPr>
            </w:pPr>
          </w:p>
        </w:tc>
        <w:tc>
          <w:tcPr>
            <w:tcW w:w="720" w:type="dxa"/>
            <w:vAlign w:val="bottom"/>
            <w:shd w:val="clear" w:color="auto" w:fill="0336FF"/>
          </w:tcPr>
          <w:p>
            <w:pPr>
              <w:spacing w:after="0"/>
              <w:rPr>
                <w:sz w:val="5"/>
                <w:szCs w:val="5"/>
                <w:color w:val="auto"/>
              </w:rPr>
            </w:pPr>
          </w:p>
        </w:tc>
        <w:tc>
          <w:tcPr>
            <w:tcW w:w="240" w:type="dxa"/>
            <w:vAlign w:val="bottom"/>
            <w:shd w:val="clear" w:color="auto" w:fill="0336FF"/>
          </w:tcPr>
          <w:p>
            <w:pPr>
              <w:spacing w:after="0"/>
              <w:rPr>
                <w:sz w:val="5"/>
                <w:szCs w:val="5"/>
                <w:color w:val="auto"/>
              </w:rPr>
            </w:pPr>
          </w:p>
        </w:tc>
        <w:tc>
          <w:tcPr>
            <w:tcW w:w="200" w:type="dxa"/>
            <w:vAlign w:val="bottom"/>
            <w:shd w:val="clear" w:color="auto" w:fill="0336FF"/>
          </w:tcPr>
          <w:p>
            <w:pPr>
              <w:spacing w:after="0"/>
              <w:rPr>
                <w:sz w:val="5"/>
                <w:szCs w:val="5"/>
                <w:color w:val="auto"/>
              </w:rPr>
            </w:pPr>
          </w:p>
        </w:tc>
        <w:tc>
          <w:tcPr>
            <w:tcW w:w="700" w:type="dxa"/>
            <w:vAlign w:val="bottom"/>
            <w:shd w:val="clear" w:color="auto" w:fill="0336FF"/>
          </w:tcPr>
          <w:p>
            <w:pPr>
              <w:spacing w:after="0"/>
              <w:rPr>
                <w:sz w:val="5"/>
                <w:szCs w:val="5"/>
                <w:color w:val="auto"/>
              </w:rPr>
            </w:pPr>
          </w:p>
        </w:tc>
        <w:tc>
          <w:tcPr>
            <w:tcW w:w="200" w:type="dxa"/>
            <w:vAlign w:val="bottom"/>
            <w:shd w:val="clear" w:color="auto" w:fill="0336FF"/>
          </w:tcPr>
          <w:p>
            <w:pPr>
              <w:spacing w:after="0"/>
              <w:rPr>
                <w:sz w:val="5"/>
                <w:szCs w:val="5"/>
                <w:color w:val="auto"/>
              </w:rPr>
            </w:pPr>
          </w:p>
        </w:tc>
        <w:tc>
          <w:tcPr>
            <w:tcW w:w="700" w:type="dxa"/>
            <w:vAlign w:val="bottom"/>
            <w:shd w:val="clear" w:color="auto" w:fill="0336FF"/>
          </w:tcPr>
          <w:p>
            <w:pPr>
              <w:spacing w:after="0"/>
              <w:rPr>
                <w:sz w:val="5"/>
                <w:szCs w:val="5"/>
                <w:color w:val="auto"/>
              </w:rPr>
            </w:pPr>
          </w:p>
        </w:tc>
        <w:tc>
          <w:tcPr>
            <w:tcW w:w="240" w:type="dxa"/>
            <w:vAlign w:val="bottom"/>
            <w:shd w:val="clear" w:color="auto" w:fill="0336FF"/>
          </w:tcPr>
          <w:p>
            <w:pPr>
              <w:spacing w:after="0"/>
              <w:rPr>
                <w:sz w:val="5"/>
                <w:szCs w:val="5"/>
                <w:color w:val="auto"/>
              </w:rPr>
            </w:pPr>
          </w:p>
        </w:tc>
        <w:tc>
          <w:tcPr>
            <w:tcW w:w="200" w:type="dxa"/>
            <w:vAlign w:val="bottom"/>
            <w:shd w:val="clear" w:color="auto" w:fill="0336FF"/>
          </w:tcPr>
          <w:p>
            <w:pPr>
              <w:spacing w:after="0"/>
              <w:rPr>
                <w:sz w:val="5"/>
                <w:szCs w:val="5"/>
                <w:color w:val="auto"/>
              </w:rPr>
            </w:pPr>
          </w:p>
        </w:tc>
        <w:tc>
          <w:tcPr>
            <w:tcW w:w="700" w:type="dxa"/>
            <w:vAlign w:val="bottom"/>
            <w:shd w:val="clear" w:color="auto" w:fill="0336FF"/>
          </w:tcPr>
          <w:p>
            <w:pPr>
              <w:spacing w:after="0"/>
              <w:rPr>
                <w:sz w:val="5"/>
                <w:szCs w:val="5"/>
                <w:color w:val="auto"/>
              </w:rPr>
            </w:pPr>
          </w:p>
        </w:tc>
        <w:tc>
          <w:tcPr>
            <w:tcW w:w="200" w:type="dxa"/>
            <w:vAlign w:val="bottom"/>
            <w:shd w:val="clear" w:color="auto" w:fill="0336FF"/>
          </w:tcPr>
          <w:p>
            <w:pPr>
              <w:spacing w:after="0"/>
              <w:rPr>
                <w:sz w:val="5"/>
                <w:szCs w:val="5"/>
                <w:color w:val="auto"/>
              </w:rPr>
            </w:pPr>
          </w:p>
        </w:tc>
        <w:tc>
          <w:tcPr>
            <w:tcW w:w="800" w:type="dxa"/>
            <w:vAlign w:val="bottom"/>
            <w:shd w:val="clear" w:color="auto" w:fill="0336FF"/>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520" w:type="dxa"/>
            <w:vAlign w:val="bottom"/>
          </w:tcPr>
          <w:p>
            <w:pPr>
              <w:jc w:val="right"/>
              <w:spacing w:after="0"/>
              <w:rPr>
                <w:sz w:val="20"/>
                <w:szCs w:val="20"/>
                <w:color w:val="auto"/>
              </w:rPr>
            </w:pPr>
            <w:r>
              <w:rPr>
                <w:rFonts w:ascii="Arial" w:cs="Arial" w:eastAsia="Arial" w:hAnsi="Arial"/>
                <w:sz w:val="11"/>
                <w:szCs w:val="11"/>
                <w:color w:val="2D3243"/>
                <w:w w:val="93"/>
              </w:rPr>
              <w:t>1,195,211</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2D3243"/>
              </w:rPr>
              <w:t>4,361,681</w:t>
            </w:r>
          </w:p>
        </w:tc>
        <w:tc>
          <w:tcPr>
            <w:tcW w:w="200" w:type="dxa"/>
            <w:vAlign w:val="bottom"/>
          </w:tcPr>
          <w:p>
            <w:pPr>
              <w:jc w:val="right"/>
              <w:ind w:right="26"/>
              <w:spacing w:after="0"/>
              <w:rPr>
                <w:sz w:val="20"/>
                <w:szCs w:val="20"/>
                <w:color w:val="auto"/>
              </w:rPr>
            </w:pPr>
            <w:r>
              <w:rPr>
                <w:rFonts w:ascii="Arial" w:cs="Arial" w:eastAsia="Arial" w:hAnsi="Arial"/>
                <w:sz w:val="11"/>
                <w:szCs w:val="11"/>
                <w:color w:val="2D3243"/>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2D3243"/>
              </w:rPr>
              <w:t>38,225,785</w:t>
            </w:r>
          </w:p>
        </w:tc>
        <w:tc>
          <w:tcPr>
            <w:tcW w:w="160" w:type="dxa"/>
            <w:vAlign w:val="bottom"/>
          </w:tcPr>
          <w:p>
            <w:pPr>
              <w:jc w:val="right"/>
              <w:ind w:right="51"/>
              <w:spacing w:after="0"/>
              <w:rPr>
                <w:sz w:val="20"/>
                <w:szCs w:val="20"/>
                <w:color w:val="auto"/>
              </w:rPr>
            </w:pPr>
            <w:r>
              <w:rPr>
                <w:rFonts w:ascii="Arial" w:cs="Arial" w:eastAsia="Arial" w:hAnsi="Arial"/>
                <w:sz w:val="10"/>
                <w:szCs w:val="10"/>
                <w:color w:val="2D3243"/>
                <w:w w:val="71"/>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2D3243"/>
              </w:rPr>
              <w:t>11,137,770</w:t>
            </w:r>
          </w:p>
        </w:tc>
        <w:tc>
          <w:tcPr>
            <w:tcW w:w="160" w:type="dxa"/>
            <w:vAlign w:val="bottom"/>
          </w:tcPr>
          <w:p>
            <w:pPr>
              <w:jc w:val="right"/>
              <w:ind w:right="26"/>
              <w:spacing w:after="0"/>
              <w:rPr>
                <w:sz w:val="20"/>
                <w:szCs w:val="20"/>
                <w:color w:val="auto"/>
              </w:rPr>
            </w:pPr>
            <w:r>
              <w:rPr>
                <w:rFonts w:ascii="Arial" w:cs="Arial" w:eastAsia="Arial" w:hAnsi="Arial"/>
                <w:sz w:val="11"/>
                <w:szCs w:val="11"/>
                <w:color w:val="2D3243"/>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2D3243"/>
              </w:rPr>
              <w:t>7,857,310</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10,825,689</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4,617,926</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6,417,891</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800" w:type="dxa"/>
            <w:vAlign w:val="bottom"/>
          </w:tcPr>
          <w:p>
            <w:pPr>
              <w:jc w:val="right"/>
              <w:ind w:right="106"/>
              <w:spacing w:after="0"/>
              <w:rPr>
                <w:sz w:val="20"/>
                <w:szCs w:val="20"/>
                <w:color w:val="auto"/>
              </w:rPr>
            </w:pPr>
            <w:r>
              <w:rPr>
                <w:rFonts w:ascii="Arial" w:cs="Arial" w:eastAsia="Arial" w:hAnsi="Arial"/>
                <w:sz w:val="11"/>
                <w:szCs w:val="11"/>
                <w:color w:val="2D3243"/>
              </w:rPr>
              <w:t>3,003,657</w:t>
            </w:r>
          </w:p>
        </w:tc>
        <w:tc>
          <w:tcPr>
            <w:tcW w:w="0" w:type="dxa"/>
            <w:vAlign w:val="bottom"/>
          </w:tcPr>
          <w:p>
            <w:pPr>
              <w:spacing w:after="0"/>
              <w:rPr>
                <w:sz w:val="1"/>
                <w:szCs w:val="1"/>
                <w:color w:val="auto"/>
              </w:rPr>
            </w:pPr>
          </w:p>
        </w:tc>
      </w:tr>
      <w:tr>
        <w:trPr>
          <w:trHeight w:val="499"/>
        </w:trPr>
        <w:tc>
          <w:tcPr>
            <w:tcW w:w="520" w:type="dxa"/>
            <w:vAlign w:val="bottom"/>
          </w:tcPr>
          <w:p>
            <w:pPr>
              <w:jc w:val="right"/>
              <w:spacing w:after="0"/>
              <w:rPr>
                <w:sz w:val="20"/>
                <w:szCs w:val="20"/>
                <w:color w:val="auto"/>
              </w:rPr>
            </w:pPr>
            <w:r>
              <w:rPr>
                <w:rFonts w:ascii="Arial" w:cs="Arial" w:eastAsia="Arial" w:hAnsi="Arial"/>
                <w:sz w:val="11"/>
                <w:szCs w:val="11"/>
                <w:color w:val="2D3243"/>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40" w:type="dxa"/>
            <w:vAlign w:val="bottom"/>
          </w:tcPr>
          <w:p>
            <w:pPr>
              <w:jc w:val="right"/>
              <w:ind w:right="26"/>
              <w:spacing w:after="0"/>
              <w:rPr>
                <w:sz w:val="20"/>
                <w:szCs w:val="20"/>
                <w:color w:val="auto"/>
              </w:rPr>
            </w:pPr>
            <w:r>
              <w:rPr>
                <w:rFonts w:ascii="Arial" w:cs="Arial" w:eastAsia="Arial" w:hAnsi="Arial"/>
                <w:sz w:val="11"/>
                <w:szCs w:val="11"/>
                <w:color w:val="2D3243"/>
              </w:rPr>
              <w:t>(3,593,767)</w:t>
            </w:r>
          </w:p>
        </w:tc>
        <w:tc>
          <w:tcPr>
            <w:tcW w:w="200" w:type="dxa"/>
            <w:vAlign w:val="bottom"/>
          </w:tcPr>
          <w:p>
            <w:pPr>
              <w:jc w:val="right"/>
              <w:ind w:right="26"/>
              <w:spacing w:after="0"/>
              <w:rPr>
                <w:sz w:val="20"/>
                <w:szCs w:val="20"/>
                <w:color w:val="auto"/>
              </w:rPr>
            </w:pPr>
            <w:r>
              <w:rPr>
                <w:rFonts w:ascii="Arial" w:cs="Arial" w:eastAsia="Arial" w:hAnsi="Arial"/>
                <w:sz w:val="11"/>
                <w:szCs w:val="11"/>
                <w:color w:val="2D3243"/>
              </w:rPr>
              <w:t>$</w:t>
            </w:r>
          </w:p>
        </w:tc>
        <w:tc>
          <w:tcPr>
            <w:tcW w:w="740" w:type="dxa"/>
            <w:vAlign w:val="bottom"/>
          </w:tcPr>
          <w:p>
            <w:pPr>
              <w:jc w:val="right"/>
              <w:spacing w:after="0"/>
              <w:rPr>
                <w:sz w:val="20"/>
                <w:szCs w:val="20"/>
                <w:color w:val="auto"/>
              </w:rPr>
            </w:pPr>
            <w:r>
              <w:rPr>
                <w:rFonts w:ascii="Arial" w:cs="Arial" w:eastAsia="Arial" w:hAnsi="Arial"/>
                <w:sz w:val="11"/>
                <w:szCs w:val="11"/>
                <w:color w:val="2D3243"/>
              </w:rPr>
              <w:t>(38,025,826)</w:t>
            </w:r>
          </w:p>
        </w:tc>
        <w:tc>
          <w:tcPr>
            <w:tcW w:w="160" w:type="dxa"/>
            <w:vAlign w:val="bottom"/>
          </w:tcPr>
          <w:p>
            <w:pPr>
              <w:jc w:val="right"/>
              <w:ind w:right="51"/>
              <w:spacing w:after="0"/>
              <w:rPr>
                <w:sz w:val="20"/>
                <w:szCs w:val="20"/>
                <w:color w:val="auto"/>
              </w:rPr>
            </w:pPr>
            <w:r>
              <w:rPr>
                <w:rFonts w:ascii="Arial" w:cs="Arial" w:eastAsia="Arial" w:hAnsi="Arial"/>
                <w:sz w:val="10"/>
                <w:szCs w:val="10"/>
                <w:color w:val="2D3243"/>
                <w:w w:val="71"/>
              </w:rPr>
              <w:t>$</w:t>
            </w:r>
          </w:p>
        </w:tc>
        <w:tc>
          <w:tcPr>
            <w:tcW w:w="720" w:type="dxa"/>
            <w:vAlign w:val="bottom"/>
          </w:tcPr>
          <w:p>
            <w:pPr>
              <w:jc w:val="right"/>
              <w:spacing w:after="0"/>
              <w:rPr>
                <w:sz w:val="20"/>
                <w:szCs w:val="20"/>
                <w:color w:val="auto"/>
              </w:rPr>
            </w:pPr>
            <w:r>
              <w:rPr>
                <w:rFonts w:ascii="Arial" w:cs="Arial" w:eastAsia="Arial" w:hAnsi="Arial"/>
                <w:sz w:val="11"/>
                <w:szCs w:val="11"/>
                <w:color w:val="2D3243"/>
              </w:rPr>
              <w:t>(10,162,740)</w:t>
            </w:r>
          </w:p>
        </w:tc>
        <w:tc>
          <w:tcPr>
            <w:tcW w:w="160" w:type="dxa"/>
            <w:vAlign w:val="bottom"/>
          </w:tcPr>
          <w:p>
            <w:pPr>
              <w:jc w:val="right"/>
              <w:ind w:right="26"/>
              <w:spacing w:after="0"/>
              <w:rPr>
                <w:sz w:val="20"/>
                <w:szCs w:val="20"/>
                <w:color w:val="auto"/>
              </w:rPr>
            </w:pPr>
            <w:r>
              <w:rPr>
                <w:rFonts w:ascii="Arial" w:cs="Arial" w:eastAsia="Arial" w:hAnsi="Arial"/>
                <w:sz w:val="11"/>
                <w:szCs w:val="11"/>
                <w:color w:val="2D3243"/>
                <w:w w:val="97"/>
              </w:rPr>
              <w:t>$</w:t>
            </w:r>
          </w:p>
        </w:tc>
        <w:tc>
          <w:tcPr>
            <w:tcW w:w="720" w:type="dxa"/>
            <w:vAlign w:val="bottom"/>
          </w:tcPr>
          <w:p>
            <w:pPr>
              <w:jc w:val="right"/>
              <w:spacing w:after="0"/>
              <w:rPr>
                <w:sz w:val="20"/>
                <w:szCs w:val="20"/>
                <w:color w:val="auto"/>
              </w:rPr>
            </w:pPr>
            <w:r>
              <w:rPr>
                <w:rFonts w:ascii="Arial" w:cs="Arial" w:eastAsia="Arial" w:hAnsi="Arial"/>
                <w:sz w:val="11"/>
                <w:szCs w:val="11"/>
                <w:color w:val="2D3243"/>
              </w:rPr>
              <w:t>(7,099,739)</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(9,459,383)</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(3,825,956)</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(5,063,006)</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2D3243"/>
              </w:rPr>
              <w:t>(2,206,921)</w:t>
            </w:r>
          </w:p>
        </w:tc>
        <w:tc>
          <w:tcPr>
            <w:tcW w:w="0" w:type="dxa"/>
            <w:vAlign w:val="bottom"/>
          </w:tcPr>
          <w:p>
            <w:pPr>
              <w:spacing w:after="0"/>
              <w:rPr>
                <w:sz w:val="1"/>
                <w:szCs w:val="1"/>
                <w:color w:val="auto"/>
              </w:rPr>
            </w:pPr>
          </w:p>
        </w:tc>
      </w:tr>
      <w:tr>
        <w:trPr>
          <w:trHeight w:val="581"/>
        </w:trPr>
        <w:tc>
          <w:tcPr>
            <w:tcW w:w="520" w:type="dxa"/>
            <w:vAlign w:val="bottom"/>
          </w:tcPr>
          <w:p>
            <w:pPr>
              <w:jc w:val="right"/>
              <w:spacing w:after="0"/>
              <w:rPr>
                <w:sz w:val="20"/>
                <w:szCs w:val="20"/>
                <w:color w:val="auto"/>
              </w:rPr>
            </w:pPr>
            <w:r>
              <w:rPr>
                <w:rFonts w:ascii="Arial" w:cs="Arial" w:eastAsia="Arial" w:hAnsi="Arial"/>
                <w:sz w:val="11"/>
                <w:szCs w:val="11"/>
                <w:color w:val="2D3243"/>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2D3243"/>
              </w:rPr>
              <w:t>3,649,593</w:t>
            </w:r>
          </w:p>
        </w:tc>
        <w:tc>
          <w:tcPr>
            <w:tcW w:w="200" w:type="dxa"/>
            <w:vAlign w:val="bottom"/>
          </w:tcPr>
          <w:p>
            <w:pPr>
              <w:jc w:val="right"/>
              <w:ind w:right="26"/>
              <w:spacing w:after="0"/>
              <w:rPr>
                <w:sz w:val="20"/>
                <w:szCs w:val="20"/>
                <w:color w:val="auto"/>
              </w:rPr>
            </w:pPr>
            <w:r>
              <w:rPr>
                <w:rFonts w:ascii="Arial" w:cs="Arial" w:eastAsia="Arial" w:hAnsi="Arial"/>
                <w:sz w:val="11"/>
                <w:szCs w:val="11"/>
                <w:color w:val="2D3243"/>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2D3243"/>
              </w:rPr>
              <w:t>35,199,685</w:t>
            </w:r>
          </w:p>
        </w:tc>
        <w:tc>
          <w:tcPr>
            <w:tcW w:w="160" w:type="dxa"/>
            <w:vAlign w:val="bottom"/>
          </w:tcPr>
          <w:p>
            <w:pPr>
              <w:jc w:val="right"/>
              <w:ind w:right="51"/>
              <w:spacing w:after="0"/>
              <w:rPr>
                <w:sz w:val="20"/>
                <w:szCs w:val="20"/>
                <w:color w:val="auto"/>
              </w:rPr>
            </w:pPr>
            <w:r>
              <w:rPr>
                <w:rFonts w:ascii="Arial" w:cs="Arial" w:eastAsia="Arial" w:hAnsi="Arial"/>
                <w:sz w:val="10"/>
                <w:szCs w:val="10"/>
                <w:color w:val="2D3243"/>
                <w:w w:val="71"/>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2D3243"/>
              </w:rPr>
              <w:t>534,533</w:t>
            </w:r>
          </w:p>
        </w:tc>
        <w:tc>
          <w:tcPr>
            <w:tcW w:w="160" w:type="dxa"/>
            <w:vAlign w:val="bottom"/>
          </w:tcPr>
          <w:p>
            <w:pPr>
              <w:jc w:val="right"/>
              <w:ind w:right="26"/>
              <w:spacing w:after="0"/>
              <w:rPr>
                <w:sz w:val="20"/>
                <w:szCs w:val="20"/>
                <w:color w:val="auto"/>
              </w:rPr>
            </w:pPr>
            <w:r>
              <w:rPr>
                <w:rFonts w:ascii="Arial" w:cs="Arial" w:eastAsia="Arial" w:hAnsi="Arial"/>
                <w:sz w:val="11"/>
                <w:szCs w:val="11"/>
                <w:color w:val="2D3243"/>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2D3243"/>
              </w:rPr>
              <w:t>3,034,839</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5,797,555</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1,932,539</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10,995,441</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800" w:type="dxa"/>
            <w:vAlign w:val="bottom"/>
          </w:tcPr>
          <w:p>
            <w:pPr>
              <w:jc w:val="right"/>
              <w:ind w:right="106"/>
              <w:spacing w:after="0"/>
              <w:rPr>
                <w:sz w:val="20"/>
                <w:szCs w:val="20"/>
                <w:color w:val="auto"/>
              </w:rPr>
            </w:pPr>
            <w:r>
              <w:rPr>
                <w:rFonts w:ascii="Arial" w:cs="Arial" w:eastAsia="Arial" w:hAnsi="Arial"/>
                <w:sz w:val="11"/>
                <w:szCs w:val="11"/>
                <w:color w:val="2D3243"/>
              </w:rPr>
              <w:t>4,792,937</w:t>
            </w:r>
          </w:p>
        </w:tc>
        <w:tc>
          <w:tcPr>
            <w:tcW w:w="0" w:type="dxa"/>
            <w:vAlign w:val="bottom"/>
          </w:tcPr>
          <w:p>
            <w:pPr>
              <w:spacing w:after="0"/>
              <w:rPr>
                <w:sz w:val="1"/>
                <w:szCs w:val="1"/>
                <w:color w:val="auto"/>
              </w:rPr>
            </w:pPr>
          </w:p>
        </w:tc>
      </w:tr>
      <w:tr>
        <w:trPr>
          <w:trHeight w:val="702"/>
        </w:trPr>
        <w:tc>
          <w:tcPr>
            <w:tcW w:w="520" w:type="dxa"/>
            <w:vAlign w:val="bottom"/>
          </w:tcPr>
          <w:p>
            <w:pPr>
              <w:jc w:val="right"/>
              <w:spacing w:after="0"/>
              <w:rPr>
                <w:sz w:val="20"/>
                <w:szCs w:val="20"/>
                <w:color w:val="auto"/>
              </w:rPr>
            </w:pPr>
            <w:r>
              <w:rPr>
                <w:rFonts w:ascii="Arial" w:cs="Arial" w:eastAsia="Arial" w:hAnsi="Arial"/>
                <w:sz w:val="11"/>
                <w:szCs w:val="11"/>
                <w:color w:val="2D3243"/>
                <w:w w:val="93"/>
              </w:rPr>
              <w:t>2,121,481</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2D3243"/>
              </w:rPr>
              <w:t>484,708</w:t>
            </w:r>
          </w:p>
        </w:tc>
        <w:tc>
          <w:tcPr>
            <w:tcW w:w="200" w:type="dxa"/>
            <w:vAlign w:val="bottom"/>
          </w:tcPr>
          <w:p>
            <w:pPr>
              <w:jc w:val="right"/>
              <w:ind w:right="26"/>
              <w:spacing w:after="0"/>
              <w:rPr>
                <w:sz w:val="20"/>
                <w:szCs w:val="20"/>
                <w:color w:val="auto"/>
              </w:rPr>
            </w:pPr>
            <w:r>
              <w:rPr>
                <w:rFonts w:ascii="Arial" w:cs="Arial" w:eastAsia="Arial" w:hAnsi="Arial"/>
                <w:sz w:val="11"/>
                <w:szCs w:val="11"/>
                <w:color w:val="2D3243"/>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2D3243"/>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2D3243"/>
                <w:w w:val="71"/>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2D3243"/>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2D3243"/>
                <w:w w:val="97"/>
              </w:rPr>
              <w:t>$</w:t>
            </w:r>
          </w:p>
        </w:tc>
        <w:tc>
          <w:tcPr>
            <w:tcW w:w="720" w:type="dxa"/>
            <w:vAlign w:val="bottom"/>
          </w:tcPr>
          <w:p>
            <w:pPr>
              <w:jc w:val="right"/>
              <w:spacing w:after="0"/>
              <w:rPr>
                <w:sz w:val="20"/>
                <w:szCs w:val="20"/>
                <w:color w:val="auto"/>
              </w:rPr>
            </w:pPr>
            <w:r>
              <w:rPr>
                <w:rFonts w:ascii="Arial" w:cs="Arial" w:eastAsia="Arial" w:hAnsi="Arial"/>
                <w:sz w:val="11"/>
                <w:szCs w:val="11"/>
                <w:color w:val="2D3243"/>
              </w:rPr>
              <w:t>(1,487,434)</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(3,117,851)</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(1,527,385)</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14,892,137</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800" w:type="dxa"/>
            <w:vAlign w:val="bottom"/>
          </w:tcPr>
          <w:p>
            <w:pPr>
              <w:jc w:val="right"/>
              <w:ind w:right="106"/>
              <w:spacing w:after="0"/>
              <w:rPr>
                <w:sz w:val="20"/>
                <w:szCs w:val="20"/>
                <w:color w:val="auto"/>
              </w:rPr>
            </w:pPr>
            <w:r>
              <w:rPr>
                <w:rFonts w:ascii="Arial" w:cs="Arial" w:eastAsia="Arial" w:hAnsi="Arial"/>
                <w:sz w:val="11"/>
                <w:szCs w:val="11"/>
                <w:color w:val="2D3243"/>
              </w:rPr>
              <w:t>6,022,969</w:t>
            </w:r>
          </w:p>
        </w:tc>
        <w:tc>
          <w:tcPr>
            <w:tcW w:w="0" w:type="dxa"/>
            <w:vAlign w:val="bottom"/>
          </w:tcPr>
          <w:p>
            <w:pPr>
              <w:spacing w:after="0"/>
              <w:rPr>
                <w:sz w:val="1"/>
                <w:szCs w:val="1"/>
                <w:color w:val="auto"/>
              </w:rPr>
            </w:pPr>
          </w:p>
        </w:tc>
      </w:tr>
      <w:tr>
        <w:trPr>
          <w:trHeight w:val="634"/>
        </w:trPr>
        <w:tc>
          <w:tcPr>
            <w:tcW w:w="520" w:type="dxa"/>
            <w:vAlign w:val="bottom"/>
          </w:tcPr>
          <w:p>
            <w:pPr>
              <w:jc w:val="right"/>
              <w:spacing w:after="0"/>
              <w:rPr>
                <w:sz w:val="20"/>
                <w:szCs w:val="20"/>
                <w:color w:val="auto"/>
              </w:rPr>
            </w:pPr>
            <w:r>
              <w:rPr>
                <w:rFonts w:ascii="Arial" w:cs="Arial" w:eastAsia="Arial" w:hAnsi="Arial"/>
                <w:sz w:val="11"/>
                <w:szCs w:val="11"/>
                <w:color w:val="2D3243"/>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2D3243"/>
              </w:rPr>
              <w:t>508,968</w:t>
            </w:r>
          </w:p>
        </w:tc>
        <w:tc>
          <w:tcPr>
            <w:tcW w:w="200" w:type="dxa"/>
            <w:vAlign w:val="bottom"/>
          </w:tcPr>
          <w:p>
            <w:pPr>
              <w:jc w:val="right"/>
              <w:ind w:right="26"/>
              <w:spacing w:after="0"/>
              <w:rPr>
                <w:sz w:val="20"/>
                <w:szCs w:val="20"/>
                <w:color w:val="auto"/>
              </w:rPr>
            </w:pPr>
            <w:r>
              <w:rPr>
                <w:rFonts w:ascii="Arial" w:cs="Arial" w:eastAsia="Arial" w:hAnsi="Arial"/>
                <w:sz w:val="11"/>
                <w:szCs w:val="11"/>
                <w:color w:val="2D3243"/>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2D3243"/>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2D3243"/>
                <w:w w:val="71"/>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2D3243"/>
              </w:rPr>
              <w:t>647,040</w:t>
            </w:r>
          </w:p>
        </w:tc>
        <w:tc>
          <w:tcPr>
            <w:tcW w:w="160" w:type="dxa"/>
            <w:vAlign w:val="bottom"/>
          </w:tcPr>
          <w:p>
            <w:pPr>
              <w:jc w:val="right"/>
              <w:ind w:right="26"/>
              <w:spacing w:after="0"/>
              <w:rPr>
                <w:sz w:val="20"/>
                <w:szCs w:val="20"/>
                <w:color w:val="auto"/>
              </w:rPr>
            </w:pPr>
            <w:r>
              <w:rPr>
                <w:rFonts w:ascii="Arial" w:cs="Arial" w:eastAsia="Arial" w:hAnsi="Arial"/>
                <w:sz w:val="11"/>
                <w:szCs w:val="11"/>
                <w:color w:val="2D3243"/>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2D3243"/>
              </w:rPr>
              <w:t>443,019</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1,623,743</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541,145</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1,788,797</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800" w:type="dxa"/>
            <w:vAlign w:val="bottom"/>
          </w:tcPr>
          <w:p>
            <w:pPr>
              <w:jc w:val="right"/>
              <w:ind w:right="106"/>
              <w:spacing w:after="0"/>
              <w:rPr>
                <w:sz w:val="20"/>
                <w:szCs w:val="20"/>
                <w:color w:val="auto"/>
              </w:rPr>
            </w:pPr>
            <w:r>
              <w:rPr>
                <w:rFonts w:ascii="Arial" w:cs="Arial" w:eastAsia="Arial" w:hAnsi="Arial"/>
                <w:sz w:val="11"/>
                <w:szCs w:val="11"/>
                <w:color w:val="2D3243"/>
              </w:rPr>
              <w:t>779,593</w:t>
            </w:r>
          </w:p>
        </w:tc>
        <w:tc>
          <w:tcPr>
            <w:tcW w:w="0" w:type="dxa"/>
            <w:vAlign w:val="bottom"/>
          </w:tcPr>
          <w:p>
            <w:pPr>
              <w:spacing w:after="0"/>
              <w:rPr>
                <w:sz w:val="1"/>
                <w:szCs w:val="1"/>
                <w:color w:val="auto"/>
              </w:rPr>
            </w:pPr>
          </w:p>
        </w:tc>
      </w:tr>
      <w:tr>
        <w:trPr>
          <w:trHeight w:val="702"/>
        </w:trPr>
        <w:tc>
          <w:tcPr>
            <w:tcW w:w="520" w:type="dxa"/>
            <w:vAlign w:val="bottom"/>
          </w:tcPr>
          <w:p>
            <w:pPr>
              <w:jc w:val="right"/>
              <w:spacing w:after="0"/>
              <w:rPr>
                <w:sz w:val="20"/>
                <w:szCs w:val="20"/>
                <w:color w:val="auto"/>
              </w:rPr>
            </w:pPr>
            <w:r>
              <w:rPr>
                <w:rFonts w:ascii="Arial" w:cs="Arial" w:eastAsia="Arial" w:hAnsi="Arial"/>
                <w:sz w:val="11"/>
                <w:szCs w:val="11"/>
                <w:color w:val="2D3243"/>
              </w:rPr>
              <w:t>314,678</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2D3243"/>
              </w:rPr>
              <w:t>217,214</w:t>
            </w:r>
          </w:p>
        </w:tc>
        <w:tc>
          <w:tcPr>
            <w:tcW w:w="200" w:type="dxa"/>
            <w:vAlign w:val="bottom"/>
          </w:tcPr>
          <w:p>
            <w:pPr>
              <w:jc w:val="right"/>
              <w:ind w:right="26"/>
              <w:spacing w:after="0"/>
              <w:rPr>
                <w:sz w:val="20"/>
                <w:szCs w:val="20"/>
                <w:color w:val="auto"/>
              </w:rPr>
            </w:pPr>
            <w:r>
              <w:rPr>
                <w:rFonts w:ascii="Arial" w:cs="Arial" w:eastAsia="Arial" w:hAnsi="Arial"/>
                <w:sz w:val="11"/>
                <w:szCs w:val="11"/>
                <w:color w:val="2D3243"/>
              </w:rPr>
              <w:t>$</w:t>
            </w:r>
          </w:p>
        </w:tc>
        <w:tc>
          <w:tcPr>
            <w:tcW w:w="740" w:type="dxa"/>
            <w:vAlign w:val="bottom"/>
          </w:tcPr>
          <w:p>
            <w:pPr>
              <w:jc w:val="right"/>
              <w:spacing w:after="0"/>
              <w:rPr>
                <w:sz w:val="20"/>
                <w:szCs w:val="20"/>
                <w:color w:val="auto"/>
              </w:rPr>
            </w:pPr>
            <w:r>
              <w:rPr>
                <w:rFonts w:ascii="Arial" w:cs="Arial" w:eastAsia="Arial" w:hAnsi="Arial"/>
                <w:sz w:val="11"/>
                <w:szCs w:val="11"/>
                <w:color w:val="2D3243"/>
              </w:rPr>
              <w:t>(54,790)</w:t>
            </w:r>
          </w:p>
        </w:tc>
        <w:tc>
          <w:tcPr>
            <w:tcW w:w="160" w:type="dxa"/>
            <w:vAlign w:val="bottom"/>
          </w:tcPr>
          <w:p>
            <w:pPr>
              <w:jc w:val="right"/>
              <w:ind w:right="51"/>
              <w:spacing w:after="0"/>
              <w:rPr>
                <w:sz w:val="20"/>
                <w:szCs w:val="20"/>
                <w:color w:val="auto"/>
              </w:rPr>
            </w:pPr>
            <w:r>
              <w:rPr>
                <w:rFonts w:ascii="Arial" w:cs="Arial" w:eastAsia="Arial" w:hAnsi="Arial"/>
                <w:sz w:val="10"/>
                <w:szCs w:val="10"/>
                <w:color w:val="2D3243"/>
                <w:w w:val="71"/>
              </w:rPr>
              <w:t>$</w:t>
            </w:r>
          </w:p>
        </w:tc>
        <w:tc>
          <w:tcPr>
            <w:tcW w:w="720" w:type="dxa"/>
            <w:vAlign w:val="bottom"/>
          </w:tcPr>
          <w:p>
            <w:pPr>
              <w:jc w:val="right"/>
              <w:spacing w:after="0"/>
              <w:rPr>
                <w:sz w:val="20"/>
                <w:szCs w:val="20"/>
                <w:color w:val="auto"/>
              </w:rPr>
            </w:pPr>
            <w:r>
              <w:rPr>
                <w:rFonts w:ascii="Arial" w:cs="Arial" w:eastAsia="Arial" w:hAnsi="Arial"/>
                <w:sz w:val="11"/>
                <w:szCs w:val="11"/>
                <w:color w:val="2D3243"/>
              </w:rPr>
              <w:t>(2,825,529)</w:t>
            </w:r>
          </w:p>
        </w:tc>
        <w:tc>
          <w:tcPr>
            <w:tcW w:w="160" w:type="dxa"/>
            <w:vAlign w:val="bottom"/>
          </w:tcPr>
          <w:p>
            <w:pPr>
              <w:jc w:val="right"/>
              <w:ind w:right="26"/>
              <w:spacing w:after="0"/>
              <w:rPr>
                <w:sz w:val="20"/>
                <w:szCs w:val="20"/>
                <w:color w:val="auto"/>
              </w:rPr>
            </w:pPr>
            <w:r>
              <w:rPr>
                <w:rFonts w:ascii="Arial" w:cs="Arial" w:eastAsia="Arial" w:hAnsi="Arial"/>
                <w:sz w:val="11"/>
                <w:szCs w:val="11"/>
                <w:color w:val="2D3243"/>
                <w:w w:val="97"/>
              </w:rPr>
              <w:t>$</w:t>
            </w:r>
          </w:p>
        </w:tc>
        <w:tc>
          <w:tcPr>
            <w:tcW w:w="720" w:type="dxa"/>
            <w:vAlign w:val="bottom"/>
          </w:tcPr>
          <w:p>
            <w:pPr>
              <w:jc w:val="right"/>
              <w:spacing w:after="0"/>
              <w:rPr>
                <w:sz w:val="20"/>
                <w:szCs w:val="20"/>
                <w:color w:val="auto"/>
              </w:rPr>
            </w:pPr>
            <w:r>
              <w:rPr>
                <w:rFonts w:ascii="Arial" w:cs="Arial" w:eastAsia="Arial" w:hAnsi="Arial"/>
                <w:sz w:val="11"/>
                <w:szCs w:val="11"/>
                <w:color w:val="2D3243"/>
              </w:rPr>
              <w:t>(1,078,871)</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(1,207,861)</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(467,343)</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8,409,574</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800" w:type="dxa"/>
            <w:vAlign w:val="bottom"/>
          </w:tcPr>
          <w:p>
            <w:pPr>
              <w:jc w:val="right"/>
              <w:ind w:right="106"/>
              <w:spacing w:after="0"/>
              <w:rPr>
                <w:sz w:val="20"/>
                <w:szCs w:val="20"/>
                <w:color w:val="auto"/>
              </w:rPr>
            </w:pPr>
            <w:r>
              <w:rPr>
                <w:rFonts w:ascii="Arial" w:cs="Arial" w:eastAsia="Arial" w:hAnsi="Arial"/>
                <w:sz w:val="11"/>
                <w:szCs w:val="11"/>
                <w:color w:val="2D3243"/>
              </w:rPr>
              <w:t>3,055,863</w:t>
            </w:r>
          </w:p>
        </w:tc>
        <w:tc>
          <w:tcPr>
            <w:tcW w:w="0" w:type="dxa"/>
            <w:vAlign w:val="bottom"/>
          </w:tcPr>
          <w:p>
            <w:pPr>
              <w:spacing w:after="0"/>
              <w:rPr>
                <w:sz w:val="1"/>
                <w:szCs w:val="1"/>
                <w:color w:val="auto"/>
              </w:rPr>
            </w:pPr>
          </w:p>
        </w:tc>
      </w:tr>
      <w:tr>
        <w:trPr>
          <w:trHeight w:val="769"/>
        </w:trPr>
        <w:tc>
          <w:tcPr>
            <w:tcW w:w="520" w:type="dxa"/>
            <w:vAlign w:val="bottom"/>
          </w:tcPr>
          <w:p>
            <w:pPr>
              <w:jc w:val="right"/>
              <w:spacing w:after="0"/>
              <w:rPr>
                <w:sz w:val="20"/>
                <w:szCs w:val="20"/>
                <w:color w:val="auto"/>
              </w:rPr>
            </w:pPr>
            <w:r>
              <w:rPr>
                <w:rFonts w:ascii="Arial" w:cs="Arial" w:eastAsia="Arial" w:hAnsi="Arial"/>
                <w:sz w:val="11"/>
                <w:szCs w:val="11"/>
                <w:color w:val="2D3243"/>
              </w:rPr>
              <w:t>(494,832)</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40" w:type="dxa"/>
            <w:vAlign w:val="bottom"/>
          </w:tcPr>
          <w:p>
            <w:pPr>
              <w:jc w:val="right"/>
              <w:ind w:right="26"/>
              <w:spacing w:after="0"/>
              <w:rPr>
                <w:sz w:val="20"/>
                <w:szCs w:val="20"/>
                <w:color w:val="auto"/>
              </w:rPr>
            </w:pPr>
            <w:r>
              <w:rPr>
                <w:rFonts w:ascii="Arial" w:cs="Arial" w:eastAsia="Arial" w:hAnsi="Arial"/>
                <w:sz w:val="11"/>
                <w:szCs w:val="11"/>
                <w:color w:val="2D3243"/>
              </w:rPr>
              <w:t>(709,274)</w:t>
            </w:r>
          </w:p>
        </w:tc>
        <w:tc>
          <w:tcPr>
            <w:tcW w:w="200" w:type="dxa"/>
            <w:vAlign w:val="bottom"/>
          </w:tcPr>
          <w:p>
            <w:pPr>
              <w:jc w:val="right"/>
              <w:ind w:right="26"/>
              <w:spacing w:after="0"/>
              <w:rPr>
                <w:sz w:val="20"/>
                <w:szCs w:val="20"/>
                <w:color w:val="auto"/>
              </w:rPr>
            </w:pPr>
            <w:r>
              <w:rPr>
                <w:rFonts w:ascii="Arial" w:cs="Arial" w:eastAsia="Arial" w:hAnsi="Arial"/>
                <w:sz w:val="11"/>
                <w:szCs w:val="11"/>
                <w:color w:val="2D3243"/>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2D3243"/>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2D3243"/>
                <w:w w:val="71"/>
              </w:rPr>
              <w:t>$</w:t>
            </w:r>
          </w:p>
        </w:tc>
        <w:tc>
          <w:tcPr>
            <w:tcW w:w="720" w:type="dxa"/>
            <w:vAlign w:val="bottom"/>
          </w:tcPr>
          <w:p>
            <w:pPr>
              <w:jc w:val="right"/>
              <w:spacing w:after="0"/>
              <w:rPr>
                <w:sz w:val="20"/>
                <w:szCs w:val="20"/>
                <w:color w:val="auto"/>
              </w:rPr>
            </w:pPr>
            <w:r>
              <w:rPr>
                <w:rFonts w:ascii="Arial" w:cs="Arial" w:eastAsia="Arial" w:hAnsi="Arial"/>
                <w:sz w:val="11"/>
                <w:szCs w:val="11"/>
                <w:color w:val="2D3243"/>
              </w:rPr>
              <w:t>(6,647,736)</w:t>
            </w:r>
          </w:p>
        </w:tc>
        <w:tc>
          <w:tcPr>
            <w:tcW w:w="160" w:type="dxa"/>
            <w:vAlign w:val="bottom"/>
          </w:tcPr>
          <w:p>
            <w:pPr>
              <w:jc w:val="right"/>
              <w:ind w:right="26"/>
              <w:spacing w:after="0"/>
              <w:rPr>
                <w:sz w:val="20"/>
                <w:szCs w:val="20"/>
                <w:color w:val="auto"/>
              </w:rPr>
            </w:pPr>
            <w:r>
              <w:rPr>
                <w:rFonts w:ascii="Arial" w:cs="Arial" w:eastAsia="Arial" w:hAnsi="Arial"/>
                <w:sz w:val="11"/>
                <w:szCs w:val="11"/>
                <w:color w:val="2D3243"/>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2D3243"/>
              </w:rPr>
              <w:t>—</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800" w:type="dxa"/>
            <w:vAlign w:val="bottom"/>
          </w:tcPr>
          <w:p>
            <w:pPr>
              <w:jc w:val="right"/>
              <w:ind w:right="106"/>
              <w:spacing w:after="0"/>
              <w:rPr>
                <w:sz w:val="20"/>
                <w:szCs w:val="20"/>
                <w:color w:val="auto"/>
              </w:rPr>
            </w:pPr>
            <w:r>
              <w:rPr>
                <w:rFonts w:ascii="Arial" w:cs="Arial" w:eastAsia="Arial" w:hAnsi="Arial"/>
                <w:sz w:val="11"/>
                <w:szCs w:val="11"/>
                <w:color w:val="2D3243"/>
              </w:rPr>
              <w:t>—</w:t>
            </w:r>
          </w:p>
        </w:tc>
        <w:tc>
          <w:tcPr>
            <w:tcW w:w="0" w:type="dxa"/>
            <w:vAlign w:val="bottom"/>
          </w:tcPr>
          <w:p>
            <w:pPr>
              <w:spacing w:after="0"/>
              <w:rPr>
                <w:sz w:val="1"/>
                <w:szCs w:val="1"/>
                <w:color w:val="auto"/>
              </w:rPr>
            </w:pPr>
          </w:p>
        </w:tc>
      </w:tr>
      <w:tr>
        <w:trPr>
          <w:trHeight w:val="567"/>
        </w:trPr>
        <w:tc>
          <w:tcPr>
            <w:tcW w:w="720" w:type="dxa"/>
            <w:vAlign w:val="bottom"/>
            <w:gridSpan w:val="2"/>
          </w:tcPr>
          <w:p>
            <w:pPr>
              <w:jc w:val="right"/>
              <w:ind w:right="66"/>
              <w:spacing w:after="0"/>
              <w:rPr>
                <w:sz w:val="20"/>
                <w:szCs w:val="20"/>
                <w:color w:val="auto"/>
              </w:rPr>
            </w:pPr>
            <w:r>
              <w:rPr>
                <w:rFonts w:ascii="Arial" w:cs="Arial" w:eastAsia="Arial" w:hAnsi="Arial"/>
                <w:sz w:val="11"/>
                <w:szCs w:val="11"/>
                <w:color w:val="2D3243"/>
              </w:rPr>
              <w:t>—  $</w:t>
            </w:r>
          </w:p>
        </w:tc>
        <w:tc>
          <w:tcPr>
            <w:tcW w:w="740" w:type="dxa"/>
            <w:vAlign w:val="bottom"/>
          </w:tcPr>
          <w:p>
            <w:pPr>
              <w:jc w:val="right"/>
              <w:ind w:right="66"/>
              <w:spacing w:after="0"/>
              <w:rPr>
                <w:sz w:val="20"/>
                <w:szCs w:val="20"/>
                <w:color w:val="auto"/>
              </w:rPr>
            </w:pPr>
            <w:r>
              <w:rPr>
                <w:rFonts w:ascii="Arial" w:cs="Arial" w:eastAsia="Arial" w:hAnsi="Arial"/>
                <w:sz w:val="11"/>
                <w:szCs w:val="11"/>
                <w:color w:val="2D3243"/>
              </w:rPr>
              <w:t>—</w:t>
            </w:r>
          </w:p>
        </w:tc>
        <w:tc>
          <w:tcPr>
            <w:tcW w:w="200" w:type="dxa"/>
            <w:vAlign w:val="bottom"/>
          </w:tcPr>
          <w:p>
            <w:pPr>
              <w:jc w:val="right"/>
              <w:ind w:right="26"/>
              <w:spacing w:after="0"/>
              <w:rPr>
                <w:sz w:val="20"/>
                <w:szCs w:val="20"/>
                <w:color w:val="auto"/>
              </w:rPr>
            </w:pPr>
            <w:r>
              <w:rPr>
                <w:rFonts w:ascii="Arial" w:cs="Arial" w:eastAsia="Arial" w:hAnsi="Arial"/>
                <w:sz w:val="11"/>
                <w:szCs w:val="11"/>
                <w:color w:val="2D3243"/>
              </w:rPr>
              <w:t>$</w:t>
            </w:r>
          </w:p>
        </w:tc>
        <w:tc>
          <w:tcPr>
            <w:tcW w:w="900" w:type="dxa"/>
            <w:vAlign w:val="bottom"/>
            <w:gridSpan w:val="2"/>
          </w:tcPr>
          <w:p>
            <w:pPr>
              <w:jc w:val="right"/>
              <w:ind w:right="51"/>
              <w:spacing w:after="0"/>
              <w:rPr>
                <w:sz w:val="20"/>
                <w:szCs w:val="20"/>
                <w:color w:val="auto"/>
              </w:rPr>
            </w:pPr>
            <w:r>
              <w:rPr>
                <w:rFonts w:ascii="Arial" w:cs="Arial" w:eastAsia="Arial" w:hAnsi="Arial"/>
                <w:sz w:val="11"/>
                <w:szCs w:val="11"/>
                <w:color w:val="2D3243"/>
              </w:rPr>
              <w:t>—  $</w:t>
            </w:r>
          </w:p>
        </w:tc>
        <w:tc>
          <w:tcPr>
            <w:tcW w:w="720" w:type="dxa"/>
            <w:vAlign w:val="bottom"/>
          </w:tcPr>
          <w:p>
            <w:pPr>
              <w:jc w:val="right"/>
              <w:ind w:right="6"/>
              <w:spacing w:after="0"/>
              <w:rPr>
                <w:sz w:val="20"/>
                <w:szCs w:val="20"/>
                <w:color w:val="auto"/>
              </w:rPr>
            </w:pPr>
            <w:r>
              <w:rPr>
                <w:rFonts w:ascii="Arial" w:cs="Arial" w:eastAsia="Arial" w:hAnsi="Arial"/>
                <w:sz w:val="11"/>
                <w:szCs w:val="11"/>
                <w:color w:val="2D3243"/>
              </w:rPr>
              <w:t>138,000</w:t>
            </w:r>
          </w:p>
        </w:tc>
        <w:tc>
          <w:tcPr>
            <w:tcW w:w="160" w:type="dxa"/>
            <w:vAlign w:val="bottom"/>
          </w:tcPr>
          <w:p>
            <w:pPr>
              <w:jc w:val="right"/>
              <w:ind w:right="26"/>
              <w:spacing w:after="0"/>
              <w:rPr>
                <w:sz w:val="20"/>
                <w:szCs w:val="20"/>
                <w:color w:val="auto"/>
              </w:rPr>
            </w:pPr>
            <w:r>
              <w:rPr>
                <w:rFonts w:ascii="Arial" w:cs="Arial" w:eastAsia="Arial" w:hAnsi="Arial"/>
                <w:sz w:val="11"/>
                <w:szCs w:val="11"/>
                <w:color w:val="2D3243"/>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2D3243"/>
              </w:rPr>
              <w:t>—</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2D3243"/>
              </w:rPr>
              <w:t>—  $</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2D3243"/>
              </w:rPr>
              <w:t>—  $</w:t>
            </w:r>
          </w:p>
        </w:tc>
        <w:tc>
          <w:tcPr>
            <w:tcW w:w="800" w:type="dxa"/>
            <w:vAlign w:val="bottom"/>
          </w:tcPr>
          <w:p>
            <w:pPr>
              <w:jc w:val="right"/>
              <w:ind w:right="106"/>
              <w:spacing w:after="0"/>
              <w:rPr>
                <w:sz w:val="20"/>
                <w:szCs w:val="20"/>
                <w:color w:val="auto"/>
              </w:rPr>
            </w:pPr>
            <w:r>
              <w:rPr>
                <w:rFonts w:ascii="Arial" w:cs="Arial" w:eastAsia="Arial" w:hAnsi="Arial"/>
                <w:sz w:val="11"/>
                <w:szCs w:val="11"/>
                <w:color w:val="2D3243"/>
              </w:rPr>
              <w:t>—</w:t>
            </w:r>
          </w:p>
        </w:tc>
        <w:tc>
          <w:tcPr>
            <w:tcW w:w="0" w:type="dxa"/>
            <w:vAlign w:val="bottom"/>
          </w:tcPr>
          <w:p>
            <w:pPr>
              <w:spacing w:after="0"/>
              <w:rPr>
                <w:sz w:val="1"/>
                <w:szCs w:val="1"/>
                <w:color w:val="auto"/>
              </w:rPr>
            </w:pPr>
          </w:p>
        </w:tc>
      </w:tr>
      <w:tr>
        <w:trPr>
          <w:trHeight w:val="378"/>
        </w:trPr>
        <w:tc>
          <w:tcPr>
            <w:tcW w:w="520" w:type="dxa"/>
            <w:vAlign w:val="bottom"/>
          </w:tcPr>
          <w:p>
            <w:pPr>
              <w:jc w:val="right"/>
              <w:spacing w:after="0"/>
              <w:rPr>
                <w:sz w:val="20"/>
                <w:szCs w:val="20"/>
                <w:color w:val="auto"/>
              </w:rPr>
            </w:pPr>
            <w:r>
              <w:rPr>
                <w:rFonts w:ascii="Arial" w:cs="Arial" w:eastAsia="Arial" w:hAnsi="Arial"/>
                <w:sz w:val="11"/>
                <w:szCs w:val="11"/>
                <w:color w:val="2D3243"/>
                <w:w w:val="93"/>
              </w:rPr>
              <w:t>3,136,538</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2D3243"/>
              </w:rPr>
              <w:t>4,919,123</w:t>
            </w:r>
          </w:p>
        </w:tc>
        <w:tc>
          <w:tcPr>
            <w:tcW w:w="200" w:type="dxa"/>
            <w:vAlign w:val="bottom"/>
          </w:tcPr>
          <w:p>
            <w:pPr>
              <w:jc w:val="right"/>
              <w:ind w:right="26"/>
              <w:spacing w:after="0"/>
              <w:rPr>
                <w:sz w:val="20"/>
                <w:szCs w:val="20"/>
                <w:color w:val="auto"/>
              </w:rPr>
            </w:pPr>
            <w:r>
              <w:rPr>
                <w:rFonts w:ascii="Arial" w:cs="Arial" w:eastAsia="Arial" w:hAnsi="Arial"/>
                <w:sz w:val="11"/>
                <w:szCs w:val="11"/>
                <w:color w:val="2D3243"/>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2D3243"/>
              </w:rPr>
              <w:t>35,344,854</w:t>
            </w:r>
          </w:p>
        </w:tc>
        <w:tc>
          <w:tcPr>
            <w:tcW w:w="160" w:type="dxa"/>
            <w:vAlign w:val="bottom"/>
          </w:tcPr>
          <w:p>
            <w:pPr>
              <w:jc w:val="right"/>
              <w:ind w:right="51"/>
              <w:spacing w:after="0"/>
              <w:rPr>
                <w:sz w:val="20"/>
                <w:szCs w:val="20"/>
                <w:color w:val="auto"/>
              </w:rPr>
            </w:pPr>
            <w:r>
              <w:rPr>
                <w:rFonts w:ascii="Arial" w:cs="Arial" w:eastAsia="Arial" w:hAnsi="Arial"/>
                <w:sz w:val="10"/>
                <w:szCs w:val="10"/>
                <w:color w:val="2D3243"/>
                <w:w w:val="71"/>
              </w:rPr>
              <w:t>$</w:t>
            </w:r>
          </w:p>
        </w:tc>
        <w:tc>
          <w:tcPr>
            <w:tcW w:w="720" w:type="dxa"/>
            <w:vAlign w:val="bottom"/>
          </w:tcPr>
          <w:p>
            <w:pPr>
              <w:jc w:val="right"/>
              <w:spacing w:after="0"/>
              <w:rPr>
                <w:sz w:val="20"/>
                <w:szCs w:val="20"/>
                <w:color w:val="auto"/>
              </w:rPr>
            </w:pPr>
            <w:r>
              <w:rPr>
                <w:rFonts w:ascii="Arial" w:cs="Arial" w:eastAsia="Arial" w:hAnsi="Arial"/>
                <w:sz w:val="11"/>
                <w:szCs w:val="11"/>
                <w:color w:val="2D3243"/>
              </w:rPr>
              <w:t>(7,178,662)</w:t>
            </w:r>
          </w:p>
        </w:tc>
        <w:tc>
          <w:tcPr>
            <w:tcW w:w="160" w:type="dxa"/>
            <w:vAlign w:val="bottom"/>
          </w:tcPr>
          <w:p>
            <w:pPr>
              <w:jc w:val="right"/>
              <w:ind w:right="26"/>
              <w:spacing w:after="0"/>
              <w:rPr>
                <w:sz w:val="20"/>
                <w:szCs w:val="20"/>
                <w:color w:val="auto"/>
              </w:rPr>
            </w:pPr>
            <w:r>
              <w:rPr>
                <w:rFonts w:ascii="Arial" w:cs="Arial" w:eastAsia="Arial" w:hAnsi="Arial"/>
                <w:sz w:val="11"/>
                <w:szCs w:val="11"/>
                <w:color w:val="2D3243"/>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2D3243"/>
              </w:rPr>
              <w:t>1,669,124</w:t>
            </w:r>
          </w:p>
        </w:tc>
        <w:tc>
          <w:tcPr>
            <w:tcW w:w="240" w:type="dxa"/>
            <w:vAlign w:val="bottom"/>
          </w:tcPr>
          <w:p>
            <w:pPr>
              <w:ind w:left="20"/>
              <w:spacing w:after="0"/>
              <w:rPr>
                <w:sz w:val="20"/>
                <w:szCs w:val="20"/>
                <w:color w:val="auto"/>
              </w:rPr>
            </w:pPr>
            <w:r>
              <w:rPr>
                <w:rFonts w:ascii="Arial" w:cs="Arial" w:eastAsia="Arial" w:hAnsi="Arial"/>
                <w:sz w:val="11"/>
                <w:szCs w:val="11"/>
                <w:color w:val="2D3243"/>
                <w:w w:val="98"/>
              </w:rPr>
              <w:t>$ —</w:t>
            </w: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spacing w:after="0"/>
              <w:rPr>
                <w:sz w:val="20"/>
                <w:szCs w:val="20"/>
                <w:color w:val="auto"/>
              </w:rPr>
            </w:pPr>
            <w:r>
              <w:rPr>
                <w:rFonts w:ascii="Arial" w:cs="Arial" w:eastAsia="Arial" w:hAnsi="Arial"/>
                <w:sz w:val="11"/>
                <w:szCs w:val="11"/>
                <w:color w:val="2D3243"/>
              </w:rPr>
              <w:t>4,461,892</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1,270,926</w:t>
            </w:r>
          </w:p>
        </w:tc>
        <w:tc>
          <w:tcPr>
            <w:tcW w:w="240" w:type="dxa"/>
            <w:vAlign w:val="bottom"/>
          </w:tcPr>
          <w:p>
            <w:pPr>
              <w:ind w:left="20"/>
              <w:spacing w:after="0"/>
              <w:rPr>
                <w:sz w:val="20"/>
                <w:szCs w:val="20"/>
                <w:color w:val="auto"/>
              </w:rPr>
            </w:pPr>
            <w:r>
              <w:rPr>
                <w:rFonts w:ascii="Arial" w:cs="Arial" w:eastAsia="Arial" w:hAnsi="Arial"/>
                <w:sz w:val="11"/>
                <w:szCs w:val="11"/>
                <w:color w:val="2D3243"/>
                <w:w w:val="98"/>
              </w:rPr>
              <w:t>$ —</w:t>
            </w:r>
          </w:p>
        </w:tc>
        <w:tc>
          <w:tcPr>
            <w:tcW w:w="200" w:type="dxa"/>
            <w:vAlign w:val="bottom"/>
          </w:tcPr>
          <w:p>
            <w:pPr>
              <w:jc w:val="right"/>
              <w:ind w:right="46"/>
              <w:spacing w:after="0"/>
              <w:rPr>
                <w:sz w:val="20"/>
                <w:szCs w:val="20"/>
                <w:color w:val="auto"/>
              </w:rPr>
            </w:pPr>
            <w:r>
              <w:rPr>
                <w:rFonts w:ascii="Arial" w:cs="Arial" w:eastAsia="Arial" w:hAnsi="Arial"/>
                <w:sz w:val="11"/>
                <w:szCs w:val="11"/>
                <w:color w:val="2D3243"/>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2D3243"/>
              </w:rPr>
              <w:t>37,440,834</w:t>
            </w:r>
          </w:p>
        </w:tc>
        <w:tc>
          <w:tcPr>
            <w:tcW w:w="200" w:type="dxa"/>
            <w:vAlign w:val="bottom"/>
          </w:tcPr>
          <w:p>
            <w:pPr>
              <w:jc w:val="right"/>
              <w:ind w:right="66"/>
              <w:spacing w:after="0"/>
              <w:rPr>
                <w:sz w:val="20"/>
                <w:szCs w:val="20"/>
                <w:color w:val="auto"/>
              </w:rPr>
            </w:pPr>
            <w:r>
              <w:rPr>
                <w:rFonts w:ascii="Arial" w:cs="Arial" w:eastAsia="Arial" w:hAnsi="Arial"/>
                <w:sz w:val="11"/>
                <w:szCs w:val="11"/>
                <w:color w:val="2D3243"/>
                <w:w w:val="97"/>
              </w:rPr>
              <w:t>$</w:t>
            </w:r>
          </w:p>
        </w:tc>
        <w:tc>
          <w:tcPr>
            <w:tcW w:w="800" w:type="dxa"/>
            <w:vAlign w:val="bottom"/>
          </w:tcPr>
          <w:p>
            <w:pPr>
              <w:jc w:val="right"/>
              <w:ind w:right="106"/>
              <w:spacing w:after="0"/>
              <w:rPr>
                <w:sz w:val="20"/>
                <w:szCs w:val="20"/>
                <w:color w:val="auto"/>
              </w:rPr>
            </w:pPr>
            <w:r>
              <w:rPr>
                <w:rFonts w:ascii="Arial" w:cs="Arial" w:eastAsia="Arial" w:hAnsi="Arial"/>
                <w:sz w:val="11"/>
                <w:szCs w:val="11"/>
                <w:color w:val="2D3243"/>
              </w:rPr>
              <w:t>15,448,098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-2926715</wp:posOffset>
            </wp:positionV>
            <wp:extent cx="6437630" cy="2825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37630" cy="2825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-2198370</wp:posOffset>
            </wp:positionV>
            <wp:extent cx="6437630" cy="4457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37630" cy="44577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-1392555</wp:posOffset>
            </wp:positionV>
            <wp:extent cx="6437630" cy="5314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37630" cy="53149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-415290</wp:posOffset>
            </wp:positionV>
            <wp:extent cx="6437630" cy="4972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37630" cy="497205"/>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1940" w:space="280"/>
            <w:col w:w="9000"/>
          </w:cols>
          <w:pgMar w:left="320" w:top="184" w:right="35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Financial Performance Measures</w:t>
      </w:r>
    </w:p>
    <w:p>
      <w:pPr>
        <w:spacing w:after="0" w:line="93"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color w:val="2D3243"/>
        </w:rPr>
        <w:t>The key objectives of our executive compensation program are to attract, retain and motivate superior executive talent while maintaining an appropriate cost structure. In addition, we seek to implement a “pay-for-performance” philosophy by designing our executive compensation program to link a substantial portion of our NEOs’ target total direct compensation to the achievement of financial and strategic performance objectives that directly correlate to key Company objectives and the long-term enhancement of</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70</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78" w:name="page79"/>
    <w:bookmarkEnd w:id="78"/>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2D3243"/>
        </w:rPr>
        <w:t>stockholder value. Thus, the Compensation Committee believes that the compensation paid to our NEOs should be closely aligned with our corporate performance on both a short-term and long-term basis, linked to specific, measurable results such as revenue and Adjusted EBITDA, and that such compensation should assist us in motivating and retaining the key executive officers critical to our long-term success. Finally, our executive compensation program is designed to maintain an appropriate balance of short-term and long-term incentive compensation opportunities to ensure an appropriate focus on operational objectives and the creation of long-term stockholder value.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Analysis of the Information Presented in the Pay versus Performance Table</w:t>
      </w:r>
    </w:p>
    <w:p>
      <w:pPr>
        <w:spacing w:after="0" w:line="93"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2D3243"/>
        </w:rPr>
        <w:t>In accordance with Item 402(v) of Regulation S-K, we are providing the following descriptions of the relationships between information presented in the Pay versus Performance table.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Total Shareholder Return (TSR):</w:t>
      </w:r>
    </w:p>
    <w:p>
      <w:pPr>
        <w:spacing w:after="0" w:line="257" w:lineRule="exact"/>
        <w:rPr>
          <w:sz w:val="20"/>
          <w:szCs w:val="20"/>
          <w:color w:val="auto"/>
        </w:rPr>
      </w:pPr>
    </w:p>
    <w:p>
      <w:pPr>
        <w:spacing w:after="0" w:line="363" w:lineRule="auto"/>
        <w:rPr>
          <w:sz w:val="20"/>
          <w:szCs w:val="20"/>
          <w:color w:val="auto"/>
        </w:rPr>
      </w:pPr>
      <w:r>
        <w:rPr>
          <w:rFonts w:ascii="Arial" w:cs="Arial" w:eastAsia="Arial" w:hAnsi="Arial"/>
          <w:sz w:val="16"/>
          <w:szCs w:val="16"/>
          <w:color w:val="2D3243"/>
        </w:rPr>
        <w:t>The graphs below shows the relationship between "compensation actually paid" ("CAP") to each of our CEOs and the average of the CAP to our other NEOs and the total shareholder return of Five9, Inc. and our Peer Group over the four fiscal years ending December 31, 2023, based on the hypothetical investment of $100 on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5254625" cy="28803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5462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71</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9" w:name="page80"/>
    <w:bookmarkEnd w:id="79"/>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5254625" cy="28803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5462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Net Loss:</w:t>
      </w:r>
    </w:p>
    <w:p>
      <w:pPr>
        <w:spacing w:after="0" w:line="257" w:lineRule="exact"/>
        <w:rPr>
          <w:sz w:val="20"/>
          <w:szCs w:val="20"/>
          <w:color w:val="auto"/>
        </w:rPr>
      </w:pPr>
    </w:p>
    <w:p>
      <w:pPr>
        <w:spacing w:after="0" w:line="374" w:lineRule="auto"/>
        <w:rPr>
          <w:sz w:val="20"/>
          <w:szCs w:val="20"/>
          <w:color w:val="auto"/>
        </w:rPr>
      </w:pPr>
      <w:r>
        <w:rPr>
          <w:rFonts w:ascii="Arial" w:cs="Arial" w:eastAsia="Arial" w:hAnsi="Arial"/>
          <w:sz w:val="16"/>
          <w:szCs w:val="16"/>
          <w:color w:val="2D3243"/>
        </w:rPr>
        <w:t>The graph below shows the relationship between CAP to each of our CEOs and the average of the CAP to our other NEOs and net loss attributable to Five9, Inc. over the four fiscal years ending December 31, 2023, as reported in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56515</wp:posOffset>
            </wp:positionV>
            <wp:extent cx="5254625" cy="27946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5462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72</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0" w:name="page81"/>
    <w:bookmarkEnd w:id="80"/>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Revenue and Adjusted EBITDA:</w:t>
      </w:r>
    </w:p>
    <w:p>
      <w:pPr>
        <w:spacing w:after="0" w:line="257" w:lineRule="exact"/>
        <w:rPr>
          <w:sz w:val="20"/>
          <w:szCs w:val="20"/>
          <w:color w:val="auto"/>
        </w:rPr>
      </w:pPr>
    </w:p>
    <w:p>
      <w:pPr>
        <w:spacing w:after="0" w:line="353" w:lineRule="auto"/>
        <w:rPr>
          <w:sz w:val="20"/>
          <w:szCs w:val="20"/>
          <w:color w:val="auto"/>
        </w:rPr>
      </w:pPr>
      <w:r>
        <w:rPr>
          <w:rFonts w:ascii="Arial" w:cs="Arial" w:eastAsia="Arial" w:hAnsi="Arial"/>
          <w:sz w:val="16"/>
          <w:szCs w:val="16"/>
          <w:color w:val="2D3243"/>
        </w:rPr>
        <w:t>Revenue is the CSM for 2023 and Adjusted EBITDA is the supplemental measure, each of which are key performance indicators used by us in managing our business, and are linked to our growth and profitability and the creation of long-term stockholder value. The graphs below show the relationship between CAP to each of our CEOs and the average of the CAP to our other NEOs and our revenue and Adjusted EBITDA over the four fiscal years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5254625" cy="58121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54625" cy="581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73</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1" w:name="page82"/>
    <w:bookmarkEnd w:id="81"/>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Tabular List:</w:t>
      </w:r>
    </w:p>
    <w:p>
      <w:pPr>
        <w:spacing w:after="0" w:line="257" w:lineRule="exact"/>
        <w:rPr>
          <w:sz w:val="20"/>
          <w:szCs w:val="20"/>
          <w:color w:val="auto"/>
        </w:rPr>
      </w:pPr>
    </w:p>
    <w:p>
      <w:pPr>
        <w:ind w:right="180"/>
        <w:spacing w:after="0" w:line="374" w:lineRule="auto"/>
        <w:rPr>
          <w:sz w:val="20"/>
          <w:szCs w:val="20"/>
          <w:color w:val="auto"/>
        </w:rPr>
      </w:pPr>
      <w:r>
        <w:rPr>
          <w:rFonts w:ascii="Arial" w:cs="Arial" w:eastAsia="Arial" w:hAnsi="Arial"/>
          <w:sz w:val="16"/>
          <w:szCs w:val="16"/>
          <w:color w:val="2D3243"/>
        </w:rPr>
        <w:t>The following table lists the three financial performance measures that we believe represent the most important financial performance measures we use to link CAP to our NEOs for fiscal year 2023 to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73660</wp:posOffset>
            </wp:positionV>
            <wp:extent cx="27946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49" w:lineRule="exact"/>
        <w:rPr>
          <w:sz w:val="20"/>
          <w:szCs w:val="20"/>
          <w:color w:val="auto"/>
        </w:rPr>
      </w:pPr>
    </w:p>
    <w:p>
      <w:pPr>
        <w:ind w:left="4060" w:hanging="376"/>
        <w:spacing w:after="0"/>
        <w:tabs>
          <w:tab w:leader="none" w:pos="4060" w:val="left"/>
        </w:tabs>
        <w:numPr>
          <w:ilvl w:val="0"/>
          <w:numId w:val="70"/>
        </w:numPr>
        <w:rPr>
          <w:rFonts w:ascii="Arial" w:cs="Arial" w:eastAsia="Arial" w:hAnsi="Arial"/>
          <w:sz w:val="16"/>
          <w:szCs w:val="16"/>
          <w:color w:val="2D3243"/>
        </w:rPr>
      </w:pPr>
      <w:r>
        <w:rPr>
          <w:rFonts w:ascii="Arial" w:cs="Arial" w:eastAsia="Arial" w:hAnsi="Arial"/>
          <w:sz w:val="16"/>
          <w:szCs w:val="16"/>
          <w:color w:val="2D3243"/>
        </w:rPr>
        <w:t>Revenue</w:t>
      </w:r>
    </w:p>
    <w:p>
      <w:pPr>
        <w:spacing w:after="0" w:line="194" w:lineRule="exact"/>
        <w:rPr>
          <w:rFonts w:ascii="Arial" w:cs="Arial" w:eastAsia="Arial" w:hAnsi="Arial"/>
          <w:sz w:val="16"/>
          <w:szCs w:val="16"/>
          <w:color w:val="2D3243"/>
        </w:rPr>
      </w:pPr>
    </w:p>
    <w:p>
      <w:pPr>
        <w:ind w:left="4060" w:hanging="376"/>
        <w:spacing w:after="0"/>
        <w:tabs>
          <w:tab w:leader="none" w:pos="4060" w:val="left"/>
        </w:tabs>
        <w:numPr>
          <w:ilvl w:val="0"/>
          <w:numId w:val="70"/>
        </w:numPr>
        <w:rPr>
          <w:rFonts w:ascii="Arial" w:cs="Arial" w:eastAsia="Arial" w:hAnsi="Arial"/>
          <w:sz w:val="16"/>
          <w:szCs w:val="16"/>
          <w:color w:val="2D3243"/>
        </w:rPr>
      </w:pPr>
      <w:r>
        <w:rPr>
          <w:rFonts w:ascii="Arial" w:cs="Arial" w:eastAsia="Arial" w:hAnsi="Arial"/>
          <w:sz w:val="16"/>
          <w:szCs w:val="16"/>
          <w:color w:val="2D3243"/>
        </w:rPr>
        <w:t>Adjusted EBITDA</w:t>
      </w:r>
    </w:p>
    <w:p>
      <w:pPr>
        <w:spacing w:after="0" w:line="194" w:lineRule="exact"/>
        <w:rPr>
          <w:rFonts w:ascii="Arial" w:cs="Arial" w:eastAsia="Arial" w:hAnsi="Arial"/>
          <w:sz w:val="16"/>
          <w:szCs w:val="16"/>
          <w:color w:val="2D3243"/>
        </w:rPr>
      </w:pPr>
    </w:p>
    <w:p>
      <w:pPr>
        <w:ind w:left="4060" w:hanging="376"/>
        <w:spacing w:after="0"/>
        <w:tabs>
          <w:tab w:leader="none" w:pos="4060" w:val="left"/>
        </w:tabs>
        <w:numPr>
          <w:ilvl w:val="0"/>
          <w:numId w:val="70"/>
        </w:numPr>
        <w:rPr>
          <w:rFonts w:ascii="Arial" w:cs="Arial" w:eastAsia="Arial" w:hAnsi="Arial"/>
          <w:sz w:val="16"/>
          <w:szCs w:val="16"/>
          <w:color w:val="2D3243"/>
        </w:rPr>
      </w:pPr>
      <w:r>
        <w:rPr>
          <w:rFonts w:ascii="Arial" w:cs="Arial" w:eastAsia="Arial" w:hAnsi="Arial"/>
          <w:sz w:val="16"/>
          <w:szCs w:val="16"/>
          <w:color w:val="2D3243"/>
        </w:rPr>
        <w:t>Relative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89535</wp:posOffset>
            </wp:positionV>
            <wp:extent cx="27946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-149860</wp:posOffset>
            </wp:positionV>
            <wp:extent cx="27946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-389890</wp:posOffset>
            </wp:positionV>
            <wp:extent cx="27946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500"/>
        <w:spacing w:after="0" w:line="374" w:lineRule="auto"/>
        <w:rPr>
          <w:sz w:val="20"/>
          <w:szCs w:val="20"/>
          <w:color w:val="auto"/>
        </w:rPr>
      </w:pPr>
      <w:r>
        <w:rPr>
          <w:rFonts w:ascii="Arial" w:cs="Arial" w:eastAsia="Arial" w:hAnsi="Arial"/>
          <w:sz w:val="16"/>
          <w:szCs w:val="16"/>
          <w:color w:val="2D3243"/>
        </w:rPr>
        <w:t>For more information regarding how each of these performance measures are used in our executive compensation programs, see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74</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2" w:name="page83"/>
    <w:bookmarkEnd w:id="82"/>
    <w:p>
      <w:pPr>
        <w:ind w:left="1010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58"/>
          <w:szCs w:val="58"/>
          <w:color w:val="2D3243"/>
        </w:rPr>
        <w:t>Equity Compensation Plan Information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summarizes certain information with respect to our common stock that may be issued under the equity compensation plans as of</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December 31,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40" w:type="dxa"/>
            <w:vAlign w:val="bottom"/>
            <w:shd w:val="clear" w:color="auto" w:fill="0336FF"/>
          </w:tcPr>
          <w:p>
            <w:pPr>
              <w:spacing w:after="0"/>
              <w:rPr>
                <w:sz w:val="15"/>
                <w:szCs w:val="15"/>
                <w:color w:val="auto"/>
              </w:rPr>
            </w:pPr>
          </w:p>
        </w:tc>
        <w:tc>
          <w:tcPr>
            <w:tcW w:w="2040" w:type="dxa"/>
            <w:vAlign w:val="bottom"/>
            <w:shd w:val="clear" w:color="auto" w:fill="0336FF"/>
          </w:tcPr>
          <w:p>
            <w:pPr>
              <w:spacing w:after="0"/>
              <w:rPr>
                <w:sz w:val="15"/>
                <w:szCs w:val="15"/>
                <w:color w:val="auto"/>
              </w:rPr>
            </w:pPr>
          </w:p>
        </w:tc>
        <w:tc>
          <w:tcPr>
            <w:tcW w:w="260" w:type="dxa"/>
            <w:vAlign w:val="bottom"/>
            <w:shd w:val="clear" w:color="auto" w:fill="0336FF"/>
          </w:tcPr>
          <w:p>
            <w:pPr>
              <w:spacing w:after="0"/>
              <w:rPr>
                <w:sz w:val="15"/>
                <w:szCs w:val="15"/>
                <w:color w:val="auto"/>
              </w:rPr>
            </w:pPr>
          </w:p>
        </w:tc>
        <w:tc>
          <w:tcPr>
            <w:tcW w:w="220" w:type="dxa"/>
            <w:vAlign w:val="bottom"/>
            <w:shd w:val="clear" w:color="auto" w:fill="0336FF"/>
          </w:tcPr>
          <w:p>
            <w:pPr>
              <w:spacing w:after="0"/>
              <w:rPr>
                <w:sz w:val="15"/>
                <w:szCs w:val="15"/>
                <w:color w:val="auto"/>
              </w:rPr>
            </w:pPr>
          </w:p>
        </w:tc>
        <w:tc>
          <w:tcPr>
            <w:tcW w:w="1840" w:type="dxa"/>
            <w:vAlign w:val="bottom"/>
            <w:shd w:val="clear" w:color="auto" w:fill="0336FF"/>
          </w:tcPr>
          <w:p>
            <w:pPr>
              <w:spacing w:after="0"/>
              <w:rPr>
                <w:sz w:val="15"/>
                <w:szCs w:val="15"/>
                <w:color w:val="auto"/>
              </w:rPr>
            </w:pPr>
          </w:p>
        </w:tc>
        <w:tc>
          <w:tcPr>
            <w:tcW w:w="2340" w:type="dxa"/>
            <w:vAlign w:val="bottom"/>
            <w:gridSpan w:val="2"/>
            <w:shd w:val="clear" w:color="auto" w:fill="0336FF"/>
          </w:tcPr>
          <w:p>
            <w:pPr>
              <w:jc w:val="right"/>
              <w:ind w:right="400"/>
              <w:spacing w:after="0"/>
              <w:rPr>
                <w:sz w:val="20"/>
                <w:szCs w:val="20"/>
                <w:color w:val="auto"/>
              </w:rPr>
            </w:pPr>
            <w:r>
              <w:rPr>
                <w:rFonts w:ascii="Arial" w:cs="Arial" w:eastAsia="Arial" w:hAnsi="Arial"/>
                <w:sz w:val="14"/>
                <w:szCs w:val="14"/>
                <w:b w:val="1"/>
                <w:bCs w:val="1"/>
                <w:color w:val="FFFFFF"/>
              </w:rPr>
              <w:t>Number of Securities</w:t>
            </w:r>
          </w:p>
        </w:tc>
      </w:tr>
      <w:tr>
        <w:trPr>
          <w:trHeight w:val="176"/>
        </w:trPr>
        <w:tc>
          <w:tcPr>
            <w:tcW w:w="4540" w:type="dxa"/>
            <w:vAlign w:val="bottom"/>
            <w:shd w:val="clear" w:color="auto" w:fill="0336FF"/>
          </w:tcPr>
          <w:p>
            <w:pPr>
              <w:spacing w:after="0"/>
              <w:rPr>
                <w:sz w:val="15"/>
                <w:szCs w:val="15"/>
                <w:color w:val="auto"/>
              </w:rPr>
            </w:pPr>
          </w:p>
        </w:tc>
        <w:tc>
          <w:tcPr>
            <w:tcW w:w="2300" w:type="dxa"/>
            <w:vAlign w:val="bottom"/>
            <w:gridSpan w:val="2"/>
            <w:shd w:val="clear" w:color="auto" w:fill="0336FF"/>
          </w:tcPr>
          <w:p>
            <w:pPr>
              <w:jc w:val="right"/>
              <w:ind w:right="233"/>
              <w:spacing w:after="0"/>
              <w:rPr>
                <w:sz w:val="20"/>
                <w:szCs w:val="20"/>
                <w:color w:val="auto"/>
              </w:rPr>
            </w:pPr>
            <w:r>
              <w:rPr>
                <w:rFonts w:ascii="Arial" w:cs="Arial" w:eastAsia="Arial" w:hAnsi="Arial"/>
                <w:sz w:val="14"/>
                <w:szCs w:val="14"/>
                <w:b w:val="1"/>
                <w:bCs w:val="1"/>
                <w:color w:val="FFFFFF"/>
              </w:rPr>
              <w:t>Number of Securities to be</w:t>
            </w:r>
          </w:p>
        </w:tc>
        <w:tc>
          <w:tcPr>
            <w:tcW w:w="220" w:type="dxa"/>
            <w:vAlign w:val="bottom"/>
            <w:shd w:val="clear" w:color="auto" w:fill="0336FF"/>
          </w:tcPr>
          <w:p>
            <w:pPr>
              <w:spacing w:after="0"/>
              <w:rPr>
                <w:sz w:val="15"/>
                <w:szCs w:val="15"/>
                <w:color w:val="auto"/>
              </w:rPr>
            </w:pPr>
          </w:p>
        </w:tc>
        <w:tc>
          <w:tcPr>
            <w:tcW w:w="1840" w:type="dxa"/>
            <w:vAlign w:val="bottom"/>
            <w:shd w:val="clear" w:color="auto" w:fill="0336FF"/>
          </w:tcPr>
          <w:p>
            <w:pPr>
              <w:spacing w:after="0"/>
              <w:rPr>
                <w:sz w:val="15"/>
                <w:szCs w:val="15"/>
                <w:color w:val="auto"/>
              </w:rPr>
            </w:pPr>
          </w:p>
        </w:tc>
        <w:tc>
          <w:tcPr>
            <w:tcW w:w="2340" w:type="dxa"/>
            <w:vAlign w:val="bottom"/>
            <w:gridSpan w:val="2"/>
            <w:shd w:val="clear" w:color="auto" w:fill="0336FF"/>
          </w:tcPr>
          <w:p>
            <w:pPr>
              <w:jc w:val="right"/>
              <w:ind w:right="400"/>
              <w:spacing w:after="0"/>
              <w:rPr>
                <w:sz w:val="20"/>
                <w:szCs w:val="20"/>
                <w:color w:val="auto"/>
              </w:rPr>
            </w:pPr>
            <w:r>
              <w:rPr>
                <w:rFonts w:ascii="Arial" w:cs="Arial" w:eastAsia="Arial" w:hAnsi="Arial"/>
                <w:sz w:val="14"/>
                <w:szCs w:val="14"/>
                <w:b w:val="1"/>
                <w:bCs w:val="1"/>
                <w:color w:val="FFFFFF"/>
              </w:rPr>
              <w:t>Remaining Available for</w:t>
            </w:r>
          </w:p>
        </w:tc>
      </w:tr>
      <w:tr>
        <w:trPr>
          <w:trHeight w:val="175"/>
        </w:trPr>
        <w:tc>
          <w:tcPr>
            <w:tcW w:w="4540" w:type="dxa"/>
            <w:vAlign w:val="bottom"/>
            <w:shd w:val="clear" w:color="auto" w:fill="0336FF"/>
          </w:tcPr>
          <w:p>
            <w:pPr>
              <w:spacing w:after="0"/>
              <w:rPr>
                <w:sz w:val="15"/>
                <w:szCs w:val="15"/>
                <w:color w:val="auto"/>
              </w:rPr>
            </w:pPr>
          </w:p>
        </w:tc>
        <w:tc>
          <w:tcPr>
            <w:tcW w:w="2300" w:type="dxa"/>
            <w:vAlign w:val="bottom"/>
            <w:gridSpan w:val="2"/>
            <w:shd w:val="clear" w:color="auto" w:fill="0336FF"/>
          </w:tcPr>
          <w:p>
            <w:pPr>
              <w:jc w:val="right"/>
              <w:ind w:right="233"/>
              <w:spacing w:after="0"/>
              <w:rPr>
                <w:sz w:val="20"/>
                <w:szCs w:val="20"/>
                <w:color w:val="auto"/>
              </w:rPr>
            </w:pPr>
            <w:r>
              <w:rPr>
                <w:rFonts w:ascii="Arial" w:cs="Arial" w:eastAsia="Arial" w:hAnsi="Arial"/>
                <w:sz w:val="14"/>
                <w:szCs w:val="14"/>
                <w:b w:val="1"/>
                <w:bCs w:val="1"/>
                <w:color w:val="FFFFFF"/>
              </w:rPr>
              <w:t>Issued Upon Exercise of</w:t>
            </w:r>
          </w:p>
        </w:tc>
        <w:tc>
          <w:tcPr>
            <w:tcW w:w="220" w:type="dxa"/>
            <w:vAlign w:val="bottom"/>
            <w:shd w:val="clear" w:color="auto" w:fill="0336FF"/>
          </w:tcPr>
          <w:p>
            <w:pPr>
              <w:spacing w:after="0"/>
              <w:rPr>
                <w:sz w:val="15"/>
                <w:szCs w:val="15"/>
                <w:color w:val="auto"/>
              </w:rPr>
            </w:pPr>
          </w:p>
        </w:tc>
        <w:tc>
          <w:tcPr>
            <w:tcW w:w="184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Weighted-average</w:t>
            </w:r>
          </w:p>
        </w:tc>
        <w:tc>
          <w:tcPr>
            <w:tcW w:w="2340" w:type="dxa"/>
            <w:vAlign w:val="bottom"/>
            <w:gridSpan w:val="2"/>
            <w:shd w:val="clear" w:color="auto" w:fill="0336FF"/>
          </w:tcPr>
          <w:p>
            <w:pPr>
              <w:jc w:val="right"/>
              <w:ind w:right="400"/>
              <w:spacing w:after="0"/>
              <w:rPr>
                <w:sz w:val="20"/>
                <w:szCs w:val="20"/>
                <w:color w:val="auto"/>
              </w:rPr>
            </w:pPr>
            <w:r>
              <w:rPr>
                <w:rFonts w:ascii="Arial" w:cs="Arial" w:eastAsia="Arial" w:hAnsi="Arial"/>
                <w:sz w:val="14"/>
                <w:szCs w:val="14"/>
                <w:b w:val="1"/>
                <w:bCs w:val="1"/>
                <w:color w:val="FFFFFF"/>
              </w:rPr>
              <w:t>Future Issuance Under</w:t>
            </w:r>
          </w:p>
        </w:tc>
      </w:tr>
      <w:tr>
        <w:trPr>
          <w:trHeight w:val="176"/>
        </w:trPr>
        <w:tc>
          <w:tcPr>
            <w:tcW w:w="4540" w:type="dxa"/>
            <w:vAlign w:val="bottom"/>
            <w:shd w:val="clear" w:color="auto" w:fill="0336FF"/>
          </w:tcPr>
          <w:p>
            <w:pPr>
              <w:spacing w:after="0"/>
              <w:rPr>
                <w:sz w:val="15"/>
                <w:szCs w:val="15"/>
                <w:color w:val="auto"/>
              </w:rPr>
            </w:pPr>
          </w:p>
        </w:tc>
        <w:tc>
          <w:tcPr>
            <w:tcW w:w="2300" w:type="dxa"/>
            <w:vAlign w:val="bottom"/>
            <w:gridSpan w:val="2"/>
            <w:shd w:val="clear" w:color="auto" w:fill="0336FF"/>
          </w:tcPr>
          <w:p>
            <w:pPr>
              <w:jc w:val="right"/>
              <w:ind w:right="233"/>
              <w:spacing w:after="0"/>
              <w:rPr>
                <w:sz w:val="20"/>
                <w:szCs w:val="20"/>
                <w:color w:val="auto"/>
              </w:rPr>
            </w:pPr>
            <w:r>
              <w:rPr>
                <w:rFonts w:ascii="Arial" w:cs="Arial" w:eastAsia="Arial" w:hAnsi="Arial"/>
                <w:sz w:val="14"/>
                <w:szCs w:val="14"/>
                <w:b w:val="1"/>
                <w:bCs w:val="1"/>
                <w:color w:val="FFFFFF"/>
              </w:rPr>
              <w:t>Outstanding Options and</w:t>
            </w:r>
          </w:p>
        </w:tc>
        <w:tc>
          <w:tcPr>
            <w:tcW w:w="220" w:type="dxa"/>
            <w:vAlign w:val="bottom"/>
            <w:shd w:val="clear" w:color="auto" w:fill="0336FF"/>
          </w:tcPr>
          <w:p>
            <w:pPr>
              <w:spacing w:after="0"/>
              <w:rPr>
                <w:sz w:val="15"/>
                <w:szCs w:val="15"/>
                <w:color w:val="auto"/>
              </w:rPr>
            </w:pPr>
          </w:p>
        </w:tc>
        <w:tc>
          <w:tcPr>
            <w:tcW w:w="184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Exercise Price of</w:t>
            </w:r>
          </w:p>
        </w:tc>
        <w:tc>
          <w:tcPr>
            <w:tcW w:w="2340" w:type="dxa"/>
            <w:vAlign w:val="bottom"/>
            <w:gridSpan w:val="2"/>
            <w:shd w:val="clear" w:color="auto" w:fill="0336FF"/>
          </w:tcPr>
          <w:p>
            <w:pPr>
              <w:jc w:val="right"/>
              <w:ind w:right="400"/>
              <w:spacing w:after="0"/>
              <w:rPr>
                <w:sz w:val="20"/>
                <w:szCs w:val="20"/>
                <w:color w:val="auto"/>
              </w:rPr>
            </w:pPr>
            <w:r>
              <w:rPr>
                <w:rFonts w:ascii="Arial" w:cs="Arial" w:eastAsia="Arial" w:hAnsi="Arial"/>
                <w:sz w:val="14"/>
                <w:szCs w:val="14"/>
                <w:b w:val="1"/>
                <w:bCs w:val="1"/>
                <w:color w:val="FFFFFF"/>
              </w:rPr>
              <w:t>Equity Compensation Plans</w:t>
            </w:r>
          </w:p>
        </w:tc>
      </w:tr>
      <w:tr>
        <w:trPr>
          <w:trHeight w:val="175"/>
        </w:trPr>
        <w:tc>
          <w:tcPr>
            <w:tcW w:w="4540" w:type="dxa"/>
            <w:vAlign w:val="bottom"/>
            <w:shd w:val="clear" w:color="auto" w:fill="0336FF"/>
          </w:tcPr>
          <w:p>
            <w:pPr>
              <w:spacing w:after="0"/>
              <w:rPr>
                <w:sz w:val="15"/>
                <w:szCs w:val="15"/>
                <w:color w:val="auto"/>
              </w:rPr>
            </w:pPr>
          </w:p>
        </w:tc>
        <w:tc>
          <w:tcPr>
            <w:tcW w:w="2300" w:type="dxa"/>
            <w:vAlign w:val="bottom"/>
            <w:gridSpan w:val="2"/>
            <w:shd w:val="clear" w:color="auto" w:fill="0336FF"/>
          </w:tcPr>
          <w:p>
            <w:pPr>
              <w:jc w:val="right"/>
              <w:ind w:right="233"/>
              <w:spacing w:after="0"/>
              <w:rPr>
                <w:sz w:val="20"/>
                <w:szCs w:val="20"/>
                <w:color w:val="auto"/>
              </w:rPr>
            </w:pPr>
            <w:r>
              <w:rPr>
                <w:rFonts w:ascii="Arial" w:cs="Arial" w:eastAsia="Arial" w:hAnsi="Arial"/>
                <w:sz w:val="14"/>
                <w:szCs w:val="14"/>
                <w:b w:val="1"/>
                <w:bCs w:val="1"/>
                <w:color w:val="FFFFFF"/>
              </w:rPr>
              <w:t>Warrants and Vesting of</w:t>
            </w:r>
          </w:p>
        </w:tc>
        <w:tc>
          <w:tcPr>
            <w:tcW w:w="220" w:type="dxa"/>
            <w:vAlign w:val="bottom"/>
            <w:shd w:val="clear" w:color="auto" w:fill="0336FF"/>
          </w:tcPr>
          <w:p>
            <w:pPr>
              <w:spacing w:after="0"/>
              <w:rPr>
                <w:sz w:val="15"/>
                <w:szCs w:val="15"/>
                <w:color w:val="auto"/>
              </w:rPr>
            </w:pPr>
          </w:p>
        </w:tc>
        <w:tc>
          <w:tcPr>
            <w:tcW w:w="184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Outstanding Options</w:t>
            </w:r>
          </w:p>
        </w:tc>
        <w:tc>
          <w:tcPr>
            <w:tcW w:w="2340" w:type="dxa"/>
            <w:vAlign w:val="bottom"/>
            <w:gridSpan w:val="2"/>
            <w:shd w:val="clear" w:color="auto" w:fill="0336FF"/>
          </w:tcPr>
          <w:p>
            <w:pPr>
              <w:jc w:val="right"/>
              <w:ind w:right="400"/>
              <w:spacing w:after="0"/>
              <w:rPr>
                <w:sz w:val="20"/>
                <w:szCs w:val="20"/>
                <w:color w:val="auto"/>
              </w:rPr>
            </w:pPr>
            <w:r>
              <w:rPr>
                <w:rFonts w:ascii="Arial" w:cs="Arial" w:eastAsia="Arial" w:hAnsi="Arial"/>
                <w:sz w:val="14"/>
                <w:szCs w:val="14"/>
                <w:b w:val="1"/>
                <w:bCs w:val="1"/>
                <w:color w:val="FFFFFF"/>
              </w:rPr>
              <w:t>(Excluding Securities</w:t>
            </w:r>
          </w:p>
        </w:tc>
      </w:tr>
      <w:tr>
        <w:trPr>
          <w:trHeight w:val="196"/>
        </w:trPr>
        <w:tc>
          <w:tcPr>
            <w:tcW w:w="4540" w:type="dxa"/>
            <w:vAlign w:val="bottom"/>
            <w:shd w:val="clear" w:color="auto" w:fill="0336FF"/>
          </w:tcPr>
          <w:p>
            <w:pPr>
              <w:spacing w:after="0"/>
              <w:rPr>
                <w:sz w:val="17"/>
                <w:szCs w:val="17"/>
                <w:color w:val="auto"/>
              </w:rPr>
            </w:pPr>
          </w:p>
        </w:tc>
        <w:tc>
          <w:tcPr>
            <w:tcW w:w="2300" w:type="dxa"/>
            <w:vAlign w:val="bottom"/>
            <w:gridSpan w:val="2"/>
            <w:shd w:val="clear" w:color="auto" w:fill="0336FF"/>
          </w:tcPr>
          <w:p>
            <w:pPr>
              <w:jc w:val="right"/>
              <w:ind w:right="233"/>
              <w:spacing w:after="0"/>
              <w:rPr>
                <w:sz w:val="20"/>
                <w:szCs w:val="20"/>
                <w:color w:val="auto"/>
              </w:rPr>
            </w:pPr>
            <w:r>
              <w:rPr>
                <w:rFonts w:ascii="Arial" w:cs="Arial" w:eastAsia="Arial" w:hAnsi="Arial"/>
                <w:sz w:val="14"/>
                <w:szCs w:val="14"/>
                <w:b w:val="1"/>
                <w:bCs w:val="1"/>
                <w:color w:val="FFFFFF"/>
              </w:rPr>
              <w:t>Restricted Stock Units</w:t>
            </w:r>
          </w:p>
        </w:tc>
        <w:tc>
          <w:tcPr>
            <w:tcW w:w="220" w:type="dxa"/>
            <w:vAlign w:val="bottom"/>
            <w:shd w:val="clear" w:color="auto" w:fill="0336FF"/>
          </w:tcPr>
          <w:p>
            <w:pPr>
              <w:spacing w:after="0"/>
              <w:rPr>
                <w:sz w:val="17"/>
                <w:szCs w:val="17"/>
                <w:color w:val="auto"/>
              </w:rPr>
            </w:pPr>
          </w:p>
        </w:tc>
        <w:tc>
          <w:tcPr>
            <w:tcW w:w="184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and Warrants</w:t>
            </w:r>
          </w:p>
        </w:tc>
        <w:tc>
          <w:tcPr>
            <w:tcW w:w="2340" w:type="dxa"/>
            <w:vAlign w:val="bottom"/>
            <w:gridSpan w:val="2"/>
            <w:shd w:val="clear" w:color="auto" w:fill="0336FF"/>
          </w:tcPr>
          <w:p>
            <w:pPr>
              <w:jc w:val="right"/>
              <w:ind w:right="400"/>
              <w:spacing w:after="0"/>
              <w:rPr>
                <w:sz w:val="20"/>
                <w:szCs w:val="20"/>
                <w:color w:val="auto"/>
              </w:rPr>
            </w:pPr>
            <w:r>
              <w:rPr>
                <w:rFonts w:ascii="Arial" w:cs="Arial" w:eastAsia="Arial" w:hAnsi="Arial"/>
                <w:sz w:val="14"/>
                <w:szCs w:val="14"/>
                <w:b w:val="1"/>
                <w:bCs w:val="1"/>
                <w:color w:val="FFFFFF"/>
              </w:rPr>
              <w:t>Reflected in Column (a)</w:t>
            </w:r>
          </w:p>
        </w:tc>
      </w:tr>
      <w:tr>
        <w:trPr>
          <w:trHeight w:val="229"/>
        </w:trPr>
        <w:tc>
          <w:tcPr>
            <w:tcW w:w="4540" w:type="dxa"/>
            <w:vAlign w:val="bottom"/>
            <w:shd w:val="clear" w:color="auto" w:fill="0336FF"/>
          </w:tcPr>
          <w:p>
            <w:pPr>
              <w:spacing w:after="0"/>
              <w:rPr>
                <w:sz w:val="19"/>
                <w:szCs w:val="19"/>
                <w:color w:val="auto"/>
              </w:rPr>
            </w:pPr>
          </w:p>
        </w:tc>
        <w:tc>
          <w:tcPr>
            <w:tcW w:w="2040" w:type="dxa"/>
            <w:vAlign w:val="bottom"/>
            <w:shd w:val="clear" w:color="auto" w:fill="0336FF"/>
          </w:tcPr>
          <w:p>
            <w:pPr>
              <w:jc w:val="right"/>
              <w:spacing w:after="0"/>
              <w:rPr>
                <w:sz w:val="20"/>
                <w:szCs w:val="20"/>
                <w:color w:val="auto"/>
              </w:rPr>
            </w:pPr>
            <w:r>
              <w:rPr>
                <w:rFonts w:ascii="Arial" w:cs="Arial" w:eastAsia="Arial" w:hAnsi="Arial"/>
                <w:sz w:val="14"/>
                <w:szCs w:val="14"/>
                <w:b w:val="1"/>
                <w:bCs w:val="1"/>
                <w:color w:val="FFFFFF"/>
              </w:rPr>
              <w:t>(a)</w:t>
            </w:r>
          </w:p>
        </w:tc>
        <w:tc>
          <w:tcPr>
            <w:tcW w:w="260" w:type="dxa"/>
            <w:vAlign w:val="bottom"/>
            <w:shd w:val="clear" w:color="auto" w:fill="0336FF"/>
          </w:tcPr>
          <w:p>
            <w:pPr>
              <w:spacing w:after="0"/>
              <w:rPr>
                <w:sz w:val="19"/>
                <w:szCs w:val="19"/>
                <w:color w:val="auto"/>
              </w:rPr>
            </w:pPr>
          </w:p>
        </w:tc>
        <w:tc>
          <w:tcPr>
            <w:tcW w:w="220" w:type="dxa"/>
            <w:vAlign w:val="bottom"/>
            <w:shd w:val="clear" w:color="auto" w:fill="0336FF"/>
          </w:tcPr>
          <w:p>
            <w:pPr>
              <w:spacing w:after="0"/>
              <w:rPr>
                <w:sz w:val="19"/>
                <w:szCs w:val="19"/>
                <w:color w:val="auto"/>
              </w:rPr>
            </w:pPr>
          </w:p>
        </w:tc>
        <w:tc>
          <w:tcPr>
            <w:tcW w:w="1840" w:type="dxa"/>
            <w:vAlign w:val="bottom"/>
            <w:shd w:val="clear" w:color="auto" w:fill="0336FF"/>
          </w:tcPr>
          <w:p>
            <w:pPr>
              <w:jc w:val="right"/>
              <w:ind w:right="328"/>
              <w:spacing w:after="0"/>
              <w:rPr>
                <w:sz w:val="20"/>
                <w:szCs w:val="20"/>
                <w:color w:val="auto"/>
              </w:rPr>
            </w:pPr>
            <w:r>
              <w:rPr>
                <w:rFonts w:ascii="Arial" w:cs="Arial" w:eastAsia="Arial" w:hAnsi="Arial"/>
                <w:sz w:val="14"/>
                <w:szCs w:val="14"/>
                <w:b w:val="1"/>
                <w:bCs w:val="1"/>
                <w:color w:val="FFFFFF"/>
              </w:rPr>
              <w:t>(b)</w:t>
            </w:r>
          </w:p>
        </w:tc>
        <w:tc>
          <w:tcPr>
            <w:tcW w:w="2340" w:type="dxa"/>
            <w:vAlign w:val="bottom"/>
            <w:gridSpan w:val="2"/>
            <w:shd w:val="clear" w:color="auto" w:fill="0336FF"/>
          </w:tcPr>
          <w:p>
            <w:pPr>
              <w:jc w:val="right"/>
              <w:ind w:right="400"/>
              <w:spacing w:after="0"/>
              <w:rPr>
                <w:sz w:val="20"/>
                <w:szCs w:val="20"/>
                <w:color w:val="auto"/>
              </w:rPr>
            </w:pPr>
            <w:r>
              <w:rPr>
                <w:rFonts w:ascii="Arial" w:cs="Arial" w:eastAsia="Arial" w:hAnsi="Arial"/>
                <w:sz w:val="14"/>
                <w:szCs w:val="14"/>
                <w:b w:val="1"/>
                <w:bCs w:val="1"/>
                <w:color w:val="FFFFFF"/>
              </w:rPr>
              <w:t>(c)</w:t>
            </w:r>
          </w:p>
        </w:tc>
      </w:tr>
      <w:tr>
        <w:trPr>
          <w:trHeight w:val="70"/>
        </w:trPr>
        <w:tc>
          <w:tcPr>
            <w:tcW w:w="4540" w:type="dxa"/>
            <w:vAlign w:val="bottom"/>
            <w:shd w:val="clear" w:color="auto" w:fill="0336FF"/>
          </w:tcPr>
          <w:p>
            <w:pPr>
              <w:spacing w:after="0"/>
              <w:rPr>
                <w:sz w:val="6"/>
                <w:szCs w:val="6"/>
                <w:color w:val="auto"/>
              </w:rPr>
            </w:pPr>
          </w:p>
        </w:tc>
        <w:tc>
          <w:tcPr>
            <w:tcW w:w="2040" w:type="dxa"/>
            <w:vAlign w:val="bottom"/>
            <w:shd w:val="clear" w:color="auto" w:fill="0336FF"/>
          </w:tcPr>
          <w:p>
            <w:pPr>
              <w:spacing w:after="0"/>
              <w:rPr>
                <w:sz w:val="6"/>
                <w:szCs w:val="6"/>
                <w:color w:val="auto"/>
              </w:rPr>
            </w:pPr>
          </w:p>
        </w:tc>
        <w:tc>
          <w:tcPr>
            <w:tcW w:w="260" w:type="dxa"/>
            <w:vAlign w:val="bottom"/>
            <w:shd w:val="clear" w:color="auto" w:fill="0336FF"/>
          </w:tcPr>
          <w:p>
            <w:pPr>
              <w:spacing w:after="0"/>
              <w:rPr>
                <w:sz w:val="6"/>
                <w:szCs w:val="6"/>
                <w:color w:val="auto"/>
              </w:rPr>
            </w:pPr>
          </w:p>
        </w:tc>
        <w:tc>
          <w:tcPr>
            <w:tcW w:w="220" w:type="dxa"/>
            <w:vAlign w:val="bottom"/>
            <w:shd w:val="clear" w:color="auto" w:fill="0336FF"/>
          </w:tcPr>
          <w:p>
            <w:pPr>
              <w:spacing w:after="0"/>
              <w:rPr>
                <w:sz w:val="6"/>
                <w:szCs w:val="6"/>
                <w:color w:val="auto"/>
              </w:rPr>
            </w:pPr>
          </w:p>
        </w:tc>
        <w:tc>
          <w:tcPr>
            <w:tcW w:w="1840" w:type="dxa"/>
            <w:vAlign w:val="bottom"/>
            <w:shd w:val="clear" w:color="auto" w:fill="0336FF"/>
          </w:tcPr>
          <w:p>
            <w:pPr>
              <w:spacing w:after="0"/>
              <w:rPr>
                <w:sz w:val="6"/>
                <w:szCs w:val="6"/>
                <w:color w:val="auto"/>
              </w:rPr>
            </w:pPr>
          </w:p>
        </w:tc>
        <w:tc>
          <w:tcPr>
            <w:tcW w:w="1940" w:type="dxa"/>
            <w:vAlign w:val="bottom"/>
            <w:shd w:val="clear" w:color="auto" w:fill="0336FF"/>
          </w:tcPr>
          <w:p>
            <w:pPr>
              <w:spacing w:after="0"/>
              <w:rPr>
                <w:sz w:val="6"/>
                <w:szCs w:val="6"/>
                <w:color w:val="auto"/>
              </w:rPr>
            </w:pPr>
          </w:p>
        </w:tc>
        <w:tc>
          <w:tcPr>
            <w:tcW w:w="400" w:type="dxa"/>
            <w:vAlign w:val="bottom"/>
            <w:shd w:val="clear" w:color="auto" w:fill="0336FF"/>
          </w:tcPr>
          <w:p>
            <w:pPr>
              <w:spacing w:after="0"/>
              <w:rPr>
                <w:sz w:val="6"/>
                <w:szCs w:val="6"/>
                <w:color w:val="auto"/>
              </w:rPr>
            </w:pPr>
          </w:p>
        </w:tc>
      </w:tr>
      <w:tr>
        <w:trPr>
          <w:trHeight w:val="274"/>
        </w:trPr>
        <w:tc>
          <w:tcPr>
            <w:tcW w:w="4540" w:type="dxa"/>
            <w:vAlign w:val="bottom"/>
          </w:tcPr>
          <w:p>
            <w:pPr>
              <w:ind w:left="100"/>
              <w:spacing w:after="0"/>
              <w:rPr>
                <w:sz w:val="20"/>
                <w:szCs w:val="20"/>
                <w:color w:val="auto"/>
              </w:rPr>
            </w:pPr>
            <w:r>
              <w:rPr>
                <w:rFonts w:ascii="Arial" w:cs="Arial" w:eastAsia="Arial" w:hAnsi="Arial"/>
                <w:sz w:val="14"/>
                <w:szCs w:val="14"/>
                <w:b w:val="1"/>
                <w:bCs w:val="1"/>
                <w:color w:val="2D3243"/>
              </w:rPr>
              <w:t>Equity compensation plans approved by stockholders</w:t>
            </w:r>
          </w:p>
        </w:tc>
        <w:tc>
          <w:tcPr>
            <w:tcW w:w="2040" w:type="dxa"/>
            <w:vAlign w:val="bottom"/>
          </w:tcPr>
          <w:p>
            <w:pPr>
              <w:jc w:val="right"/>
              <w:spacing w:after="0"/>
              <w:rPr>
                <w:sz w:val="20"/>
                <w:szCs w:val="20"/>
                <w:color w:val="auto"/>
              </w:rPr>
            </w:pPr>
            <w:r>
              <w:rPr>
                <w:rFonts w:ascii="Arial" w:cs="Arial" w:eastAsia="Arial" w:hAnsi="Arial"/>
                <w:sz w:val="14"/>
                <w:szCs w:val="14"/>
                <w:color w:val="2D3243"/>
              </w:rPr>
              <w:t>4,985,394</w:t>
            </w:r>
          </w:p>
        </w:tc>
        <w:tc>
          <w:tcPr>
            <w:tcW w:w="260" w:type="dxa"/>
            <w:vAlign w:val="bottom"/>
          </w:tcPr>
          <w:p>
            <w:pPr>
              <w:jc w:val="right"/>
              <w:ind w:right="73"/>
              <w:spacing w:after="0"/>
              <w:rPr>
                <w:sz w:val="20"/>
                <w:szCs w:val="20"/>
                <w:color w:val="auto"/>
              </w:rPr>
            </w:pPr>
            <w:r>
              <w:rPr>
                <w:rFonts w:ascii="Arial" w:cs="Arial" w:eastAsia="Arial" w:hAnsi="Arial"/>
                <w:sz w:val="9"/>
                <w:szCs w:val="9"/>
                <w:color w:val="2D3243"/>
              </w:rPr>
              <w:t>(1)</w:t>
            </w:r>
          </w:p>
        </w:tc>
        <w:tc>
          <w:tcPr>
            <w:tcW w:w="220" w:type="dxa"/>
            <w:vAlign w:val="bottom"/>
          </w:tcPr>
          <w:p>
            <w:pPr>
              <w:jc w:val="right"/>
              <w:spacing w:after="0"/>
              <w:rPr>
                <w:sz w:val="20"/>
                <w:szCs w:val="20"/>
                <w:color w:val="auto"/>
              </w:rPr>
            </w:pPr>
            <w:r>
              <w:rPr>
                <w:rFonts w:ascii="Arial" w:cs="Arial" w:eastAsia="Arial" w:hAnsi="Arial"/>
                <w:sz w:val="14"/>
                <w:szCs w:val="14"/>
                <w:color w:val="2D3243"/>
              </w:rPr>
              <w:t>$</w:t>
            </w:r>
          </w:p>
        </w:tc>
        <w:tc>
          <w:tcPr>
            <w:tcW w:w="1840" w:type="dxa"/>
            <w:vAlign w:val="bottom"/>
          </w:tcPr>
          <w:p>
            <w:pPr>
              <w:ind w:left="1020"/>
              <w:spacing w:after="0"/>
              <w:rPr>
                <w:sz w:val="20"/>
                <w:szCs w:val="20"/>
                <w:color w:val="auto"/>
              </w:rPr>
            </w:pPr>
            <w:r>
              <w:rPr>
                <w:rFonts w:ascii="Arial" w:cs="Arial" w:eastAsia="Arial" w:hAnsi="Arial"/>
                <w:sz w:val="14"/>
                <w:szCs w:val="14"/>
                <w:color w:val="2D3243"/>
              </w:rPr>
              <w:t xml:space="preserve">56.33 </w:t>
            </w:r>
            <w:r>
              <w:rPr>
                <w:rFonts w:ascii="Arial" w:cs="Arial" w:eastAsia="Arial" w:hAnsi="Arial"/>
                <w:sz w:val="18"/>
                <w:szCs w:val="18"/>
                <w:color w:val="2D3243"/>
                <w:vertAlign w:val="superscript"/>
              </w:rPr>
              <w:t>(2)</w:t>
            </w:r>
          </w:p>
        </w:tc>
        <w:tc>
          <w:tcPr>
            <w:tcW w:w="2340" w:type="dxa"/>
            <w:vAlign w:val="bottom"/>
            <w:gridSpan w:val="2"/>
          </w:tcPr>
          <w:p>
            <w:pPr>
              <w:jc w:val="right"/>
              <w:ind w:right="260"/>
              <w:spacing w:after="0"/>
              <w:rPr>
                <w:sz w:val="20"/>
                <w:szCs w:val="20"/>
                <w:color w:val="auto"/>
              </w:rPr>
            </w:pPr>
            <w:r>
              <w:rPr>
                <w:rFonts w:ascii="Arial" w:cs="Arial" w:eastAsia="Arial" w:hAnsi="Arial"/>
                <w:sz w:val="14"/>
                <w:szCs w:val="14"/>
                <w:color w:val="2D3243"/>
              </w:rPr>
              <w:t xml:space="preserve">19,589,313 </w:t>
            </w:r>
            <w:r>
              <w:rPr>
                <w:rFonts w:ascii="Arial" w:cs="Arial" w:eastAsia="Arial" w:hAnsi="Arial"/>
                <w:sz w:val="18"/>
                <w:szCs w:val="18"/>
                <w:color w:val="2D3243"/>
                <w:vertAlign w:val="superscript"/>
              </w:rPr>
              <w:t>(3)</w:t>
            </w:r>
          </w:p>
        </w:tc>
      </w:tr>
      <w:tr>
        <w:trPr>
          <w:trHeight w:val="293"/>
        </w:trPr>
        <w:tc>
          <w:tcPr>
            <w:tcW w:w="454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Equity compensation plans not approved by stockholders</w:t>
            </w:r>
          </w:p>
        </w:tc>
        <w:tc>
          <w:tcPr>
            <w:tcW w:w="204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8,045</w:t>
            </w:r>
          </w:p>
        </w:tc>
        <w:tc>
          <w:tcPr>
            <w:tcW w:w="260" w:type="dxa"/>
            <w:vAlign w:val="bottom"/>
            <w:tcBorders>
              <w:bottom w:val="single" w:sz="8" w:color="F0F1F2"/>
            </w:tcBorders>
            <w:shd w:val="clear" w:color="auto" w:fill="F0F1F2"/>
          </w:tcPr>
          <w:p>
            <w:pPr>
              <w:jc w:val="right"/>
              <w:ind w:right="73"/>
              <w:spacing w:after="0"/>
              <w:rPr>
                <w:sz w:val="20"/>
                <w:szCs w:val="20"/>
                <w:color w:val="auto"/>
              </w:rPr>
            </w:pPr>
            <w:r>
              <w:rPr>
                <w:rFonts w:ascii="Arial" w:cs="Arial" w:eastAsia="Arial" w:hAnsi="Arial"/>
                <w:sz w:val="9"/>
                <w:szCs w:val="9"/>
                <w:color w:val="2D3243"/>
              </w:rPr>
              <w:t>(4)</w:t>
            </w:r>
          </w:p>
        </w:tc>
        <w:tc>
          <w:tcPr>
            <w:tcW w:w="220" w:type="dxa"/>
            <w:vAlign w:val="bottom"/>
            <w:tcBorders>
              <w:bottom w:val="single" w:sz="8" w:color="F0F1F2"/>
            </w:tcBorders>
            <w:shd w:val="clear" w:color="auto" w:fill="F0F1F2"/>
          </w:tcPr>
          <w:p>
            <w:pPr>
              <w:spacing w:after="0"/>
              <w:rPr>
                <w:sz w:val="24"/>
                <w:szCs w:val="24"/>
                <w:color w:val="auto"/>
              </w:rPr>
            </w:pPr>
          </w:p>
        </w:tc>
        <w:tc>
          <w:tcPr>
            <w:tcW w:w="1840" w:type="dxa"/>
            <w:vAlign w:val="bottom"/>
            <w:tcBorders>
              <w:bottom w:val="single" w:sz="8" w:color="F0F1F2"/>
            </w:tcBorders>
            <w:shd w:val="clear" w:color="auto" w:fill="F0F1F2"/>
          </w:tcPr>
          <w:p>
            <w:pPr>
              <w:ind w:left="1020"/>
              <w:spacing w:after="0"/>
              <w:rPr>
                <w:sz w:val="20"/>
                <w:szCs w:val="20"/>
                <w:color w:val="auto"/>
              </w:rPr>
            </w:pPr>
            <w:r>
              <w:rPr>
                <w:rFonts w:ascii="Arial" w:cs="Arial" w:eastAsia="Arial" w:hAnsi="Arial"/>
                <w:sz w:val="14"/>
                <w:szCs w:val="14"/>
                <w:color w:val="2D3243"/>
              </w:rPr>
              <w:t>14.33</w:t>
            </w:r>
          </w:p>
        </w:tc>
        <w:tc>
          <w:tcPr>
            <w:tcW w:w="2340" w:type="dxa"/>
            <w:vAlign w:val="bottom"/>
            <w:tcBorders>
              <w:bottom w:val="single" w:sz="8" w:color="F0F1F2"/>
            </w:tcBorders>
            <w:gridSpan w:val="2"/>
            <w:shd w:val="clear" w:color="auto" w:fill="F0F1F2"/>
          </w:tcPr>
          <w:p>
            <w:pPr>
              <w:jc w:val="right"/>
              <w:ind w:right="460"/>
              <w:spacing w:after="0"/>
              <w:rPr>
                <w:sz w:val="20"/>
                <w:szCs w:val="20"/>
                <w:color w:val="auto"/>
              </w:rPr>
            </w:pPr>
            <w:r>
              <w:rPr>
                <w:rFonts w:ascii="Arial" w:cs="Arial" w:eastAsia="Arial" w:hAnsi="Arial"/>
                <w:sz w:val="14"/>
                <w:szCs w:val="14"/>
                <w:color w:val="2D3243"/>
              </w:rPr>
              <w:t>—</w:t>
            </w:r>
          </w:p>
        </w:tc>
      </w:tr>
      <w:tr>
        <w:trPr>
          <w:trHeight w:val="202"/>
        </w:trPr>
        <w:tc>
          <w:tcPr>
            <w:tcW w:w="4540" w:type="dxa"/>
            <w:vAlign w:val="bottom"/>
          </w:tcPr>
          <w:p>
            <w:pPr>
              <w:ind w:left="100"/>
              <w:spacing w:after="0"/>
              <w:rPr>
                <w:sz w:val="20"/>
                <w:szCs w:val="20"/>
                <w:color w:val="auto"/>
              </w:rPr>
            </w:pPr>
            <w:r>
              <w:rPr>
                <w:rFonts w:ascii="Arial" w:cs="Arial" w:eastAsia="Arial" w:hAnsi="Arial"/>
                <w:sz w:val="14"/>
                <w:szCs w:val="14"/>
                <w:b w:val="1"/>
                <w:bCs w:val="1"/>
                <w:color w:val="2D3243"/>
              </w:rPr>
              <w:t>Total</w:t>
            </w:r>
          </w:p>
        </w:tc>
        <w:tc>
          <w:tcPr>
            <w:tcW w:w="2040" w:type="dxa"/>
            <w:vAlign w:val="bottom"/>
            <w:tcBorders>
              <w:top w:val="single" w:sz="8" w:color="575A60"/>
            </w:tcBorders>
          </w:tcPr>
          <w:p>
            <w:pPr>
              <w:jc w:val="right"/>
              <w:spacing w:after="0"/>
              <w:rPr>
                <w:sz w:val="20"/>
                <w:szCs w:val="20"/>
                <w:color w:val="auto"/>
              </w:rPr>
            </w:pPr>
            <w:r>
              <w:rPr>
                <w:rFonts w:ascii="Arial" w:cs="Arial" w:eastAsia="Arial" w:hAnsi="Arial"/>
                <w:sz w:val="14"/>
                <w:szCs w:val="14"/>
                <w:color w:val="2D3243"/>
              </w:rPr>
              <w:t>4,993,439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40" w:type="dxa"/>
            <w:vAlign w:val="bottom"/>
            <w:tcBorders>
              <w:top w:val="single" w:sz="8" w:color="575A60"/>
            </w:tcBorders>
          </w:tcPr>
          <w:p>
            <w:pPr>
              <w:jc w:val="right"/>
              <w:spacing w:after="0"/>
              <w:rPr>
                <w:sz w:val="20"/>
                <w:szCs w:val="20"/>
                <w:color w:val="auto"/>
              </w:rPr>
            </w:pPr>
            <w:r>
              <w:rPr>
                <w:rFonts w:ascii="Arial" w:cs="Arial" w:eastAsia="Arial" w:hAnsi="Arial"/>
                <w:sz w:val="14"/>
                <w:szCs w:val="14"/>
                <w:color w:val="2D3243"/>
              </w:rPr>
              <w:t>19,589,313</w:t>
            </w:r>
          </w:p>
        </w:tc>
        <w:tc>
          <w:tcPr>
            <w:tcW w:w="400" w:type="dxa"/>
            <w:vAlign w:val="bottom"/>
          </w:tcPr>
          <w:p>
            <w:pPr>
              <w:spacing w:after="0"/>
              <w:rPr>
                <w:sz w:val="17"/>
                <w:szCs w:val="17"/>
                <w:color w:val="auto"/>
              </w:rPr>
            </w:pPr>
          </w:p>
        </w:tc>
      </w:tr>
      <w:tr>
        <w:trPr>
          <w:trHeight w:val="35"/>
        </w:trPr>
        <w:tc>
          <w:tcPr>
            <w:tcW w:w="4540" w:type="dxa"/>
            <w:vAlign w:val="bottom"/>
          </w:tcPr>
          <w:p>
            <w:pPr>
              <w:spacing w:after="0"/>
              <w:rPr>
                <w:sz w:val="3"/>
                <w:szCs w:val="3"/>
                <w:color w:val="auto"/>
              </w:rPr>
            </w:pPr>
          </w:p>
        </w:tc>
        <w:tc>
          <w:tcPr>
            <w:tcW w:w="2040" w:type="dxa"/>
            <w:vAlign w:val="bottom"/>
            <w:tcBorders>
              <w:bottom w:val="single" w:sz="8" w:color="575A60"/>
            </w:tcBorders>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940" w:type="dxa"/>
            <w:vAlign w:val="bottom"/>
            <w:tcBorders>
              <w:bottom w:val="single" w:sz="8" w:color="575A60"/>
            </w:tcBorders>
          </w:tcPr>
          <w:p>
            <w:pPr>
              <w:spacing w:after="0"/>
              <w:rPr>
                <w:sz w:val="3"/>
                <w:szCs w:val="3"/>
                <w:color w:val="auto"/>
              </w:rPr>
            </w:pPr>
          </w:p>
        </w:tc>
        <w:tc>
          <w:tcPr>
            <w:tcW w:w="400" w:type="dxa"/>
            <w:vAlign w:val="bottom"/>
          </w:tcPr>
          <w:p>
            <w:pPr>
              <w:spacing w:after="0"/>
              <w:rPr>
                <w:sz w:val="3"/>
                <w:szCs w:val="3"/>
                <w:color w:val="auto"/>
              </w:rPr>
            </w:pPr>
          </w:p>
        </w:tc>
      </w:tr>
      <w:tr>
        <w:trPr>
          <w:trHeight w:val="20"/>
        </w:trPr>
        <w:tc>
          <w:tcPr>
            <w:tcW w:w="4540" w:type="dxa"/>
            <w:vAlign w:val="bottom"/>
            <w:tcBorders>
              <w:bottom w:val="single" w:sz="8" w:color="575A60"/>
            </w:tcBorders>
          </w:tcPr>
          <w:p>
            <w:pPr>
              <w:spacing w:after="0" w:line="20" w:lineRule="exact"/>
              <w:rPr>
                <w:sz w:val="1"/>
                <w:szCs w:val="1"/>
                <w:color w:val="auto"/>
              </w:rPr>
            </w:pPr>
          </w:p>
        </w:tc>
        <w:tc>
          <w:tcPr>
            <w:tcW w:w="2040" w:type="dxa"/>
            <w:vAlign w:val="bottom"/>
            <w:tcBorders>
              <w:bottom w:val="single" w:sz="8" w:color="575A60"/>
            </w:tcBorders>
          </w:tcPr>
          <w:p>
            <w:pPr>
              <w:spacing w:after="0" w:line="20" w:lineRule="exact"/>
              <w:rPr>
                <w:sz w:val="1"/>
                <w:szCs w:val="1"/>
                <w:color w:val="auto"/>
              </w:rPr>
            </w:pPr>
          </w:p>
        </w:tc>
        <w:tc>
          <w:tcPr>
            <w:tcW w:w="260" w:type="dxa"/>
            <w:vAlign w:val="bottom"/>
            <w:tcBorders>
              <w:bottom w:val="single" w:sz="8" w:color="575A60"/>
            </w:tcBorders>
          </w:tcPr>
          <w:p>
            <w:pPr>
              <w:spacing w:after="0" w:line="20" w:lineRule="exact"/>
              <w:rPr>
                <w:sz w:val="1"/>
                <w:szCs w:val="1"/>
                <w:color w:val="auto"/>
              </w:rPr>
            </w:pPr>
          </w:p>
        </w:tc>
        <w:tc>
          <w:tcPr>
            <w:tcW w:w="220" w:type="dxa"/>
            <w:vAlign w:val="bottom"/>
            <w:tcBorders>
              <w:bottom w:val="single" w:sz="8" w:color="575A60"/>
            </w:tcBorders>
          </w:tcPr>
          <w:p>
            <w:pPr>
              <w:spacing w:after="0" w:line="20" w:lineRule="exact"/>
              <w:rPr>
                <w:sz w:val="1"/>
                <w:szCs w:val="1"/>
                <w:color w:val="auto"/>
              </w:rPr>
            </w:pPr>
          </w:p>
        </w:tc>
        <w:tc>
          <w:tcPr>
            <w:tcW w:w="1840" w:type="dxa"/>
            <w:vAlign w:val="bottom"/>
            <w:tcBorders>
              <w:bottom w:val="single" w:sz="8" w:color="575A60"/>
            </w:tcBorders>
          </w:tcPr>
          <w:p>
            <w:pPr>
              <w:spacing w:after="0" w:line="20" w:lineRule="exact"/>
              <w:rPr>
                <w:sz w:val="1"/>
                <w:szCs w:val="1"/>
                <w:color w:val="auto"/>
              </w:rPr>
            </w:pPr>
          </w:p>
        </w:tc>
        <w:tc>
          <w:tcPr>
            <w:tcW w:w="1940" w:type="dxa"/>
            <w:vAlign w:val="bottom"/>
            <w:tcBorders>
              <w:bottom w:val="single" w:sz="8" w:color="575A60"/>
            </w:tcBorders>
          </w:tcPr>
          <w:p>
            <w:pPr>
              <w:spacing w:after="0" w:line="20" w:lineRule="exact"/>
              <w:rPr>
                <w:sz w:val="1"/>
                <w:szCs w:val="1"/>
                <w:color w:val="auto"/>
              </w:rPr>
            </w:pPr>
          </w:p>
        </w:tc>
        <w:tc>
          <w:tcPr>
            <w:tcW w:w="400" w:type="dxa"/>
            <w:vAlign w:val="bottom"/>
            <w:tcBorders>
              <w:bottom w:val="single" w:sz="8" w:color="575A60"/>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2D3243"/>
        </w:rPr>
      </w:pPr>
      <w:r>
        <w:rPr>
          <w:rFonts w:ascii="Arial" w:cs="Arial" w:eastAsia="Arial" w:hAnsi="Arial"/>
          <w:sz w:val="14"/>
          <w:szCs w:val="14"/>
          <w:color w:val="2D3243"/>
        </w:rPr>
        <w:t>Includes 909,725 shares underlying outstanding stock options and 4,075,669 shares underlying outstanding RSUs.</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71"/>
        </w:numPr>
        <w:rPr>
          <w:rFonts w:ascii="Arial" w:cs="Arial" w:eastAsia="Arial" w:hAnsi="Arial"/>
          <w:sz w:val="14"/>
          <w:szCs w:val="14"/>
          <w:color w:val="2D3243"/>
        </w:rPr>
      </w:pPr>
      <w:r>
        <w:rPr>
          <w:rFonts w:ascii="Arial" w:cs="Arial" w:eastAsia="Arial" w:hAnsi="Arial"/>
          <w:sz w:val="14"/>
          <w:szCs w:val="14"/>
          <w:color w:val="2D3243"/>
        </w:rPr>
        <w:t>The weighted-average exercise price does not take into account shares issuable upon the vesting of outstanding RSUs, which have no exercise price.</w:t>
      </w:r>
    </w:p>
    <w:p>
      <w:pPr>
        <w:spacing w:after="0" w:line="109" w:lineRule="exact"/>
        <w:rPr>
          <w:rFonts w:ascii="Arial" w:cs="Arial" w:eastAsia="Arial" w:hAnsi="Arial"/>
          <w:sz w:val="14"/>
          <w:szCs w:val="14"/>
          <w:color w:val="2D3243"/>
        </w:rPr>
      </w:pPr>
    </w:p>
    <w:p>
      <w:pPr>
        <w:ind w:left="340" w:right="80" w:hanging="332"/>
        <w:spacing w:after="0" w:line="329" w:lineRule="auto"/>
        <w:tabs>
          <w:tab w:leader="none" w:pos="338" w:val="left"/>
        </w:tabs>
        <w:numPr>
          <w:ilvl w:val="0"/>
          <w:numId w:val="71"/>
        </w:numPr>
        <w:rPr>
          <w:rFonts w:ascii="Arial" w:cs="Arial" w:eastAsia="Arial" w:hAnsi="Arial"/>
          <w:sz w:val="14"/>
          <w:szCs w:val="14"/>
          <w:color w:val="2D3243"/>
        </w:rPr>
      </w:pPr>
      <w:r>
        <w:rPr>
          <w:rFonts w:ascii="Arial" w:cs="Arial" w:eastAsia="Arial" w:hAnsi="Arial"/>
          <w:sz w:val="14"/>
          <w:szCs w:val="14"/>
          <w:color w:val="2D3243"/>
        </w:rPr>
        <w:t>Includes 15,652,797 shares of Common Stock reserved for issuance under the 2014 Plan and 3,936,516 shares of Common Stock reserved for issuance under the ESPP. The 2014 Plan provides for an annual automatic increase to the shares reserved for issuance in an amount equal to 5% of the total number of shares outstanding on December 31st of the preceding calendar year or a lesser number as determined by our Board of Directors continuing through 2024. Pursuant to the automatic annual increase, 3,665,848 additional shares were reserved under the 2014 Plan on January 1, 2024. The ESPP also provides for an automatic increase to the shares reserved for issuance, continuing through January 1, 2024, by the lesser of (i) 1% of the total number of shares of our common stock outstanding on December 31 of the preceding calendar year; (ii) 1,000,000 shares of common stock (subject to adjustment to reflect any split or combination of our common stock); or (iii) such lesser number as determined by our Board of Directors. Pursuant to the automatic annual increase, 733,169 additional shares were reserved under the ESPP on January 1, 2024.</w:t>
      </w:r>
    </w:p>
    <w:p>
      <w:pPr>
        <w:spacing w:after="0" w:line="21" w:lineRule="exact"/>
        <w:rPr>
          <w:rFonts w:ascii="Arial" w:cs="Arial" w:eastAsia="Arial" w:hAnsi="Arial"/>
          <w:sz w:val="14"/>
          <w:szCs w:val="14"/>
          <w:color w:val="2D3243"/>
        </w:rPr>
      </w:pPr>
    </w:p>
    <w:p>
      <w:pPr>
        <w:ind w:left="340" w:hanging="332"/>
        <w:spacing w:after="0"/>
        <w:tabs>
          <w:tab w:leader="none" w:pos="340" w:val="left"/>
        </w:tabs>
        <w:numPr>
          <w:ilvl w:val="0"/>
          <w:numId w:val="71"/>
        </w:numPr>
        <w:rPr>
          <w:rFonts w:ascii="Arial" w:cs="Arial" w:eastAsia="Arial" w:hAnsi="Arial"/>
          <w:sz w:val="14"/>
          <w:szCs w:val="14"/>
          <w:color w:val="2D3243"/>
        </w:rPr>
      </w:pPr>
      <w:r>
        <w:rPr>
          <w:rFonts w:ascii="Arial" w:cs="Arial" w:eastAsia="Arial" w:hAnsi="Arial"/>
          <w:sz w:val="14"/>
          <w:szCs w:val="14"/>
          <w:color w:val="2D3243"/>
        </w:rPr>
        <w:t>Represents assumed unvested stock options in connection with the acquisition of Inference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75</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58"/>
          <w:szCs w:val="58"/>
          <w:color w:val="2D3243"/>
        </w:rPr>
        <w:t>Transactions With Related Persons</w:t>
      </w:r>
    </w:p>
    <w:p>
      <w:pPr>
        <w:spacing w:after="0" w:line="200" w:lineRule="exact"/>
        <w:rPr>
          <w:sz w:val="20"/>
          <w:szCs w:val="20"/>
          <w:color w:val="auto"/>
        </w:rPr>
      </w:pPr>
    </w:p>
    <w:p>
      <w:pPr>
        <w:spacing w:after="0" w:line="252" w:lineRule="exact"/>
        <w:rPr>
          <w:sz w:val="20"/>
          <w:szCs w:val="20"/>
          <w:color w:val="auto"/>
        </w:rPr>
      </w:pPr>
    </w:p>
    <w:p>
      <w:pPr>
        <w:ind w:right="80"/>
        <w:spacing w:after="0" w:line="374" w:lineRule="auto"/>
        <w:rPr>
          <w:sz w:val="20"/>
          <w:szCs w:val="20"/>
          <w:color w:val="auto"/>
        </w:rPr>
      </w:pPr>
      <w:r>
        <w:rPr>
          <w:rFonts w:ascii="Arial" w:cs="Arial" w:eastAsia="Arial" w:hAnsi="Arial"/>
          <w:sz w:val="16"/>
          <w:szCs w:val="16"/>
          <w:color w:val="2D3243"/>
        </w:rPr>
        <w:t>Other than the compensation arrangements with our non-employee directors and executive officers, there have been no transactions since January 1, 2023 (and there are no currently proposed transactions) in which:</w:t>
      </w:r>
    </w:p>
    <w:p>
      <w:pPr>
        <w:spacing w:after="0" w:line="115" w:lineRule="exact"/>
        <w:rPr>
          <w:sz w:val="20"/>
          <w:szCs w:val="20"/>
          <w:color w:val="auto"/>
        </w:rPr>
      </w:pPr>
    </w:p>
    <w:p>
      <w:pPr>
        <w:ind w:left="620" w:hanging="288"/>
        <w:spacing w:after="0"/>
        <w:tabs>
          <w:tab w:leader="none" w:pos="620" w:val="left"/>
        </w:tabs>
        <w:numPr>
          <w:ilvl w:val="0"/>
          <w:numId w:val="72"/>
        </w:numPr>
        <w:rPr>
          <w:rFonts w:ascii="Arial" w:cs="Arial" w:eastAsia="Arial" w:hAnsi="Arial"/>
          <w:sz w:val="16"/>
          <w:szCs w:val="16"/>
          <w:color w:val="2D3243"/>
        </w:rPr>
      </w:pPr>
      <w:r>
        <w:rPr>
          <w:rFonts w:ascii="Arial" w:cs="Arial" w:eastAsia="Arial" w:hAnsi="Arial"/>
          <w:sz w:val="16"/>
          <w:szCs w:val="16"/>
          <w:color w:val="2D3243"/>
        </w:rPr>
        <w:t>we have been or are to be a participant;</w:t>
      </w:r>
    </w:p>
    <w:p>
      <w:pPr>
        <w:spacing w:after="0" w:line="126" w:lineRule="exact"/>
        <w:rPr>
          <w:rFonts w:ascii="Arial" w:cs="Arial" w:eastAsia="Arial" w:hAnsi="Arial"/>
          <w:sz w:val="16"/>
          <w:szCs w:val="16"/>
          <w:color w:val="2D3243"/>
        </w:rPr>
      </w:pPr>
    </w:p>
    <w:p>
      <w:pPr>
        <w:ind w:left="620" w:hanging="288"/>
        <w:spacing w:after="0"/>
        <w:tabs>
          <w:tab w:leader="none" w:pos="620" w:val="left"/>
        </w:tabs>
        <w:numPr>
          <w:ilvl w:val="0"/>
          <w:numId w:val="72"/>
        </w:numPr>
        <w:rPr>
          <w:rFonts w:ascii="Arial" w:cs="Arial" w:eastAsia="Arial" w:hAnsi="Arial"/>
          <w:sz w:val="16"/>
          <w:szCs w:val="16"/>
          <w:color w:val="2D3243"/>
        </w:rPr>
      </w:pPr>
      <w:r>
        <w:rPr>
          <w:rFonts w:ascii="Arial" w:cs="Arial" w:eastAsia="Arial" w:hAnsi="Arial"/>
          <w:sz w:val="16"/>
          <w:szCs w:val="16"/>
          <w:color w:val="2D3243"/>
        </w:rPr>
        <w:t>the amount involved exceeds $120,000; and</w:t>
      </w:r>
    </w:p>
    <w:p>
      <w:pPr>
        <w:spacing w:after="0" w:line="126" w:lineRule="exact"/>
        <w:rPr>
          <w:rFonts w:ascii="Arial" w:cs="Arial" w:eastAsia="Arial" w:hAnsi="Arial"/>
          <w:sz w:val="16"/>
          <w:szCs w:val="16"/>
          <w:color w:val="2D3243"/>
        </w:rPr>
      </w:pPr>
    </w:p>
    <w:p>
      <w:pPr>
        <w:ind w:left="660" w:right="140" w:hanging="328"/>
        <w:spacing w:after="0" w:line="374" w:lineRule="auto"/>
        <w:tabs>
          <w:tab w:leader="none" w:pos="622" w:val="left"/>
        </w:tabs>
        <w:numPr>
          <w:ilvl w:val="0"/>
          <w:numId w:val="72"/>
        </w:numPr>
        <w:rPr>
          <w:rFonts w:ascii="Arial" w:cs="Arial" w:eastAsia="Arial" w:hAnsi="Arial"/>
          <w:sz w:val="16"/>
          <w:szCs w:val="16"/>
          <w:color w:val="2D3243"/>
        </w:rPr>
      </w:pPr>
      <w:r>
        <w:rPr>
          <w:rFonts w:ascii="Arial" w:cs="Arial" w:eastAsia="Arial" w:hAnsi="Arial"/>
          <w:sz w:val="16"/>
          <w:szCs w:val="16"/>
          <w:color w:val="2D3243"/>
        </w:rPr>
        <w:t>any of our directors, executive officers or holders of more than 5% of our common stock, or any immediate family member of or person sharing the household with any of these individuals (other than tenants or employees), had or will have a direct or indirect material interest.</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0336FF"/>
        </w:rPr>
        <w:t>Policies and Procedures for Related Party Transactions</w:t>
      </w:r>
    </w:p>
    <w:p>
      <w:pPr>
        <w:spacing w:after="0" w:line="207"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2D3243"/>
        </w:rPr>
        <w:t>Pursuant to our Audit Committee Charter and our Related Party Transactions Policy, our Audit Committee has the primary responsibility for reviewing and approving or disapproving “related party transactions,” which are transactions between us and related persons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or any of their immediate family members, or any firm, corporation or other entity in which any of the foregoing persons is employed or is a partner or principal or in a similar position or in which such person has more than a 5% beneficial ownership interest, in each case since the beginning of the most recently completed fiscal year. Our Related Party Transactions Policy provides that all potential “related party transactions” must be submitted to our Chief Financial Officer or our Chief Legal Officer/General Counsel for initial review and, if reasonably likely to constitute a related party transaction, such transaction shall be submitted to our Audit Committee for review and approval or disapproval. The decision of the Audit Committee with respect to a related party transaction is then reported to the Board of Directors.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76</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4" w:name="page85"/>
    <w:bookmarkEnd w:id="84"/>
    <w:p>
      <w:pPr>
        <w:jc w:val="right"/>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40"/>
        <w:spacing w:after="0" w:line="283" w:lineRule="auto"/>
        <w:rPr>
          <w:sz w:val="20"/>
          <w:szCs w:val="20"/>
          <w:color w:val="auto"/>
        </w:rPr>
      </w:pPr>
      <w:r>
        <w:rPr>
          <w:rFonts w:ascii="Arial" w:cs="Arial" w:eastAsia="Arial" w:hAnsi="Arial"/>
          <w:sz w:val="58"/>
          <w:szCs w:val="58"/>
          <w:color w:val="2D3243"/>
        </w:rPr>
        <w:t>Delivery Of Documents To Stockholders Sharing An Address</w:t>
      </w:r>
    </w:p>
    <w:p>
      <w:pPr>
        <w:spacing w:after="0" w:line="234"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2D3243"/>
        </w:rPr>
        <w:t>A number of brokers with account holders who are Five9, Inc. stockholders will be “householding” our proxy materials. A single Notice, set of proxy materials and annual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and/or separate proxy statement and annual report, please notify your broker and direct your written request to Five9, Inc., 3001 Bishop Drive, Suite 350, San Ramon, CA 94583, Attention: Secretary, or call 925-201-2000 ext. 5959. The Company undertakes to deliver promptly to a stockholder upon such written or oral request a separate Notice, set of proxy materials or annual report. Stockholders who currently receive multiple copies of the proxy materials at their address and would like to request “householding” of their communications should contact their broker.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77</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58"/>
          <w:szCs w:val="58"/>
          <w:color w:val="2D3243"/>
        </w:rPr>
        <w:t>Availability Of Annual Report On Form 10-K</w:t>
      </w:r>
    </w:p>
    <w:p>
      <w:pPr>
        <w:spacing w:after="0" w:line="200" w:lineRule="exact"/>
        <w:rPr>
          <w:sz w:val="20"/>
          <w:szCs w:val="20"/>
          <w:color w:val="auto"/>
        </w:rPr>
      </w:pPr>
    </w:p>
    <w:p>
      <w:pPr>
        <w:spacing w:after="0" w:line="252" w:lineRule="exact"/>
        <w:rPr>
          <w:sz w:val="20"/>
          <w:szCs w:val="20"/>
          <w:color w:val="auto"/>
        </w:rPr>
      </w:pPr>
    </w:p>
    <w:p>
      <w:pPr>
        <w:jc w:val="both"/>
        <w:ind w:right="140"/>
        <w:spacing w:after="0" w:line="363" w:lineRule="auto"/>
        <w:rPr>
          <w:sz w:val="20"/>
          <w:szCs w:val="20"/>
          <w:color w:val="auto"/>
        </w:rPr>
      </w:pPr>
      <w:r>
        <w:rPr>
          <w:rFonts w:ascii="Arial" w:cs="Arial" w:eastAsia="Arial" w:hAnsi="Arial"/>
          <w:sz w:val="16"/>
          <w:szCs w:val="16"/>
          <w:color w:val="2D3243"/>
        </w:rPr>
        <w:t>Our Annual Report on Form 10-K is available online at www.five9.com in the Investor Relations section. We will provide to any stockholder, without charge, upon written request, a copy of the Annual Report on Form 10-K for the fiscal year ended December 31, 2023, as filed with the SEC. Such requests should be addressed to Five9, Inc., 3001 Bishop Drive, Suite 350, San Ramon, CA 94583, Attention: Secretary.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78</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58"/>
          <w:szCs w:val="58"/>
          <w:color w:val="2D3243"/>
        </w:rPr>
        <w:t>Other Matters</w:t>
      </w:r>
    </w:p>
    <w:p>
      <w:pPr>
        <w:spacing w:after="0" w:line="200" w:lineRule="exact"/>
        <w:rPr>
          <w:sz w:val="20"/>
          <w:szCs w:val="20"/>
          <w:color w:val="auto"/>
        </w:rPr>
      </w:pPr>
    </w:p>
    <w:p>
      <w:pPr>
        <w:spacing w:after="0" w:line="252" w:lineRule="exact"/>
        <w:rPr>
          <w:sz w:val="20"/>
          <w:szCs w:val="20"/>
          <w:color w:val="auto"/>
        </w:rPr>
      </w:pPr>
    </w:p>
    <w:p>
      <w:pPr>
        <w:ind w:right="240"/>
        <w:spacing w:after="0" w:line="374" w:lineRule="auto"/>
        <w:rPr>
          <w:sz w:val="20"/>
          <w:szCs w:val="20"/>
          <w:color w:val="auto"/>
        </w:rPr>
      </w:pPr>
      <w:r>
        <w:rPr>
          <w:rFonts w:ascii="Arial" w:cs="Arial" w:eastAsia="Arial" w:hAnsi="Arial"/>
          <w:sz w:val="16"/>
          <w:szCs w:val="16"/>
          <w:color w:val="2D3243"/>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840105</wp:posOffset>
            </wp:positionV>
            <wp:extent cx="36087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60870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120015</wp:posOffset>
            </wp:positionV>
            <wp:extent cx="1714500" cy="557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color w:val="auto"/>
        </w:rPr>
        <w:t>Michael Burkland</w:t>
      </w:r>
    </w:p>
    <w:p>
      <w:pPr>
        <w:spacing w:after="0" w:line="2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w:t>
      </w:r>
    </w:p>
    <w:p>
      <w:pPr>
        <w:spacing w:after="0" w:line="2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San Ramon, California</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April 1,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00"/>
        <w:spacing w:after="0"/>
        <w:tabs>
          <w:tab w:leader="none" w:pos="5520" w:val="left"/>
          <w:tab w:leader="none" w:pos="602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79</w:t>
      </w:r>
      <w:r>
        <w:rPr>
          <w:sz w:val="20"/>
          <w:szCs w:val="20"/>
          <w:color w:val="auto"/>
        </w:rPr>
        <w:tab/>
      </w:r>
      <w:r>
        <w:rPr>
          <w:rFonts w:ascii="Arial" w:cs="Arial" w:eastAsia="Arial" w:hAnsi="Arial"/>
          <w:sz w:val="14"/>
          <w:szCs w:val="14"/>
          <w:color w:val="2D3243"/>
        </w:rPr>
        <w:t>2024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7" w:name="page88"/>
    <w:bookmarkEnd w:id="87"/>
    <w:p>
      <w:pPr>
        <w:jc w:val="right"/>
        <w:spacing w:after="0"/>
        <w:rPr>
          <w:sz w:val="20"/>
          <w:szCs w:val="20"/>
          <w:color w:val="auto"/>
        </w:rPr>
      </w:pPr>
      <w:r>
        <w:rPr>
          <w:rFonts w:ascii="Arial" w:cs="Arial" w:eastAsia="Arial" w:hAnsi="Arial"/>
          <w:sz w:val="14"/>
          <w:szCs w:val="14"/>
          <w:color w:val="2D324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5004435</wp:posOffset>
            </wp:positionV>
            <wp:extent cx="1234440" cy="685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344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6"/>
          <w:szCs w:val="16"/>
          <w:color w:val="2D3243"/>
        </w:rPr>
        <w:t>FIVE9, INC., 3001 Bishop Drive, Suite 350, San Ramon, CA 94583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788035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84" w:right="359" w:bottom="1440"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448945</wp:posOffset>
            </wp:positionV>
            <wp:extent cx="7157720" cy="8079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807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448945</wp:posOffset>
            </wp:positionV>
            <wp:extent cx="5966460" cy="77152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x"/>
      <w:numFmt w:val="bullet"/>
      <w:start w:val="1"/>
    </w:lvl>
  </w:abstractNum>
  <w:abstractNum w:abstractNumId="4">
    <w:nsid w:val="2463B9EA"/>
    <w:multiLevelType w:val="hybridMultilevel"/>
    <w:lvl w:ilvl="0">
      <w:lvlJc w:val="left"/>
      <w:lvlText w:val="o"/>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
      <w:numFmt w:val="bullet"/>
      <w:start w:val="1"/>
    </w:lvl>
    <w:lvl w:ilvl="1">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4"/>
    </w:lvl>
  </w:abstractNum>
  <w:abstractNum w:abstractNumId="22">
    <w:nsid w:val="38437FDB"/>
    <w:multiLevelType w:val="hybridMultilevel"/>
    <w:lvl w:ilvl="0">
      <w:lvlJc w:val="left"/>
      <w:lvlText w:val="%1."/>
      <w:numFmt w:val="decimal"/>
      <w:start w:val="7"/>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10"/>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lvl w:ilvl="1">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lvl w:ilvl="1">
      <w:lvlJc w:val="left"/>
      <w:lvlText w:val="◦"/>
      <w:numFmt w:val="bullet"/>
      <w:start w:val="1"/>
    </w:lvl>
  </w:abstractNum>
  <w:abstractNum w:abstractNumId="38">
    <w:nsid w:val="649BB77C"/>
    <w:multiLevelType w:val="hybridMultilevel"/>
    <w:lvl w:ilvl="0">
      <w:lvlJc w:val="left"/>
      <w:lvlText w:val="◦"/>
      <w:numFmt w:val="bullet"/>
      <w:start w:val="1"/>
    </w:lvl>
    <w:lvl w:ilvl="1">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3"/>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6"/>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decimal"/>
      <w:start w:val="1"/>
    </w:lvl>
    <w:lvl w:ilvl="1">
      <w:lvlJc w:val="left"/>
      <w:lvlText w:val="%2."/>
      <w:numFmt w:val="lowerLetter"/>
      <w:start w:val="1"/>
    </w:lvl>
  </w:abstractNum>
  <w:abstractNum w:abstractNumId="68">
    <w:nsid w:val="98A3148"/>
    <w:multiLevelType w:val="hybridMultilevel"/>
    <w:lvl w:ilvl="0">
      <w:lvlJc w:val="left"/>
      <w:lvlText w:val="%1."/>
      <w:numFmt w:val="decimal"/>
      <w:start w:val="5"/>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2024-04-01T15:17:26Z</dcterms:created>
  <dcterms:modified xsi:type="dcterms:W3CDTF">2024-04-01T15:17:26Z</dcterms:modified>
</cp:coreProperties>
</file>