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1.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23.gif" ContentType="image/gif"/>
  <Override PartName="/word/media/image22.gif" ContentType="image/gif"/>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240"/>
        <w:jc w:val="center"/>
        <w:rPr>
          <w:rFonts w:ascii="Times New Roman;sans-serif" w:hAnsi="Times New Roman;sans-serif"/>
          <w:b/>
          <w:color w:val="2D3243"/>
          <w:sz w:val="20"/>
        </w:rPr>
      </w:pPr>
      <w:r>
        <w:rPr>
          <w:rFonts w:ascii="Times New Roman;sans-serif" w:hAnsi="Times New Roman;sans-serif"/>
          <w:b/>
          <w:color w:val="2D3243"/>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SCHEDULE 14A</w:t>
      </w:r>
    </w:p>
    <w:p>
      <w:pPr>
        <w:pStyle w:val="TextBody"/>
        <w:bidi w:val="0"/>
        <w:spacing w:lineRule="auto" w:line="288" w:before="0" w:after="240"/>
        <w:jc w:val="center"/>
        <w:rPr>
          <w:rFonts w:ascii="Times New Roman;sans-serif" w:hAnsi="Times New Roman;sans-serif"/>
          <w:b/>
          <w:color w:val="2D3243"/>
          <w:sz w:val="20"/>
        </w:rPr>
      </w:pPr>
      <w:r>
        <w:rPr>
          <w:rFonts w:ascii="Times New Roman;sans-serif" w:hAnsi="Times New Roman;sans-serif"/>
          <w:b/>
          <w:color w:val="2D3243"/>
          <w:sz w:val="20"/>
        </w:rPr>
        <w:t>(Rule 14a-101)</w:t>
      </w:r>
    </w:p>
    <w:p>
      <w:pPr>
        <w:pStyle w:val="TextBody"/>
        <w:bidi w:val="0"/>
        <w:spacing w:lineRule="auto" w:line="288" w:before="0" w:after="0"/>
        <w:jc w:val="center"/>
        <w:rPr>
          <w:rFonts w:ascii="Times New Roman;sans-serif" w:hAnsi="Times New Roman;sans-serif"/>
          <w:b/>
          <w:color w:val="2D3243"/>
          <w:sz w:val="20"/>
        </w:rPr>
      </w:pPr>
      <w:r>
        <w:rPr>
          <w:rFonts w:ascii="Times New Roman;sans-serif" w:hAnsi="Times New Roman;sans-serif"/>
          <w:b/>
          <w:color w:val="2D3243"/>
          <w:sz w:val="20"/>
        </w:rPr>
        <w:t>INFORMATION REQUIRED IN PROXY STATEMENT</w:t>
      </w:r>
    </w:p>
    <w:p>
      <w:pPr>
        <w:pStyle w:val="TextBody"/>
        <w:bidi w:val="0"/>
        <w:spacing w:lineRule="auto" w:line="288" w:before="0" w:after="120"/>
        <w:jc w:val="center"/>
        <w:rPr>
          <w:rFonts w:ascii="Times New Roman;sans-serif" w:hAnsi="Times New Roman;sans-serif"/>
          <w:b/>
          <w:color w:val="2D3243"/>
          <w:sz w:val="20"/>
        </w:rPr>
      </w:pPr>
      <w:r>
        <w:rPr>
          <w:rFonts w:ascii="Times New Roman;sans-serif" w:hAnsi="Times New Roman;sans-serif"/>
          <w:b/>
          <w:color w:val="2D3243"/>
          <w:sz w:val="20"/>
        </w:rPr>
        <w:t>SCHEDULE 14A INFORMATION</w:t>
      </w:r>
    </w:p>
    <w:p>
      <w:pPr>
        <w:pStyle w:val="TextBody"/>
        <w:bidi w:val="0"/>
        <w:spacing w:lineRule="auto" w:line="288" w:before="0" w:after="0"/>
        <w:jc w:val="center"/>
        <w:rPr>
          <w:rFonts w:ascii="Times New Roman;sans-serif" w:hAnsi="Times New Roman;sans-serif"/>
          <w:b/>
          <w:color w:val="2D3243"/>
          <w:sz w:val="20"/>
        </w:rPr>
      </w:pPr>
      <w:r>
        <w:rPr>
          <w:rFonts w:ascii="Times New Roman;sans-serif" w:hAnsi="Times New Roman;sans-serif"/>
          <w:b/>
          <w:color w:val="2D3243"/>
          <w:sz w:val="20"/>
        </w:rPr>
        <w:t>Proxy Statement Pursuant to Section 14(a) of the</w:t>
      </w:r>
    </w:p>
    <w:p>
      <w:pPr>
        <w:pStyle w:val="TextBody"/>
        <w:bidi w:val="0"/>
        <w:spacing w:lineRule="auto" w:line="288" w:before="0" w:after="0"/>
        <w:jc w:val="center"/>
        <w:rPr>
          <w:rFonts w:ascii="Times New Roman;sans-serif" w:hAnsi="Times New Roman;sans-serif"/>
          <w:b/>
          <w:color w:val="2D3243"/>
          <w:sz w:val="20"/>
        </w:rPr>
      </w:pPr>
      <w:r>
        <w:rPr>
          <w:rFonts w:ascii="Times New Roman;sans-serif" w:hAnsi="Times New Roman;sans-serif"/>
          <w:b/>
          <w:color w:val="2D3243"/>
          <w:sz w:val="20"/>
        </w:rPr>
        <w:t>Securities Exchange Act of 1934</w:t>
      </w:r>
    </w:p>
    <w:p>
      <w:pPr>
        <w:pStyle w:val="TextBody"/>
        <w:bidi w:val="0"/>
        <w:spacing w:lineRule="auto" w:line="288" w:before="0" w:after="0"/>
        <w:jc w:val="center"/>
        <w:rPr>
          <w:rFonts w:ascii="Times New Roman;sans-serif" w:hAnsi="Times New Roman;sans-serif"/>
          <w:b/>
          <w:color w:val="2D3243"/>
          <w:sz w:val="20"/>
        </w:rPr>
      </w:pPr>
      <w:r>
        <w:rPr>
          <w:rFonts w:ascii="Times New Roman;sans-serif" w:hAnsi="Times New Roman;sans-serif"/>
          <w:b/>
          <w:color w:val="2D3243"/>
          <w:sz w:val="20"/>
        </w:rPr>
        <w:t>(Amendment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Times New Roman;sans-serif" w:hAnsi="Times New Roman;sans-serif"/>
          <w:b w:val="false"/>
          <w:color w:val="2D3243"/>
          <w:sz w:val="18"/>
        </w:rPr>
      </w:pPr>
      <w:r>
        <w:rPr>
          <w:rFonts w:ascii="Times New Roman;sans-serif" w:hAnsi="Times New Roman;sans-serif"/>
          <w:b w:val="false"/>
          <w:color w:val="2D3243"/>
          <w:sz w:val="18"/>
        </w:rPr>
        <w:t>Filed by the Registrant   ☒</w:t>
      </w:r>
    </w:p>
    <w:p>
      <w:pPr>
        <w:pStyle w:val="TextBody"/>
        <w:bidi w:val="0"/>
        <w:spacing w:lineRule="auto" w:line="384" w:before="0" w:after="180"/>
        <w:jc w:val="left"/>
        <w:rPr>
          <w:rFonts w:ascii="Times New Roman;sans-serif" w:hAnsi="Times New Roman;sans-serif"/>
          <w:b w:val="false"/>
          <w:color w:val="2D3243"/>
          <w:sz w:val="18"/>
        </w:rPr>
      </w:pPr>
      <w:r>
        <w:rPr>
          <w:rFonts w:ascii="Times New Roman;sans-serif" w:hAnsi="Times New Roman;sans-serif"/>
          <w:b w:val="false"/>
          <w:color w:val="2D3243"/>
          <w:sz w:val="18"/>
        </w:rPr>
        <w:t>Filed by a Party other than the Registrant   ☐</w:t>
      </w:r>
    </w:p>
    <w:p>
      <w:pPr>
        <w:pStyle w:val="TextBody"/>
        <w:bidi w:val="0"/>
        <w:spacing w:lineRule="auto" w:line="384" w:before="0" w:after="180"/>
        <w:jc w:val="left"/>
        <w:rPr>
          <w:rFonts w:ascii="Times New Roman;sans-serif" w:hAnsi="Times New Roman;sans-serif"/>
          <w:b w:val="false"/>
          <w:color w:val="2D3243"/>
          <w:sz w:val="18"/>
        </w:rPr>
      </w:pPr>
      <w:r>
        <w:rPr>
          <w:rFonts w:ascii="Times New Roman;sans-serif" w:hAnsi="Times New Roman;sans-serif"/>
          <w:b w:val="false"/>
          <w:color w:val="2D3243"/>
          <w:sz w:val="18"/>
        </w:rPr>
        <w:t>Check the appropriate box:</w:t>
      </w:r>
    </w:p>
    <w:tbl>
      <w:tblPr>
        <w:tblW w:w="69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9"/>
        <w:gridCol w:w="1839"/>
        <w:gridCol w:w="2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imes New Roman;sans-serif" w:hAnsi="Times New Roman;sans-serif"/>
                <w:b w:val="false"/>
                <w:color w:val="2D3243"/>
                <w:sz w:val="18"/>
              </w:rPr>
            </w:pPr>
            <w:r>
              <w:rPr>
                <w:rFonts w:ascii="Times New Roman;sans-serif" w:hAnsi="Times New Roman;sans-serif"/>
                <w:b w:val="false"/>
                <w:color w:val="2D3243"/>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imes New Roman;sans-serif" w:hAnsi="Times New Roman;sans-serif"/>
                <w:b/>
                <w:color w:val="2D3243"/>
                <w:sz w:val="18"/>
              </w:rPr>
            </w:pPr>
            <w:r>
              <w:rPr>
                <w:rFonts w:ascii="Times New Roman;sans-serif" w:hAnsi="Times New Roman;sans-serif"/>
                <w:b/>
                <w:color w:val="2D3243"/>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imes New Roman;sans-serif" w:hAnsi="Times New Roman;sans-serif"/>
                <w:b w:val="false"/>
                <w:color w:val="2D3243"/>
                <w:sz w:val="18"/>
              </w:rPr>
            </w:pPr>
            <w:r>
              <w:rPr>
                <w:rFonts w:ascii="Times New Roman;sans-serif" w:hAnsi="Times New Roman;sans-serif"/>
                <w:b w:val="false"/>
                <w:color w:val="2D3243"/>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imes New Roman;sans-serif" w:hAnsi="Times New Roman;sans-serif"/>
                <w:b w:val="false"/>
                <w:color w:val="2D3243"/>
                <w:sz w:val="18"/>
              </w:rPr>
            </w:pPr>
            <w:r>
              <w:rPr>
                <w:rFonts w:ascii="Times New Roman;sans-serif" w:hAnsi="Times New Roman;sans-serif"/>
                <w:b w:val="false"/>
                <w:color w:val="2D3243"/>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imes New Roman;sans-serif" w:hAnsi="Times New Roman;sans-serif"/>
                <w:b w:val="false"/>
                <w:color w:val="2D3243"/>
                <w:sz w:val="18"/>
              </w:rPr>
            </w:pPr>
            <w:r>
              <w:rPr>
                <w:rFonts w:ascii="Times New Roman;sans-serif" w:hAnsi="Times New Roman;sans-serif"/>
                <w:b w:val="false"/>
                <w:color w:val="2D3243"/>
                <w:sz w:val="18"/>
              </w:rPr>
              <w:t>Soliciting Material under §240.14a-12</w:t>
            </w:r>
          </w:p>
        </w:tc>
      </w:tr>
    </w:tbl>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Five9, Inc.</w:t>
      </w:r>
    </w:p>
    <w:p>
      <w:pPr>
        <w:pStyle w:val="TextBody"/>
        <w:bidi w:val="0"/>
        <w:spacing w:lineRule="auto" w:line="384" w:before="0" w:after="0"/>
        <w:jc w:val="center"/>
        <w:rPr>
          <w:rFonts w:ascii="Times New Roman;sans-serif" w:hAnsi="Times New Roman;sans-serif"/>
          <w:b/>
          <w:color w:val="2D3243"/>
          <w:sz w:val="18"/>
        </w:rPr>
      </w:pPr>
      <w:r>
        <w:rPr>
          <w:rFonts w:ascii="Times New Roman;sans-serif" w:hAnsi="Times New Roman;sans-serif"/>
          <w:b/>
          <w:color w:val="2D3243"/>
          <w:sz w:val="18"/>
        </w:rPr>
        <w:t>(Name of Registrant as Specified In Its Charter)</w:t>
      </w:r>
    </w:p>
    <w:p>
      <w:pPr>
        <w:pStyle w:val="TextBody"/>
        <w:bidi w:val="0"/>
        <w:spacing w:lineRule="auto" w:line="384" w:before="0" w:after="0"/>
        <w:jc w:val="center"/>
        <w:rPr>
          <w:rFonts w:ascii="Times New Roman;sans-serif" w:hAnsi="Times New Roman;sans-serif"/>
          <w:b/>
          <w:color w:val="2D3243"/>
          <w:sz w:val="18"/>
        </w:rPr>
      </w:pPr>
      <w:r>
        <w:rPr>
          <w:rFonts w:ascii="Times New Roman;sans-serif" w:hAnsi="Times New Roman;sans-serif"/>
          <w:b/>
          <w:color w:val="2D3243"/>
          <w:sz w:val="18"/>
        </w:rPr>
        <w:t>n/a</w:t>
      </w:r>
    </w:p>
    <w:p>
      <w:pPr>
        <w:pStyle w:val="TextBody"/>
        <w:bidi w:val="0"/>
        <w:spacing w:lineRule="auto" w:line="384" w:before="0" w:after="0"/>
        <w:jc w:val="center"/>
        <w:rPr>
          <w:rFonts w:ascii="Times New Roman;sans-serif" w:hAnsi="Times New Roman;sans-serif"/>
          <w:b/>
          <w:color w:val="2D3243"/>
          <w:sz w:val="18"/>
        </w:rPr>
      </w:pPr>
      <w:r>
        <w:rPr>
          <w:rFonts w:ascii="Times New Roman;sans-serif" w:hAnsi="Times New Roman;sans-serif"/>
          <w:b/>
          <w:color w:val="2D3243"/>
          <w:sz w:val="18"/>
        </w:rPr>
        <w:t>(Name of Person(s) Filing Proxy Statement, if other than the Registrant)</w:t>
      </w:r>
    </w:p>
    <w:p>
      <w:pPr>
        <w:pStyle w:val="TextBody"/>
        <w:bidi w:val="0"/>
        <w:spacing w:lineRule="auto" w:line="288" w:before="0" w:after="240"/>
        <w:jc w:val="left"/>
        <w:rPr>
          <w:rFonts w:ascii="Times New Roman;sans-serif" w:hAnsi="Times New Roman;sans-serif"/>
          <w:b/>
          <w:color w:val="2D3243"/>
          <w:sz w:val="20"/>
        </w:rPr>
      </w:pPr>
      <w:r>
        <w:rPr>
          <w:rFonts w:ascii="Times New Roman;sans-serif" w:hAnsi="Times New Roman;sans-serif"/>
          <w:b/>
          <w:color w:val="2D3243"/>
          <w:sz w:val="20"/>
        </w:rPr>
        <w:t>Payment of Filing Fee (Check the appropriate box):</w:t>
      </w:r>
    </w:p>
    <w:tbl>
      <w:tblPr>
        <w:tblW w:w="801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80"/>
        <w:gridCol w:w="780"/>
        <w:gridCol w:w="780"/>
        <w:gridCol w:w="780"/>
        <w:gridCol w:w="780"/>
        <w:gridCol w:w="780"/>
        <w:gridCol w:w="780"/>
        <w:gridCol w:w="780"/>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9"/>
            <w:tcBorders/>
            <w:tcMar>
              <w:top w:w="0" w:type="dxa"/>
              <w:left w:w="0" w:type="dxa"/>
              <w:bottom w:w="0" w:type="dxa"/>
              <w:right w:w="0" w:type="dxa"/>
            </w:tcMar>
            <w:vAlign w:val="center"/>
          </w:tcPr>
          <w:p>
            <w:pPr>
              <w:pStyle w:val="TableContents"/>
              <w:bidi w:val="0"/>
              <w:spacing w:lineRule="auto" w:line="384" w:before="0" w:after="180"/>
              <w:jc w:val="left"/>
              <w:rPr>
                <w:rFonts w:ascii="Times New Roman;sans-serif" w:hAnsi="Times New Roman;sans-serif"/>
                <w:b w:val="false"/>
                <w:color w:val="2D3243"/>
                <w:sz w:val="18"/>
              </w:rPr>
            </w:pPr>
            <w:r>
              <w:rPr>
                <w:rFonts w:ascii="Times New Roman;sans-serif" w:hAnsi="Times New Roman;sans-serif"/>
                <w:b w:val="false"/>
                <w:color w:val="2D3243"/>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9"/>
            <w:tcBorders/>
            <w:tcMar>
              <w:top w:w="0" w:type="dxa"/>
              <w:left w:w="0" w:type="dxa"/>
              <w:bottom w:w="0" w:type="dxa"/>
              <w:right w:w="0" w:type="dxa"/>
            </w:tcMar>
            <w:vAlign w:val="center"/>
          </w:tcPr>
          <w:p>
            <w:pPr>
              <w:pStyle w:val="TableContents"/>
              <w:bidi w:val="0"/>
              <w:spacing w:lineRule="auto" w:line="384" w:before="0" w:after="180"/>
              <w:jc w:val="left"/>
              <w:rPr>
                <w:rFonts w:ascii="Times New Roman;sans-serif" w:hAnsi="Times New Roman;sans-serif"/>
                <w:b w:val="false"/>
                <w:color w:val="2D3243"/>
                <w:sz w:val="18"/>
              </w:rPr>
            </w:pPr>
            <w:r>
              <w:rPr>
                <w:rFonts w:ascii="Times New Roman;sans-serif" w:hAnsi="Times New Roman;sans-serif"/>
                <w:b w:val="false"/>
                <w:color w:val="2D3243"/>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9"/>
            <w:tcBorders/>
            <w:tcMar>
              <w:top w:w="0" w:type="dxa"/>
              <w:left w:w="0" w:type="dxa"/>
              <w:bottom w:w="0" w:type="dxa"/>
              <w:right w:w="0" w:type="dxa"/>
            </w:tcMar>
            <w:vAlign w:val="center"/>
          </w:tcPr>
          <w:p>
            <w:pPr>
              <w:pStyle w:val="TableContents"/>
              <w:bidi w:val="0"/>
              <w:spacing w:lineRule="auto" w:line="384" w:before="0" w:after="180"/>
              <w:jc w:val="left"/>
              <w:rPr>
                <w:rFonts w:ascii="Times New Roman;sans-serif" w:hAnsi="Times New Roman;sans-serif"/>
                <w:b w:val="false"/>
                <w:color w:val="2D3243"/>
                <w:sz w:val="18"/>
              </w:rPr>
            </w:pPr>
            <w:r>
              <w:rPr>
                <w:rFonts w:ascii="Times New Roman;sans-serif" w:hAnsi="Times New Roman;sans-serif"/>
                <w:b w:val="false"/>
                <w:color w:val="2D3243"/>
                <w:sz w:val="18"/>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283"/>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865" w:type="dxa"/>
        <w:jc w:val="left"/>
        <w:tblInd w:w="0" w:type="dxa"/>
        <w:tblLayout w:type="fixed"/>
        <w:tblCellMar>
          <w:top w:w="28" w:type="dxa"/>
          <w:left w:w="28" w:type="dxa"/>
          <w:bottom w:w="28" w:type="dxa"/>
          <w:right w:w="28" w:type="dxa"/>
        </w:tblCellMar>
      </w:tblPr>
      <w:tblGrid>
        <w:gridCol w:w="504"/>
        <w:gridCol w:w="443"/>
        <w:gridCol w:w="444"/>
        <w:gridCol w:w="1602"/>
        <w:gridCol w:w="1602"/>
        <w:gridCol w:w="2270"/>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266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819150" cy="266700"/>
                          </a:xfrm>
                          <a:prstGeom prst="rect">
                            <a:avLst/>
                          </a:prstGeom>
                        </pic:spPr>
                      </pic:pic>
                    </a:graphicData>
                  </a:graphic>
                </wp:inline>
              </w:drawing>
            </w:r>
          </w:p>
        </w:tc>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FIVE9, INC., 3001 Bishop Drive, Suite 350, San Ramon, CA 94583</w:t>
            </w:r>
          </w:p>
        </w:tc>
      </w:tr>
    </w:tbl>
    <w:p>
      <w:pPr>
        <w:pStyle w:val="TextBody"/>
        <w:bidi w:val="0"/>
        <w:spacing w:before="0" w:after="180"/>
        <w:jc w:val="right"/>
        <w:rPr/>
      </w:pPr>
      <w:r>
        <w:rPr/>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Dear Stockholder:</w:t>
      </w:r>
    </w:p>
    <w:p>
      <w:pPr>
        <w:pStyle w:val="TextBody"/>
        <w:bidi w:val="0"/>
        <w:spacing w:lineRule="auto" w:line="384" w:before="0" w:after="180"/>
        <w:jc w:val="left"/>
        <w:rPr/>
      </w:pPr>
      <w:r>
        <w:rPr>
          <w:rFonts w:ascii="Tenorite;sans-serif" w:hAnsi="Tenorite;sans-serif"/>
          <w:b w:val="false"/>
          <w:color w:val="2D3243"/>
          <w:sz w:val="18"/>
        </w:rPr>
        <w:t xml:space="preserve">I am pleased to invite you to attend Five9, Inc.’s 2025 Annual Meeting of Stockholders, to be held on May 21, 2025 (the “Annual Meeting”). The meeting will begin promptly at 8:30 a.m. Pacific Daylight Time virtually over the Internet at </w:t>
      </w:r>
      <w:r>
        <w:rPr>
          <w:rFonts w:ascii="Tenorite;sans-serif" w:hAnsi="Tenorite;sans-serif"/>
          <w:b w:val="false"/>
          <w:color w:val="2A4CF9"/>
          <w:sz w:val="18"/>
        </w:rPr>
        <w:t>www.virtualshareholdermeeting.com/FIVN2025</w:t>
      </w:r>
      <w:r>
        <w:rPr>
          <w:rFonts w:ascii="Tenorite;sans-serif" w:hAnsi="Tenorite;sans-serif"/>
          <w:b w:val="false"/>
          <w:color w:val="2D3243"/>
          <w:sz w:val="18"/>
        </w:rPr>
        <w:t xml:space="preserve">. Instructions on how to participate in the Annual Meeting and demonstrate proof of stock ownership are posted at </w:t>
      </w:r>
      <w:r>
        <w:rPr>
          <w:rFonts w:ascii="Tenorite;sans-serif" w:hAnsi="Tenorite;sans-serif"/>
          <w:b w:val="false"/>
          <w:color w:val="2A4CF9"/>
          <w:sz w:val="18"/>
        </w:rPr>
        <w:t>www.proxyvote.com</w:t>
      </w:r>
      <w:r>
        <w:rPr>
          <w:rFonts w:ascii="Tenorite;sans-serif" w:hAnsi="Tenorite;sans-serif"/>
          <w:b w:val="false"/>
          <w:color w:val="2D3243"/>
          <w:sz w:val="18"/>
        </w:rPr>
        <w:t xml:space="preserve">. The webcast of the Annual Meeting will be archived for one year after the date of the Annual Meeting at </w:t>
      </w:r>
      <w:r>
        <w:rPr>
          <w:rFonts w:ascii="Tenorite;sans-serif" w:hAnsi="Tenorite;sans-serif"/>
          <w:b w:val="false"/>
          <w:color w:val="2A4CF9"/>
          <w:sz w:val="18"/>
        </w:rPr>
        <w:t>www.virtualshareholdermeeting.com/FIVN2025</w:t>
      </w:r>
      <w:r>
        <w:rPr>
          <w:rFonts w:ascii="Tenorite;sans-serif" w:hAnsi="Tenorite;sans-serif"/>
          <w:b w:val="false"/>
          <w:color w:val="2D3243"/>
          <w:sz w:val="18"/>
        </w:rPr>
        <w:t>. Only stockholders who held stock at the close of business on the record date, March 25, 2025, may vote at the Annual Meeting, including any adjournment or postponement thereof.</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Details regarding the business to be conducted at the Annual Meeting are more fully described in the accompanying Notice of Annual Meeting of Stockholders and Proxy Statement. We encourage you to carefully read these materials, as well as our Annual Report to Stockholders.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are acting under a U.S. Securities and Exchange Commission rule that allows companies to furnish their proxy materials over the Internet rather than in paper form. Consequently, stockholders will not receive paper copies of our proxy materials unless they specifically request them. We believe that this delivery process will reduce our environmental impact and lower the costs of printing and distributing our proxy materials. We believe that we can achieve these benefits with no impact on our stockholders’ timely access to this important information. </w:t>
      </w:r>
    </w:p>
    <w:p>
      <w:pPr>
        <w:pStyle w:val="TextBody"/>
        <w:bidi w:val="0"/>
        <w:spacing w:lineRule="auto" w:line="384" w:before="0" w:after="180"/>
        <w:jc w:val="left"/>
        <w:rPr/>
      </w:pPr>
      <w:r>
        <w:rPr>
          <w:rFonts w:ascii="Tenorite;sans-serif" w:hAnsi="Tenorite;sans-serif"/>
          <w:b w:val="false"/>
          <w:color w:val="2D3243"/>
          <w:sz w:val="18"/>
        </w:rPr>
        <w:t>Your vote is important. Whether or not you expect to attend the Annual Meeting, please vote by telephone or the Internet according to the instructions on your proxy card or in the Notice of Internet Availability of Proxy Materials (the “Notice”) or request a proxy card from us by email at</w:t>
      </w:r>
      <w:r>
        <w:rPr>
          <w:color w:val="2A4CF9"/>
        </w:rPr>
        <w:t xml:space="preserve"> </w:t>
      </w:r>
      <w:r>
        <w:rPr>
          <w:rFonts w:ascii="Tenorite;sans-serif" w:hAnsi="Tenorite;sans-serif"/>
          <w:b w:val="false"/>
          <w:color w:val="2A4CF9"/>
          <w:sz w:val="18"/>
        </w:rPr>
        <w:t>ir@five9.com</w:t>
      </w:r>
      <w:r>
        <w:rPr>
          <w:color w:val="2D3243"/>
        </w:rPr>
        <w:t xml:space="preserve"> </w:t>
      </w:r>
      <w:r>
        <w:rPr>
          <w:rFonts w:ascii="Tenorite;sans-serif" w:hAnsi="Tenorite;sans-serif"/>
          <w:b w:val="false"/>
          <w:color w:val="2D3243"/>
          <w:sz w:val="18"/>
        </w:rPr>
        <w:t>and complete, date, sign, and return your proxy card in the envelope provided, in each such case, as soon as possible to ensure that your shares will be represented and voted at the Annual Meeting. Even if you have voted by proxy, you may still vote through our virtual web conference if you attend the Annual Meeting.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On behalf of the Board of Directors, thank you for your continued interest and support.</w:t>
      </w:r>
    </w:p>
    <w:p>
      <w:pPr>
        <w:pStyle w:val="TextBody"/>
        <w:bidi w:val="0"/>
        <w:spacing w:lineRule="auto" w:line="384" w:before="0" w:after="120"/>
        <w:jc w:val="left"/>
        <w:rPr>
          <w:rFonts w:ascii="Tenorite;sans-serif" w:hAnsi="Tenorite;sans-serif"/>
          <w:b w:val="false"/>
          <w:color w:val="2D3243"/>
          <w:sz w:val="18"/>
        </w:rPr>
      </w:pPr>
      <w:r>
        <w:rPr>
          <w:rFonts w:ascii="Tenorite;sans-serif" w:hAnsi="Tenorite;sans-serif"/>
          <w:b w:val="false"/>
          <w:color w:val="2D3243"/>
          <w:sz w:val="18"/>
        </w:rPr>
        <w:t xml:space="preserve">Sincerely, </w:t>
      </w:r>
    </w:p>
    <w:tbl>
      <w:tblPr>
        <w:tblW w:w="7136" w:type="dxa"/>
        <w:jc w:val="left"/>
        <w:tblInd w:w="0" w:type="dxa"/>
        <w:tblLayout w:type="fixed"/>
        <w:tblCellMar>
          <w:top w:w="28" w:type="dxa"/>
          <w:left w:w="28" w:type="dxa"/>
          <w:bottom w:w="28" w:type="dxa"/>
          <w:right w:w="28" w:type="dxa"/>
        </w:tblCellMar>
      </w:tblPr>
      <w:tblGrid>
        <w:gridCol w:w="761"/>
        <w:gridCol w:w="668"/>
        <w:gridCol w:w="670"/>
        <w:gridCol w:w="109"/>
        <w:gridCol w:w="109"/>
        <w:gridCol w:w="109"/>
        <w:gridCol w:w="1379"/>
        <w:gridCol w:w="1379"/>
        <w:gridCol w:w="1952"/>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2009775" cy="8191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009775" cy="819150"/>
                          </a:xfrm>
                          <a:prstGeom prst="rect">
                            <a:avLst/>
                          </a:prstGeom>
                        </pic:spPr>
                      </pic:pic>
                    </a:graphicData>
                  </a:graphic>
                </wp:inline>
              </w:drawing>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color w:val="2D3243"/>
                <w:sz w:val="18"/>
              </w:rPr>
            </w:pPr>
            <w:r>
              <w:rPr>
                <w:rFonts w:ascii="Tenorite;sans-serif" w:hAnsi="Tenorite;sans-serif"/>
                <w:b/>
                <w:color w:val="2D3243"/>
                <w:sz w:val="18"/>
              </w:rPr>
              <w:t>Michael Burkland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Chairman of the Board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San Ramon,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April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865" w:type="dxa"/>
        <w:jc w:val="left"/>
        <w:tblInd w:w="0" w:type="dxa"/>
        <w:tblLayout w:type="fixed"/>
        <w:tblCellMar>
          <w:top w:w="28" w:type="dxa"/>
          <w:left w:w="28" w:type="dxa"/>
          <w:bottom w:w="28" w:type="dxa"/>
          <w:right w:w="28" w:type="dxa"/>
        </w:tblCellMar>
      </w:tblPr>
      <w:tblGrid>
        <w:gridCol w:w="504"/>
        <w:gridCol w:w="443"/>
        <w:gridCol w:w="444"/>
        <w:gridCol w:w="1602"/>
        <w:gridCol w:w="1602"/>
        <w:gridCol w:w="2270"/>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2667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819150" cy="266700"/>
                          </a:xfrm>
                          <a:prstGeom prst="rect">
                            <a:avLst/>
                          </a:prstGeom>
                        </pic:spPr>
                      </pic:pic>
                    </a:graphicData>
                  </a:graphic>
                </wp:inline>
              </w:drawing>
            </w:r>
          </w:p>
        </w:tc>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FIVE9, INC., 3001 Bishop Drive, Suite 350, San Ramon, CA 94583</w:t>
            </w:r>
          </w:p>
        </w:tc>
      </w:tr>
    </w:tbl>
    <w:tbl>
      <w:tblPr>
        <w:tblW w:w="10205" w:type="dxa"/>
        <w:jc w:val="left"/>
        <w:tblInd w:w="0" w:type="dxa"/>
        <w:tblLayout w:type="fixed"/>
        <w:tblCellMar>
          <w:top w:w="28" w:type="dxa"/>
          <w:left w:w="28" w:type="dxa"/>
          <w:bottom w:w="28" w:type="dxa"/>
          <w:right w:w="28" w:type="dxa"/>
        </w:tblCellMar>
      </w:tblPr>
      <w:tblGrid>
        <w:gridCol w:w="1004"/>
        <w:gridCol w:w="516"/>
        <w:gridCol w:w="516"/>
        <w:gridCol w:w="516"/>
        <w:gridCol w:w="516"/>
        <w:gridCol w:w="521"/>
        <w:gridCol w:w="109"/>
        <w:gridCol w:w="109"/>
        <w:gridCol w:w="109"/>
        <w:gridCol w:w="927"/>
        <w:gridCol w:w="927"/>
        <w:gridCol w:w="927"/>
        <w:gridCol w:w="1025"/>
        <w:gridCol w:w="1025"/>
        <w:gridCol w:w="1458"/>
      </w:tblGrid>
      <w:tr>
        <w:trPr/>
        <w:tc>
          <w:tcPr>
            <w:tcW w:w="10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9"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Tenorite;sans-serif" w:hAnsi="Tenorite;sans-serif"/>
                <w:b w:val="false"/>
                <w:color w:val="2D3243"/>
                <w:sz w:val="64"/>
              </w:rPr>
            </w:pPr>
            <w:r>
              <w:rPr>
                <w:rFonts w:ascii="Tenorite;sans-serif" w:hAnsi="Tenorite;sans-serif"/>
                <w:b w:val="false"/>
                <w:color w:val="2D3243"/>
                <w:sz w:val="64"/>
              </w:rPr>
              <w:t>To Our Stockholders</w:t>
            </w:r>
          </w:p>
        </w:tc>
      </w:tr>
      <w:tr>
        <w:trPr/>
        <w:tc>
          <w:tcPr>
            <w:tcW w:w="3589" w:type="dxa"/>
            <w:gridSpan w:val="6"/>
            <w:vMerge w:val="restart"/>
            <w:tcBorders/>
            <w:tcMar>
              <w:top w:w="0" w:type="dxa"/>
              <w:left w:w="0" w:type="dxa"/>
              <w:bottom w:w="0" w:type="dxa"/>
              <w:right w:w="0" w:type="dxa"/>
            </w:tcMar>
            <w:vAlign w:val="center"/>
          </w:tcPr>
          <w:p>
            <w:pPr>
              <w:pStyle w:val="TableContents"/>
              <w:bidi w:val="0"/>
              <w:spacing w:lineRule="auto" w:line="336" w:before="0" w:after="240"/>
              <w:jc w:val="left"/>
              <w:rPr>
                <w:rFonts w:ascii="Tenorite;sans-serif" w:hAnsi="Tenorite;sans-serif"/>
                <w:b/>
                <w:color w:val="2D3243"/>
                <w:sz w:val="22"/>
              </w:rPr>
            </w:pPr>
            <w:r>
              <w:rPr>
                <w:rFonts w:ascii="Tenorite;sans-serif" w:hAnsi="Tenorite;sans-serif"/>
                <w:b/>
                <w:color w:val="2D3243"/>
                <w:sz w:val="22"/>
              </w:rPr>
              <w:t>Notice Of Annual Meeting Of Stockholders</w:t>
            </w:r>
          </w:p>
          <w:p>
            <w:pPr>
              <w:pStyle w:val="TableContents"/>
              <w:bidi w:val="0"/>
              <w:spacing w:lineRule="auto" w:line="384" w:before="0" w:after="0"/>
              <w:jc w:val="left"/>
              <w:rPr>
                <w:rFonts w:ascii="Tenorite;sans-serif" w:hAnsi="Tenorite;sans-serif"/>
                <w:b/>
                <w:color w:val="2D3243"/>
                <w:sz w:val="18"/>
              </w:rPr>
            </w:pPr>
            <w:r>
              <w:rPr>
                <w:rFonts w:ascii="Tenorite;sans-serif" w:hAnsi="Tenorite;sans-serif"/>
                <w:b/>
                <w:color w:val="2D3243"/>
                <w:sz w:val="18"/>
              </w:rPr>
              <w:t>Date:</w:t>
            </w:r>
          </w:p>
          <w:p>
            <w:pPr>
              <w:pStyle w:val="TableContents"/>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May 21, 2025</w:t>
            </w:r>
          </w:p>
          <w:p>
            <w:pPr>
              <w:pStyle w:val="TableContents"/>
              <w:bidi w:val="0"/>
              <w:spacing w:lineRule="auto" w:line="384" w:before="0" w:after="0"/>
              <w:jc w:val="left"/>
              <w:rPr>
                <w:rFonts w:ascii="Tenorite;sans-serif" w:hAnsi="Tenorite;sans-serif"/>
                <w:b/>
                <w:color w:val="2D3243"/>
                <w:sz w:val="18"/>
              </w:rPr>
            </w:pPr>
            <w:r>
              <w:rPr>
                <w:rFonts w:ascii="Tenorite;sans-serif" w:hAnsi="Tenorite;sans-serif"/>
                <w:b/>
                <w:color w:val="2D3243"/>
                <w:sz w:val="18"/>
              </w:rPr>
              <w:t>Time:</w:t>
            </w:r>
          </w:p>
          <w:p>
            <w:pPr>
              <w:pStyle w:val="TableContents"/>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8:30 a.m. PDT</w:t>
            </w:r>
          </w:p>
          <w:p>
            <w:pPr>
              <w:pStyle w:val="TableContents"/>
              <w:bidi w:val="0"/>
              <w:spacing w:lineRule="auto" w:line="384" w:before="0" w:after="0"/>
              <w:jc w:val="left"/>
              <w:rPr>
                <w:rFonts w:ascii="Tenorite;sans-serif" w:hAnsi="Tenorite;sans-serif"/>
                <w:b/>
                <w:color w:val="2D3243"/>
                <w:sz w:val="18"/>
              </w:rPr>
            </w:pPr>
            <w:r>
              <w:rPr>
                <w:rFonts w:ascii="Tenorite;sans-serif" w:hAnsi="Tenorite;sans-serif"/>
                <w:b/>
                <w:color w:val="2D3243"/>
                <w:sz w:val="18"/>
              </w:rPr>
              <w:t xml:space="preserve">Place: </w:t>
            </w:r>
          </w:p>
          <w:p>
            <w:pPr>
              <w:pStyle w:val="TableContents"/>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Virtually over the 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9" w:type="dxa"/>
            <w:gridSpan w:val="6"/>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val="false"/>
                <w:color w:val="2D3243"/>
                <w:sz w:val="18"/>
              </w:rPr>
              <w:t xml:space="preserve">You are cordially invited to attend the 2025 Annual Meeting of Stockholders (the “Annual Meeting”) of Five9, Inc., a Delaware corporation (the “Company”). The meeting will be held on May 21, 2025 at 8:30 a.m. Pacific Daylight Time virtually over the Internet at </w:t>
            </w:r>
            <w:r>
              <w:rPr>
                <w:rFonts w:ascii="Tenorite;sans-serif" w:hAnsi="Tenorite;sans-serif"/>
                <w:b w:val="false"/>
                <w:color w:val="2A4CF9"/>
                <w:sz w:val="18"/>
              </w:rPr>
              <w:t>www.virtualshareholdermeeting.com/FIVN2025</w:t>
            </w:r>
            <w:r>
              <w:rPr>
                <w:color w:val="2D3243"/>
              </w:rPr>
              <w:t xml:space="preserve"> </w:t>
            </w:r>
            <w:r>
              <w:rPr>
                <w:rFonts w:ascii="Tenorite;sans-serif" w:hAnsi="Tenorite;sans-serif"/>
                <w:b w:val="false"/>
                <w:color w:val="2D3243"/>
                <w:sz w:val="18"/>
              </w:rPr>
              <w:t>for the following purposes:</w:t>
            </w:r>
          </w:p>
        </w:tc>
      </w:tr>
      <w:tr>
        <w:trPr/>
        <w:tc>
          <w:tcPr>
            <w:tcW w:w="35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2A4CF9"/>
            </w:tcBorders>
            <w:tcMar>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266700" cy="266700"/>
                          </a:xfrm>
                          <a:prstGeom prst="rect">
                            <a:avLst/>
                          </a:prstGeom>
                        </pic:spPr>
                      </pic:pic>
                    </a:graphicData>
                  </a:graphic>
                </wp:inline>
              </w:drawing>
            </w:r>
          </w:p>
        </w:tc>
        <w:tc>
          <w:tcPr>
            <w:tcW w:w="3508" w:type="dxa"/>
            <w:gridSpan w:val="3"/>
            <w:tcBorders>
              <w:top w:val="single" w:sz="8" w:space="0" w:color="2A4CF9"/>
            </w:tcBorders>
            <w:tcMar>
              <w:top w:w="30" w:type="dxa"/>
              <w:left w:w="0" w:type="dxa"/>
              <w:bottom w:w="0" w:type="dxa"/>
              <w:right w:w="0" w:type="dxa"/>
            </w:tcMar>
            <w:vAlign w:val="center"/>
          </w:tcPr>
          <w:p>
            <w:pPr>
              <w:pStyle w:val="TableContents"/>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To elect the three (3) members of the Board of Directors identified in the accompanying proxy statement to serve until the 2028 annual meeting of stockholders of the Company or until their successors have been duly elected and qualified.</w:t>
            </w:r>
          </w:p>
        </w:tc>
      </w:tr>
      <w:tr>
        <w:trPr/>
        <w:tc>
          <w:tcPr>
            <w:tcW w:w="35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266700" cy="266700"/>
                          </a:xfrm>
                          <a:prstGeom prst="rect">
                            <a:avLst/>
                          </a:prstGeom>
                        </pic:spPr>
                      </pic:pic>
                    </a:graphicData>
                  </a:graphic>
                </wp:inline>
              </w:drawing>
            </w:r>
          </w:p>
        </w:tc>
        <w:tc>
          <w:tcPr>
            <w:tcW w:w="3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To hold a non-binding, advisory vote to approve named executive officer compensation.</w:t>
            </w:r>
          </w:p>
        </w:tc>
      </w:tr>
      <w:tr>
        <w:trPr/>
        <w:tc>
          <w:tcPr>
            <w:tcW w:w="35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266700" cy="266700"/>
                          </a:xfrm>
                          <a:prstGeom prst="rect">
                            <a:avLst/>
                          </a:prstGeom>
                        </pic:spPr>
                      </pic:pic>
                    </a:graphicData>
                  </a:graphic>
                </wp:inline>
              </w:drawing>
            </w:r>
          </w:p>
        </w:tc>
        <w:tc>
          <w:tcPr>
            <w:tcW w:w="3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To ratify the appointment by the Audit Committee of the Board of Directors of KPMG LLP as the Company’s independent registered public accounting firm for the fiscal year ending December 31, 2025.</w:t>
            </w:r>
          </w:p>
        </w:tc>
      </w:tr>
      <w:tr>
        <w:trPr/>
        <w:tc>
          <w:tcPr>
            <w:tcW w:w="35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1" w:type="dxa"/>
            <w:gridSpan w:val="3"/>
            <w:tcBorders/>
            <w:vAlign w:val="center"/>
          </w:tcPr>
          <w:p>
            <w:pPr>
              <w:pStyle w:val="TableContents"/>
              <w:bidi w:val="0"/>
              <w:spacing w:before="0" w:after="283"/>
              <w:jc w:val="left"/>
              <w:rPr>
                <w:sz w:val="4"/>
                <w:szCs w:val="4"/>
              </w:rPr>
            </w:pPr>
            <w:r>
              <w:rPr>
                <w:sz w:val="4"/>
                <w:szCs w:val="4"/>
              </w:rPr>
            </w:r>
          </w:p>
        </w:tc>
        <w:tc>
          <w:tcPr>
            <w:tcW w:w="3508"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vMerge w:val="restart"/>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266700" cy="266700"/>
                          </a:xfrm>
                          <a:prstGeom prst="rect">
                            <a:avLst/>
                          </a:prstGeom>
                        </pic:spPr>
                      </pic:pic>
                    </a:graphicData>
                  </a:graphic>
                </wp:inline>
              </w:drawing>
            </w:r>
          </w:p>
        </w:tc>
        <w:tc>
          <w:tcPr>
            <w:tcW w:w="35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To transact any other business properly brought before the meeting or any adjournment thereof.</w:t>
            </w:r>
          </w:p>
        </w:tc>
      </w:tr>
      <w:tr>
        <w:trPr/>
        <w:tc>
          <w:tcPr>
            <w:tcW w:w="358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4"/>
              </w:rPr>
            </w:pPr>
            <w:r>
              <w:rPr>
                <w:rFonts w:ascii="Tenorite;sans-serif" w:hAnsi="Tenorite;sans-serif"/>
                <w:b/>
                <w:color w:val="2A4CF9"/>
                <w:sz w:val="24"/>
              </w:rPr>
              <w:t xml:space="preserve">YOUR VOTE </w:t>
            </w:r>
          </w:p>
          <w:p>
            <w:pPr>
              <w:pStyle w:val="TableContents"/>
              <w:bidi w:val="0"/>
              <w:spacing w:lineRule="auto" w:line="288" w:before="0" w:after="240"/>
              <w:jc w:val="left"/>
              <w:rPr>
                <w:rFonts w:ascii="Tenorite;sans-serif" w:hAnsi="Tenorite;sans-serif"/>
                <w:b/>
                <w:color w:val="2A4CF9"/>
                <w:sz w:val="24"/>
              </w:rPr>
            </w:pPr>
            <w:r>
              <w:rPr>
                <w:rFonts w:ascii="Tenorite;sans-serif" w:hAnsi="Tenorite;sans-serif"/>
                <w:b/>
                <w:color w:val="2A4CF9"/>
                <w:sz w:val="24"/>
              </w:rPr>
              <w:t>IS IMPORTANT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35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2A4CF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3"/>
            <w:tcBorders>
              <w:top w:val="single" w:sz="8" w:space="0" w:color="2A4CF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6"/>
            <w:vMerge w:val="restart"/>
            <w:tcBorders/>
            <w:tcMar>
              <w:top w:w="0" w:type="dxa"/>
              <w:left w:w="0" w:type="dxa"/>
              <w:bottom w:w="0" w:type="dxa"/>
              <w:right w:w="0" w:type="dxa"/>
            </w:tcMar>
            <w:vAlign w:val="center"/>
          </w:tcPr>
          <w:p>
            <w:pPr>
              <w:pStyle w:val="TableContents"/>
              <w:bidi w:val="0"/>
              <w:spacing w:lineRule="auto" w:line="336" w:before="0" w:after="240"/>
              <w:jc w:val="left"/>
              <w:rPr/>
            </w:pPr>
            <w:r>
              <w:rPr>
                <w:rFonts w:ascii="Tenorite;sans-serif" w:hAnsi="Tenorite;sans-serif"/>
                <w:b/>
                <w:color w:val="2D3243"/>
                <w:sz w:val="22"/>
              </w:rPr>
              <w:t>Please vote by telephone or Internet as set forth in the Notice, or request a proxy card from us by email at</w:t>
            </w:r>
            <w:r>
              <w:rPr>
                <w:color w:val="0336FF"/>
              </w:rPr>
              <w:t xml:space="preserve"> </w:t>
            </w:r>
            <w:r>
              <w:rPr>
                <w:rFonts w:ascii="Tenorite;sans-serif" w:hAnsi="Tenorite;sans-serif"/>
                <w:b/>
                <w:color w:val="0336FF"/>
                <w:sz w:val="22"/>
              </w:rPr>
              <w:t>ir@five9.com</w:t>
            </w:r>
            <w:r>
              <w:rPr>
                <w:color w:val="2D3243"/>
              </w:rPr>
              <w:t xml:space="preserve"> </w:t>
            </w:r>
            <w:r>
              <w:rPr>
                <w:rFonts w:ascii="Tenorite;sans-serif" w:hAnsi="Tenorite;sans-serif"/>
                <w:b/>
                <w:color w:val="2D3243"/>
                <w:sz w:val="22"/>
              </w:rPr>
              <w:t>and date and sign the proxy card and return it at your earliest convenience in the postage-prepaid return envelope provided so that your shares may be voted.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9" w:type="dxa"/>
            <w:gridSpan w:val="6"/>
            <w:vMerge w:val="restart"/>
            <w:tcBorders/>
            <w:tcMar>
              <w:top w:w="0" w:type="dxa"/>
              <w:left w:w="0" w:type="dxa"/>
              <w:bottom w:w="0" w:type="dxa"/>
              <w:right w:w="0" w:type="dxa"/>
            </w:tcMar>
            <w:vAlign w:val="center"/>
          </w:tcPr>
          <w:p>
            <w:pPr>
              <w:pStyle w:val="TableContents"/>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These items of business are more fully described in the Proxy Statement.</w:t>
            </w:r>
          </w:p>
          <w:p>
            <w:pPr>
              <w:pStyle w:val="TableContents"/>
              <w:bidi w:val="0"/>
              <w:spacing w:lineRule="auto" w:line="384" w:before="0" w:after="60"/>
              <w:jc w:val="left"/>
              <w:rPr/>
            </w:pPr>
            <w:r>
              <w:rPr>
                <w:rFonts w:ascii="Tenorite;sans-serif" w:hAnsi="Tenorite;sans-serif"/>
                <w:b w:val="false"/>
                <w:color w:val="2D3243"/>
                <w:sz w:val="18"/>
              </w:rPr>
              <w:t xml:space="preserve">The record date for the 2025 Annual Meeting is March 25, 2025. Only stockholders of record at the close of business on that date may vote at the meeting or any adjournment thereof. The Company’s list of stockholders as of March 25, 2025 will be available for inspection for 10 days prior to the Annual Meeting. If you want to inspect the stockholder list, email our Investor Relations department at </w:t>
            </w:r>
            <w:r>
              <w:rPr>
                <w:rFonts w:ascii="Tenorite;sans-serif" w:hAnsi="Tenorite;sans-serif"/>
                <w:b w:val="false"/>
                <w:color w:val="2A4CF9"/>
                <w:sz w:val="18"/>
              </w:rPr>
              <w:t>ir@five9.com</w:t>
            </w:r>
            <w:r>
              <w:rPr>
                <w:rFonts w:ascii="Tenorite;sans-serif" w:hAnsi="Tenorite;sans-serif"/>
                <w:b w:val="false"/>
                <w:color w:val="2D3243"/>
                <w:sz w:val="18"/>
              </w:rPr>
              <w:t>. In addition, the list of stockholders will also be available during the Annual Meeting through the meeting website for those stockholders who choose to attend.</w:t>
            </w:r>
          </w:p>
          <w:p>
            <w:pPr>
              <w:pStyle w:val="TableContents"/>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By Order of the Board of Directors</w:t>
            </w:r>
          </w:p>
          <w:p>
            <w:pPr>
              <w:pStyle w:val="TableContents"/>
              <w:bidi w:val="0"/>
              <w:spacing w:before="0" w:after="180"/>
              <w:jc w:val="left"/>
              <w:rPr/>
            </w:pPr>
            <w:r>
              <w:rPr/>
              <w:drawing>
                <wp:inline distT="0" distB="0" distL="0" distR="0">
                  <wp:extent cx="1971675" cy="4572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971675" cy="457200"/>
                          </a:xfrm>
                          <a:prstGeom prst="rect">
                            <a:avLst/>
                          </a:prstGeom>
                        </pic:spPr>
                      </pic:pic>
                    </a:graphicData>
                  </a:graphic>
                </wp:inline>
              </w:drawing>
            </w:r>
          </w:p>
          <w:p>
            <w:pPr>
              <w:pStyle w:val="TableContents"/>
              <w:bidi w:val="0"/>
              <w:spacing w:lineRule="auto" w:line="384" w:before="0" w:after="0"/>
              <w:jc w:val="left"/>
              <w:rPr>
                <w:rFonts w:ascii="Tenorite;sans-serif" w:hAnsi="Tenorite;sans-serif"/>
                <w:b/>
                <w:color w:val="2D3243"/>
                <w:sz w:val="18"/>
              </w:rPr>
            </w:pPr>
            <w:r>
              <w:rPr>
                <w:rFonts w:ascii="Tenorite;sans-serif" w:hAnsi="Tenorite;sans-serif"/>
                <w:b/>
                <w:color w:val="2D3243"/>
                <w:sz w:val="18"/>
              </w:rPr>
              <w:t xml:space="preserve">Tiffany N. Meriweather </w:t>
            </w:r>
          </w:p>
          <w:p>
            <w:pPr>
              <w:pStyle w:val="TableContents"/>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Chief Legal Officer and Corporate Secretary</w:t>
            </w:r>
          </w:p>
          <w:p>
            <w:pPr>
              <w:pStyle w:val="TableContents"/>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San Ramon, California</w:t>
            </w:r>
          </w:p>
          <w:p>
            <w:pPr>
              <w:pStyle w:val="TableContents"/>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April 7, 2025</w:t>
            </w:r>
          </w:p>
        </w:tc>
      </w:tr>
      <w:tr>
        <w:trPr/>
        <w:tc>
          <w:tcPr>
            <w:tcW w:w="35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9" w:type="dxa"/>
            <w:gridSpan w:val="6"/>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84" w:before="0" w:after="180"/>
        <w:jc w:val="left"/>
        <w:rPr/>
      </w:pPr>
      <w:r>
        <w:rPr>
          <w:rFonts w:ascii="Tenorite;sans-serif" w:hAnsi="Tenorite;sans-serif"/>
          <w:b/>
          <w:color w:val="2D3243"/>
          <w:sz w:val="18"/>
        </w:rPr>
        <w:t xml:space="preserve">Whether or not you expect to attend the Annual Meeting, please vote over the telephone or the Internet as instructed in these materials, or request a proxy card from the Company by email at ir@five9.com and complete, date, sign and return the proxy card in the envelope provided, in each case as promptly as possible in order to ensure your representation at the Annual Meeting. A return envelope (which is postage prepaid if mailed in the United States) will be provided to you if you email a request for a proxy card to the Company at </w:t>
      </w:r>
      <w:r>
        <w:rPr>
          <w:rFonts w:ascii="Tenorite;sans-serif" w:hAnsi="Tenorite;sans-serif"/>
          <w:b/>
          <w:color w:val="2A4CF9"/>
          <w:sz w:val="18"/>
        </w:rPr>
        <w:t>ir@five9.com</w:t>
      </w:r>
      <w:r>
        <w:rPr>
          <w:rFonts w:ascii="Tenorite;sans-serif" w:hAnsi="Tenorite;sans-serif"/>
          <w:b/>
          <w:color w:val="2D3243"/>
          <w:sz w:val="18"/>
        </w:rPr>
        <w:t>. Even if you have voted by proxy, you may still vote through our virtual web conference if you attend the Annual Meeting. Please note, however, that if your shares are held of record by a broker, bank or other nominee and you wish to vote at the Annual Meeting, you must obtain a proxy issued in your name from that record holder.</w:t>
      </w:r>
    </w:p>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IMPORTANT NOTICE REGARDING THE AVAILABILITY OF PROXY MATERIALS FOR THE STOCKHOLDER MEETING TO BE HELD ON MAY 21, 2025.</w:t>
      </w:r>
    </w:p>
    <w:p>
      <w:pPr>
        <w:pStyle w:val="TextBody"/>
        <w:bidi w:val="0"/>
        <w:spacing w:lineRule="auto" w:line="384" w:before="0" w:after="180"/>
        <w:jc w:val="left"/>
        <w:rPr/>
      </w:pPr>
      <w:r>
        <w:rPr>
          <w:rFonts w:ascii="Tenorite;sans-serif" w:hAnsi="Tenorite;sans-serif"/>
          <w:b w:val="false"/>
          <w:color w:val="2D3243"/>
          <w:sz w:val="18"/>
        </w:rPr>
        <w:t xml:space="preserve">The Proxy Statement and Annual Report to Stockholders are available at </w:t>
      </w:r>
      <w:r>
        <w:rPr>
          <w:rFonts w:ascii="Tenorite;sans-serif" w:hAnsi="Tenorite;sans-serif"/>
          <w:b w:val="false"/>
          <w:color w:val="2A4CF9"/>
          <w:sz w:val="18"/>
        </w:rPr>
        <w:t>http://investors.five9.com and www.proxyvote.com</w:t>
      </w:r>
      <w:r>
        <w:rPr>
          <w:rFonts w:ascii="Tenorite;sans-serif" w:hAnsi="Tenorite;sans-serif"/>
          <w:b w:val="false"/>
          <w:color w:val="2D3243"/>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3"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Table of Contents</w:t>
      </w:r>
    </w:p>
    <w:tbl>
      <w:tblPr>
        <w:tblW w:w="10205" w:type="dxa"/>
        <w:jc w:val="left"/>
        <w:tblInd w:w="0" w:type="dxa"/>
        <w:tblLayout w:type="fixed"/>
        <w:tblCellMar>
          <w:top w:w="28" w:type="dxa"/>
          <w:left w:w="28" w:type="dxa"/>
          <w:bottom w:w="28" w:type="dxa"/>
          <w:right w:w="28" w:type="dxa"/>
        </w:tblCellMar>
      </w:tblPr>
      <w:tblGrid>
        <w:gridCol w:w="3475"/>
        <w:gridCol w:w="3024"/>
        <w:gridCol w:w="3043"/>
        <w:gridCol w:w="193"/>
        <w:gridCol w:w="193"/>
        <w:gridCol w:w="277"/>
      </w:tblGrid>
      <w:tr>
        <w:trPr/>
        <w:tc>
          <w:tcPr>
            <w:tcW w:w="3475"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9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384" w:before="0" w:after="283"/>
              <w:jc w:val="right"/>
              <w:rPr>
                <w:rFonts w:ascii="Tenorite;sans-serif" w:hAnsi="Tenorite;sans-serif"/>
                <w:b/>
                <w:color w:val="2D3243"/>
                <w:sz w:val="18"/>
              </w:rPr>
            </w:pPr>
            <w:r>
              <w:rPr>
                <w:rFonts w:ascii="Tenorite;sans-serif" w:hAnsi="Tenorite;sans-serif"/>
                <w:b/>
                <w:color w:val="2D3243"/>
                <w:sz w:val="18"/>
              </w:rPr>
              <w:t>Page</w:t>
            </w:r>
          </w:p>
        </w:tc>
      </w:tr>
      <w:tr>
        <w:trPr/>
        <w:tc>
          <w:tcPr>
            <w:tcW w:w="9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6">
              <w:r>
                <w:rPr>
                  <w:rStyle w:val="InternetLink"/>
                  <w:rFonts w:ascii="Tenorite;sans-serif" w:hAnsi="Tenorite;sans-serif"/>
                  <w:b/>
                  <w:strike w:val="false"/>
                  <w:dstrike w:val="false"/>
                  <w:color w:val="000000"/>
                  <w:sz w:val="18"/>
                  <w:u w:val="none"/>
                  <w:effect w:val="none"/>
                </w:rPr>
                <w:t xml:space="preserve">Questions And Answers About This Proxy Material And Voting </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6">
              <w:r>
                <w:rPr>
                  <w:rStyle w:val="InternetLink"/>
                  <w:rFonts w:ascii="Tenorite;sans-serif" w:hAnsi="Tenorite;sans-serif"/>
                  <w:b/>
                  <w:strike w:val="false"/>
                  <w:dstrike w:val="false"/>
                  <w:color w:val="000000"/>
                  <w:sz w:val="18"/>
                  <w:u w:val="none"/>
                  <w:effect w:val="none"/>
                </w:rPr>
                <w:t>1</w:t>
              </w:r>
            </w:hyperlink>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9">
              <w:r>
                <w:rPr>
                  <w:rStyle w:val="InternetLink"/>
                  <w:rFonts w:ascii="Tenorite;sans-serif" w:hAnsi="Tenorite;sans-serif"/>
                  <w:b/>
                  <w:strike w:val="false"/>
                  <w:dstrike w:val="false"/>
                  <w:color w:val="2A4CF9"/>
                  <w:sz w:val="18"/>
                  <w:u w:val="none"/>
                  <w:effect w:val="none"/>
                </w:rPr>
                <w:t xml:space="preserve">Proposal No. 1 – Election Of Directors </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9">
              <w:r>
                <w:rPr>
                  <w:rStyle w:val="InternetLink"/>
                  <w:rFonts w:ascii="Tenorite;sans-serif" w:hAnsi="Tenorite;sans-serif"/>
                  <w:b/>
                  <w:strike w:val="false"/>
                  <w:dstrike w:val="false"/>
                  <w:color w:val="2A4CF9"/>
                  <w:sz w:val="18"/>
                  <w:u w:val="none"/>
                  <w:effect w:val="none"/>
                </w:rPr>
                <w:t>8</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22">
              <w:r>
                <w:rPr>
                  <w:rStyle w:val="InternetLink"/>
                  <w:rFonts w:ascii="Tenorite;sans-serif" w:hAnsi="Tenorite;sans-serif"/>
                  <w:b/>
                  <w:strike w:val="false"/>
                  <w:dstrike w:val="false"/>
                  <w:color w:val="2D3243"/>
                  <w:sz w:val="18"/>
                  <w:u w:val="none"/>
                  <w:effect w:val="none"/>
                </w:rPr>
                <w:t>Information Regarding the Nominees</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22">
              <w:r>
                <w:rPr>
                  <w:rStyle w:val="InternetLink"/>
                  <w:rFonts w:ascii="Tenorite;sans-serif" w:hAnsi="Tenorite;sans-serif"/>
                  <w:b/>
                  <w:strike w:val="false"/>
                  <w:dstrike w:val="false"/>
                  <w:color w:val="2D3243"/>
                  <w:sz w:val="18"/>
                  <w:u w:val="none"/>
                  <w:effect w:val="none"/>
                </w:rPr>
                <w:t>9</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25">
              <w:r>
                <w:rPr>
                  <w:rStyle w:val="InternetLink"/>
                  <w:rFonts w:ascii="Tenorite;sans-serif" w:hAnsi="Tenorite;sans-serif"/>
                  <w:b/>
                  <w:strike w:val="false"/>
                  <w:dstrike w:val="false"/>
                  <w:color w:val="2D3243"/>
                  <w:sz w:val="18"/>
                  <w:u w:val="none"/>
                  <w:effect w:val="none"/>
                </w:rPr>
                <w:t>Information Regarding Other Directors Continuing in Office</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25">
              <w:r>
                <w:rPr>
                  <w:rStyle w:val="InternetLink"/>
                  <w:rFonts w:ascii="Tenorite;sans-serif" w:hAnsi="Tenorite;sans-serif"/>
                  <w:b/>
                  <w:strike w:val="false"/>
                  <w:dstrike w:val="false"/>
                  <w:color w:val="2D3243"/>
                  <w:sz w:val="18"/>
                  <w:u w:val="none"/>
                  <w:effect w:val="none"/>
                </w:rPr>
                <w:t>12</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28">
              <w:r>
                <w:rPr>
                  <w:rStyle w:val="InternetLink"/>
                  <w:rFonts w:ascii="Tenorite;sans-serif" w:hAnsi="Tenorite;sans-serif"/>
                  <w:b/>
                  <w:strike w:val="false"/>
                  <w:dstrike w:val="false"/>
                  <w:color w:val="000000"/>
                  <w:sz w:val="18"/>
                  <w:u w:val="none"/>
                  <w:effect w:val="none"/>
                </w:rPr>
                <w:t>Corporate Governance</w:t>
              </w:r>
            </w:hyperlink>
            <w:r>
              <w:rPr>
                <w:color w:val="2A4CF9"/>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28">
              <w:r>
                <w:rPr>
                  <w:rStyle w:val="InternetLink"/>
                  <w:rFonts w:ascii="Tenorite;sans-serif" w:hAnsi="Tenorite;sans-serif"/>
                  <w:b/>
                  <w:strike w:val="false"/>
                  <w:dstrike w:val="false"/>
                  <w:color w:val="000000"/>
                  <w:sz w:val="18"/>
                  <w:u w:val="none"/>
                  <w:effect w:val="none"/>
                </w:rPr>
                <w:t>16</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31">
              <w:r>
                <w:rPr>
                  <w:rStyle w:val="InternetLink"/>
                  <w:rFonts w:ascii="Tenorite;sans-serif" w:hAnsi="Tenorite;sans-serif"/>
                  <w:b/>
                  <w:strike w:val="false"/>
                  <w:dstrike w:val="false"/>
                  <w:color w:val="2D3243"/>
                  <w:sz w:val="18"/>
                  <w:u w:val="none"/>
                  <w:effect w:val="none"/>
                </w:rPr>
                <w:t>Director Independence</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31">
              <w:r>
                <w:rPr>
                  <w:rStyle w:val="InternetLink"/>
                  <w:rFonts w:ascii="Tenorite;sans-serif" w:hAnsi="Tenorite;sans-serif"/>
                  <w:b/>
                  <w:strike w:val="false"/>
                  <w:dstrike w:val="false"/>
                  <w:color w:val="2D3243"/>
                  <w:sz w:val="18"/>
                  <w:u w:val="none"/>
                  <w:effect w:val="none"/>
                </w:rPr>
                <w:t>16</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34">
              <w:r>
                <w:rPr>
                  <w:rStyle w:val="InternetLink"/>
                  <w:rFonts w:ascii="Tenorite;sans-serif" w:hAnsi="Tenorite;sans-serif"/>
                  <w:b/>
                  <w:strike w:val="false"/>
                  <w:dstrike w:val="false"/>
                  <w:color w:val="2D3243"/>
                  <w:sz w:val="18"/>
                  <w:u w:val="none"/>
                  <w:effect w:val="none"/>
                </w:rPr>
                <w:t>Board Leadership Structure</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34">
              <w:r>
                <w:rPr>
                  <w:rStyle w:val="InternetLink"/>
                  <w:rFonts w:ascii="Tenorite;sans-serif" w:hAnsi="Tenorite;sans-serif"/>
                  <w:b/>
                  <w:strike w:val="false"/>
                  <w:dstrike w:val="false"/>
                  <w:color w:val="2D3243"/>
                  <w:sz w:val="18"/>
                  <w:u w:val="none"/>
                  <w:effect w:val="none"/>
                </w:rPr>
                <w:t>16</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37">
              <w:r>
                <w:rPr>
                  <w:rStyle w:val="InternetLink"/>
                  <w:rFonts w:ascii="Tenorite;sans-serif" w:hAnsi="Tenorite;sans-serif"/>
                  <w:b/>
                  <w:strike w:val="false"/>
                  <w:dstrike w:val="false"/>
                  <w:color w:val="2D3243"/>
                  <w:sz w:val="18"/>
                  <w:u w:val="none"/>
                  <w:effect w:val="none"/>
                </w:rPr>
                <w:t>Risk Oversight Management</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37">
              <w:r>
                <w:rPr>
                  <w:rStyle w:val="InternetLink"/>
                  <w:rFonts w:ascii="Tenorite;sans-serif" w:hAnsi="Tenorite;sans-serif"/>
                  <w:b/>
                  <w:strike w:val="false"/>
                  <w:dstrike w:val="false"/>
                  <w:color w:val="2D3243"/>
                  <w:sz w:val="18"/>
                  <w:u w:val="none"/>
                  <w:effect w:val="none"/>
                </w:rPr>
                <w:t>16</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40">
              <w:r>
                <w:rPr>
                  <w:rStyle w:val="InternetLink"/>
                  <w:rFonts w:ascii="Tenorite;sans-serif" w:hAnsi="Tenorite;sans-serif"/>
                  <w:b/>
                  <w:strike w:val="false"/>
                  <w:dstrike w:val="false"/>
                  <w:color w:val="2D3243"/>
                  <w:sz w:val="18"/>
                  <w:u w:val="none"/>
                  <w:effect w:val="none"/>
                </w:rPr>
                <w:t>Information Regarding the Board of Directors and its Committees</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40">
              <w:r>
                <w:rPr>
                  <w:rStyle w:val="InternetLink"/>
                  <w:rFonts w:ascii="Tenorite;sans-serif" w:hAnsi="Tenorite;sans-serif"/>
                  <w:b/>
                  <w:strike w:val="false"/>
                  <w:dstrike w:val="false"/>
                  <w:color w:val="2D3243"/>
                  <w:sz w:val="18"/>
                  <w:u w:val="none"/>
                  <w:effect w:val="none"/>
                </w:rPr>
                <w:t>17</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43">
              <w:r>
                <w:rPr>
                  <w:rStyle w:val="InternetLink"/>
                  <w:rFonts w:ascii="Tenorite;sans-serif" w:hAnsi="Tenorite;sans-serif"/>
                  <w:b/>
                  <w:strike w:val="false"/>
                  <w:dstrike w:val="false"/>
                  <w:color w:val="2D3243"/>
                  <w:sz w:val="18"/>
                  <w:u w:val="none"/>
                  <w:effect w:val="none"/>
                </w:rPr>
                <w:t>Audit Committee</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43">
              <w:r>
                <w:rPr>
                  <w:rStyle w:val="InternetLink"/>
                  <w:rFonts w:ascii="Tenorite;sans-serif" w:hAnsi="Tenorite;sans-serif"/>
                  <w:b/>
                  <w:strike w:val="false"/>
                  <w:dstrike w:val="false"/>
                  <w:color w:val="2D3243"/>
                  <w:sz w:val="18"/>
                  <w:u w:val="none"/>
                  <w:effect w:val="none"/>
                </w:rPr>
                <w:t>17</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46">
              <w:r>
                <w:rPr>
                  <w:rStyle w:val="InternetLink"/>
                  <w:rFonts w:ascii="Tenorite;sans-serif" w:hAnsi="Tenorite;sans-serif"/>
                  <w:b/>
                  <w:strike w:val="false"/>
                  <w:dstrike w:val="false"/>
                  <w:color w:val="2D3243"/>
                  <w:sz w:val="18"/>
                  <w:u w:val="none"/>
                  <w:effect w:val="none"/>
                </w:rPr>
                <w:t>Compensation Committee</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46">
              <w:r>
                <w:rPr>
                  <w:rStyle w:val="InternetLink"/>
                  <w:rFonts w:ascii="Tenorite;sans-serif" w:hAnsi="Tenorite;sans-serif"/>
                  <w:b/>
                  <w:strike w:val="false"/>
                  <w:dstrike w:val="false"/>
                  <w:color w:val="2D3243"/>
                  <w:sz w:val="18"/>
                  <w:u w:val="none"/>
                  <w:effect w:val="none"/>
                </w:rPr>
                <w:t>19</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49">
              <w:r>
                <w:rPr>
                  <w:rStyle w:val="InternetLink"/>
                  <w:rFonts w:ascii="Tenorite;sans-serif" w:hAnsi="Tenorite;sans-serif"/>
                  <w:b/>
                  <w:strike w:val="false"/>
                  <w:dstrike w:val="false"/>
                  <w:color w:val="2D3243"/>
                  <w:sz w:val="18"/>
                  <w:u w:val="none"/>
                  <w:effect w:val="none"/>
                </w:rPr>
                <w:t>Compensation Committee Interlocks and Insider Participation</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49">
              <w:r>
                <w:rPr>
                  <w:rStyle w:val="InternetLink"/>
                  <w:rFonts w:ascii="Tenorite;sans-serif" w:hAnsi="Tenorite;sans-serif"/>
                  <w:b/>
                  <w:strike w:val="false"/>
                  <w:dstrike w:val="false"/>
                  <w:color w:val="2D3243"/>
                  <w:sz w:val="18"/>
                  <w:u w:val="none"/>
                  <w:effect w:val="none"/>
                </w:rPr>
                <w:t>19</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52">
              <w:r>
                <w:rPr>
                  <w:rStyle w:val="InternetLink"/>
                  <w:rFonts w:ascii="Tenorite;sans-serif" w:hAnsi="Tenorite;sans-serif"/>
                  <w:b/>
                  <w:strike w:val="false"/>
                  <w:dstrike w:val="false"/>
                  <w:color w:val="2D3243"/>
                  <w:sz w:val="18"/>
                  <w:u w:val="none"/>
                  <w:effect w:val="none"/>
                </w:rPr>
                <w:t>Nominating and Governance Committee</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52">
              <w:r>
                <w:rPr>
                  <w:rStyle w:val="InternetLink"/>
                  <w:rFonts w:ascii="Tenorite;sans-serif" w:hAnsi="Tenorite;sans-serif"/>
                  <w:b/>
                  <w:strike w:val="false"/>
                  <w:dstrike w:val="false"/>
                  <w:color w:val="2D3243"/>
                  <w:sz w:val="18"/>
                  <w:u w:val="none"/>
                  <w:effect w:val="none"/>
                </w:rPr>
                <w:t>19</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58">
              <w:r>
                <w:rPr>
                  <w:rStyle w:val="InternetLink"/>
                  <w:rFonts w:ascii="Tenorite;sans-serif" w:hAnsi="Tenorite;sans-serif"/>
                  <w:b/>
                  <w:strike w:val="false"/>
                  <w:dstrike w:val="false"/>
                  <w:color w:val="2D3243"/>
                  <w:sz w:val="18"/>
                  <w:u w:val="none"/>
                  <w:effect w:val="none"/>
                </w:rPr>
                <w:t>Meetings of the Board of Directors</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58">
              <w:r>
                <w:rPr>
                  <w:rStyle w:val="InternetLink"/>
                  <w:rFonts w:ascii="Tenorite;sans-serif" w:hAnsi="Tenorite;sans-serif"/>
                  <w:b/>
                  <w:strike w:val="false"/>
                  <w:dstrike w:val="false"/>
                  <w:color w:val="2D3243"/>
                  <w:sz w:val="18"/>
                  <w:u w:val="none"/>
                  <w:effect w:val="none"/>
                </w:rPr>
                <w:t>23</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61">
              <w:r>
                <w:rPr>
                  <w:rStyle w:val="InternetLink"/>
                  <w:rFonts w:ascii="Tenorite;sans-serif" w:hAnsi="Tenorite;sans-serif"/>
                  <w:b/>
                  <w:strike w:val="false"/>
                  <w:dstrike w:val="false"/>
                  <w:color w:val="2D3243"/>
                  <w:sz w:val="18"/>
                  <w:u w:val="none"/>
                  <w:effect w:val="none"/>
                </w:rPr>
                <w:t>Executive Leadership Team and Board</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61">
              <w:r>
                <w:rPr>
                  <w:rStyle w:val="InternetLink"/>
                  <w:rFonts w:ascii="Tenorite;sans-serif" w:hAnsi="Tenorite;sans-serif"/>
                  <w:b/>
                  <w:strike w:val="false"/>
                  <w:dstrike w:val="false"/>
                  <w:color w:val="2D3243"/>
                  <w:sz w:val="18"/>
                  <w:u w:val="none"/>
                  <w:effect w:val="none"/>
                </w:rPr>
                <w:t>24</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67">
              <w:r>
                <w:rPr>
                  <w:rStyle w:val="InternetLink"/>
                  <w:rFonts w:ascii="Tenorite;sans-serif" w:hAnsi="Tenorite;sans-serif"/>
                  <w:b/>
                  <w:strike w:val="false"/>
                  <w:dstrike w:val="false"/>
                  <w:color w:val="2D3243"/>
                  <w:sz w:val="18"/>
                  <w:u w:val="none"/>
                  <w:effect w:val="none"/>
                </w:rPr>
                <w:t>Code of Business Conduct</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67">
              <w:r>
                <w:rPr>
                  <w:rStyle w:val="InternetLink"/>
                  <w:rFonts w:ascii="Tenorite;sans-serif" w:hAnsi="Tenorite;sans-serif"/>
                  <w:b/>
                  <w:strike w:val="false"/>
                  <w:dstrike w:val="false"/>
                  <w:color w:val="2D3243"/>
                  <w:sz w:val="18"/>
                  <w:u w:val="none"/>
                  <w:effect w:val="none"/>
                </w:rPr>
                <w:t>25</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70">
              <w:r>
                <w:rPr>
                  <w:rStyle w:val="InternetLink"/>
                  <w:rFonts w:ascii="Tenorite;sans-serif" w:hAnsi="Tenorite;sans-serif"/>
                  <w:b/>
                  <w:strike w:val="false"/>
                  <w:dstrike w:val="false"/>
                  <w:color w:val="2D3243"/>
                  <w:sz w:val="18"/>
                  <w:u w:val="none"/>
                  <w:effect w:val="none"/>
                </w:rPr>
                <w:t>Stockholder Communications with the Board of Directors</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70">
              <w:r>
                <w:rPr>
                  <w:rStyle w:val="InternetLink"/>
                  <w:rFonts w:ascii="Tenorite;sans-serif" w:hAnsi="Tenorite;sans-serif"/>
                  <w:b/>
                  <w:strike w:val="false"/>
                  <w:dstrike w:val="false"/>
                  <w:color w:val="2D3243"/>
                  <w:sz w:val="18"/>
                  <w:u w:val="none"/>
                  <w:effect w:val="none"/>
                </w:rPr>
                <w:t>25</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73">
              <w:r>
                <w:rPr>
                  <w:rStyle w:val="InternetLink"/>
                  <w:rFonts w:ascii="Tenorite;sans-serif" w:hAnsi="Tenorite;sans-serif"/>
                  <w:b/>
                  <w:strike w:val="false"/>
                  <w:dstrike w:val="false"/>
                  <w:color w:val="2D3243"/>
                  <w:sz w:val="18"/>
                  <w:u w:val="none"/>
                  <w:effect w:val="none"/>
                </w:rPr>
                <w:t>Attendance at Annual Meeting of Stockholders by the Board of Directors</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73">
              <w:r>
                <w:rPr>
                  <w:rStyle w:val="InternetLink"/>
                  <w:rFonts w:ascii="Tenorite;sans-serif" w:hAnsi="Tenorite;sans-serif"/>
                  <w:b/>
                  <w:strike w:val="false"/>
                  <w:dstrike w:val="false"/>
                  <w:color w:val="2D3243"/>
                  <w:sz w:val="18"/>
                  <w:u w:val="none"/>
                  <w:effect w:val="none"/>
                </w:rPr>
                <w:t>26</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76">
              <w:r>
                <w:rPr>
                  <w:rStyle w:val="InternetLink"/>
                  <w:rFonts w:ascii="Tenorite;sans-serif" w:hAnsi="Tenorite;sans-serif"/>
                  <w:b/>
                  <w:strike w:val="false"/>
                  <w:dstrike w:val="false"/>
                  <w:color w:val="2D3243"/>
                  <w:sz w:val="18"/>
                  <w:u w:val="none"/>
                  <w:effect w:val="none"/>
                </w:rPr>
                <w:t>Director Compensation</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76">
              <w:r>
                <w:rPr>
                  <w:rStyle w:val="InternetLink"/>
                  <w:rFonts w:ascii="Tenorite;sans-serif" w:hAnsi="Tenorite;sans-serif"/>
                  <w:b/>
                  <w:strike w:val="false"/>
                  <w:dstrike w:val="false"/>
                  <w:color w:val="2D3243"/>
                  <w:sz w:val="18"/>
                  <w:u w:val="none"/>
                  <w:effect w:val="none"/>
                </w:rPr>
                <w:t>26</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79">
              <w:r>
                <w:rPr>
                  <w:rStyle w:val="InternetLink"/>
                  <w:rFonts w:ascii="Tenorite;sans-serif" w:hAnsi="Tenorite;sans-serif"/>
                  <w:b/>
                  <w:strike w:val="false"/>
                  <w:dstrike w:val="false"/>
                  <w:color w:val="2D3243"/>
                  <w:sz w:val="18"/>
                  <w:u w:val="none"/>
                  <w:effect w:val="none"/>
                </w:rPr>
                <w:t>Employees and Human Capital Resources</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79">
              <w:r>
                <w:rPr>
                  <w:rStyle w:val="InternetLink"/>
                  <w:rFonts w:ascii="Tenorite;sans-serif" w:hAnsi="Tenorite;sans-serif"/>
                  <w:b/>
                  <w:strike w:val="false"/>
                  <w:dstrike w:val="false"/>
                  <w:color w:val="2D3243"/>
                  <w:sz w:val="18"/>
                  <w:u w:val="none"/>
                  <w:effect w:val="none"/>
                </w:rPr>
                <w:t>28</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82">
              <w:r>
                <w:rPr>
                  <w:rStyle w:val="InternetLink"/>
                  <w:rFonts w:ascii="Tenorite;sans-serif" w:hAnsi="Tenorite;sans-serif"/>
                  <w:b/>
                  <w:strike w:val="false"/>
                  <w:dstrike w:val="false"/>
                  <w:color w:val="2A4CF9"/>
                  <w:sz w:val="18"/>
                  <w:u w:val="none"/>
                  <w:effect w:val="none"/>
                </w:rPr>
                <w:t>Proposal No. 2 – Advisory Vote to Approve Named Executive Officer Compensation</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82">
              <w:r>
                <w:rPr>
                  <w:rStyle w:val="InternetLink"/>
                  <w:rFonts w:ascii="Tenorite;sans-serif" w:hAnsi="Tenorite;sans-serif"/>
                  <w:b/>
                  <w:strike w:val="false"/>
                  <w:dstrike w:val="false"/>
                  <w:color w:val="2A4CF9"/>
                  <w:sz w:val="18"/>
                  <w:u w:val="none"/>
                  <w:effect w:val="none"/>
                </w:rPr>
                <w:t>32</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88">
              <w:r>
                <w:rPr>
                  <w:rStyle w:val="InternetLink"/>
                  <w:rFonts w:ascii="Tenorite;sans-serif" w:hAnsi="Tenorite;sans-serif"/>
                  <w:b/>
                  <w:strike w:val="false"/>
                  <w:dstrike w:val="false"/>
                  <w:color w:val="000080"/>
                  <w:sz w:val="18"/>
                  <w:u w:val="single"/>
                  <w:effect w:val="none"/>
                </w:rPr>
                <w:t xml:space="preserve">Proposal No. </w:t>
              </w:r>
            </w:hyperlink>
            <w:hyperlink w:anchor="i8bf414a3427b4e569da780bdc4ac5731_88">
              <w:r>
                <w:rPr>
                  <w:rStyle w:val="InternetLink"/>
                  <w:rFonts w:ascii="Tenorite;sans-serif" w:hAnsi="Tenorite;sans-serif"/>
                  <w:b/>
                  <w:strike w:val="false"/>
                  <w:dstrike w:val="false"/>
                  <w:color w:val="000080"/>
                  <w:sz w:val="18"/>
                  <w:u w:val="single"/>
                  <w:effect w:val="none"/>
                </w:rPr>
                <w:t>3</w:t>
              </w:r>
            </w:hyperlink>
            <w:hyperlink w:anchor="i8bf414a3427b4e569da780bdc4ac5731_88">
              <w:r>
                <w:rPr>
                  <w:rStyle w:val="InternetLink"/>
                  <w:rFonts w:ascii="Tenorite;sans-serif" w:hAnsi="Tenorite;sans-serif"/>
                  <w:b/>
                  <w:strike w:val="false"/>
                  <w:dstrike w:val="false"/>
                  <w:color w:val="000080"/>
                  <w:sz w:val="18"/>
                  <w:u w:val="single"/>
                  <w:effect w:val="none"/>
                </w:rPr>
                <w:t xml:space="preserve"> – Ratification Of Appointment Of Independent Registered Public Accounting Firm</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88">
              <w:r>
                <w:rPr>
                  <w:rStyle w:val="InternetLink"/>
                  <w:rFonts w:ascii="Tenorite;sans-serif" w:hAnsi="Tenorite;sans-serif"/>
                  <w:b/>
                  <w:strike w:val="false"/>
                  <w:dstrike w:val="false"/>
                  <w:color w:val="2A4CF9"/>
                  <w:sz w:val="18"/>
                  <w:u w:val="none"/>
                  <w:effect w:val="none"/>
                </w:rPr>
                <w:t>33</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91">
              <w:r>
                <w:rPr>
                  <w:rStyle w:val="InternetLink"/>
                  <w:rFonts w:ascii="Tenorite;sans-serif" w:hAnsi="Tenorite;sans-serif"/>
                  <w:b/>
                  <w:strike w:val="false"/>
                  <w:dstrike w:val="false"/>
                  <w:color w:val="2D3243"/>
                  <w:sz w:val="18"/>
                  <w:u w:val="none"/>
                  <w:effect w:val="none"/>
                </w:rPr>
                <w:t>Independent Registered Public Accounting Firm’s Fees</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91">
              <w:r>
                <w:rPr>
                  <w:rStyle w:val="InternetLink"/>
                  <w:rFonts w:ascii="Tenorite;sans-serif" w:hAnsi="Tenorite;sans-serif"/>
                  <w:b/>
                  <w:strike w:val="false"/>
                  <w:dstrike w:val="false"/>
                  <w:color w:val="2D3243"/>
                  <w:sz w:val="18"/>
                  <w:u w:val="none"/>
                  <w:effect w:val="none"/>
                </w:rPr>
                <w:t>33</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94">
              <w:r>
                <w:rPr>
                  <w:rStyle w:val="InternetLink"/>
                  <w:rFonts w:ascii="Tenorite;sans-serif" w:hAnsi="Tenorite;sans-serif"/>
                  <w:b/>
                  <w:strike w:val="false"/>
                  <w:dstrike w:val="false"/>
                  <w:color w:val="2D3243"/>
                  <w:sz w:val="18"/>
                  <w:u w:val="none"/>
                  <w:effect w:val="none"/>
                </w:rPr>
                <w:t>Pre-Approval Policies and Procedures</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94">
              <w:r>
                <w:rPr>
                  <w:rStyle w:val="InternetLink"/>
                  <w:rFonts w:ascii="Tenorite;sans-serif" w:hAnsi="Tenorite;sans-serif"/>
                  <w:b/>
                  <w:strike w:val="false"/>
                  <w:dstrike w:val="false"/>
                  <w:color w:val="2D3243"/>
                  <w:sz w:val="18"/>
                  <w:u w:val="none"/>
                  <w:effect w:val="none"/>
                </w:rPr>
                <w:t>33</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97">
              <w:r>
                <w:rPr>
                  <w:rStyle w:val="InternetLink"/>
                  <w:rFonts w:ascii="Tenorite;sans-serif" w:hAnsi="Tenorite;sans-serif"/>
                  <w:b/>
                  <w:strike w:val="false"/>
                  <w:dstrike w:val="false"/>
                  <w:color w:val="2D3243"/>
                  <w:sz w:val="18"/>
                  <w:u w:val="none"/>
                  <w:effect w:val="none"/>
                </w:rPr>
                <w:t>Audit Committee Report</w:t>
              </w:r>
            </w:hyperlink>
            <w:r>
              <w:rPr>
                <w:rFonts w:ascii="Tenorite;sans-serif" w:hAnsi="Tenorite;sans-serif"/>
                <w:b/>
                <w:color w:val="2D3243"/>
                <w:sz w:val="18"/>
              </w:rPr>
              <w:t xml:space="preserve"> </w:t>
            </w:r>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97">
              <w:r>
                <w:rPr>
                  <w:rStyle w:val="InternetLink"/>
                  <w:rFonts w:ascii="Tenorite;sans-serif" w:hAnsi="Tenorite;sans-serif"/>
                  <w:b/>
                  <w:strike w:val="false"/>
                  <w:dstrike w:val="false"/>
                  <w:color w:val="2D3243"/>
                  <w:sz w:val="18"/>
                  <w:u w:val="none"/>
                  <w:effect w:val="none"/>
                </w:rPr>
                <w:t>34</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00">
              <w:r>
                <w:rPr>
                  <w:rStyle w:val="InternetLink"/>
                  <w:rFonts w:ascii="Tenorite;sans-serif" w:hAnsi="Tenorite;sans-serif"/>
                  <w:b/>
                  <w:strike w:val="false"/>
                  <w:dstrike w:val="false"/>
                  <w:color w:val="000000"/>
                  <w:sz w:val="18"/>
                  <w:u w:val="none"/>
                  <w:effect w:val="none"/>
                </w:rPr>
                <w:t xml:space="preserve">Executive Officers </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00">
              <w:r>
                <w:rPr>
                  <w:rStyle w:val="InternetLink"/>
                  <w:rFonts w:ascii="Tenorite;sans-serif" w:hAnsi="Tenorite;sans-serif"/>
                  <w:b/>
                  <w:strike w:val="false"/>
                  <w:dstrike w:val="false"/>
                  <w:color w:val="000000"/>
                  <w:sz w:val="18"/>
                  <w:u w:val="none"/>
                  <w:effect w:val="none"/>
                </w:rPr>
                <w:t>35</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03">
              <w:r>
                <w:rPr>
                  <w:rStyle w:val="InternetLink"/>
                  <w:rFonts w:ascii="Tenorite;sans-serif" w:hAnsi="Tenorite;sans-serif"/>
                  <w:b/>
                  <w:strike w:val="false"/>
                  <w:dstrike w:val="false"/>
                  <w:color w:val="000000"/>
                  <w:sz w:val="18"/>
                  <w:u w:val="none"/>
                  <w:effect w:val="none"/>
                </w:rPr>
                <w:t xml:space="preserve">Security Ownership Of Certain Beneficial Owners And Management </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03">
              <w:r>
                <w:rPr>
                  <w:rStyle w:val="InternetLink"/>
                  <w:rFonts w:ascii="Tenorite;sans-serif" w:hAnsi="Tenorite;sans-serif"/>
                  <w:b/>
                  <w:strike w:val="false"/>
                  <w:dstrike w:val="false"/>
                  <w:color w:val="000000"/>
                  <w:sz w:val="18"/>
                  <w:u w:val="none"/>
                  <w:effect w:val="none"/>
                </w:rPr>
                <w:t>36</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06">
              <w:r>
                <w:rPr>
                  <w:rStyle w:val="InternetLink"/>
                  <w:rFonts w:ascii="Tenorite;sans-serif" w:hAnsi="Tenorite;sans-serif"/>
                  <w:b/>
                  <w:strike w:val="false"/>
                  <w:dstrike w:val="false"/>
                  <w:color w:val="000000"/>
                  <w:sz w:val="18"/>
                  <w:u w:val="none"/>
                  <w:effect w:val="none"/>
                </w:rPr>
                <w:t>Delinquent Section 16(a) Reports</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06">
              <w:r>
                <w:rPr>
                  <w:rStyle w:val="InternetLink"/>
                  <w:rFonts w:ascii="Tenorite;sans-serif" w:hAnsi="Tenorite;sans-serif"/>
                  <w:b/>
                  <w:strike w:val="false"/>
                  <w:dstrike w:val="false"/>
                  <w:color w:val="000000"/>
                  <w:sz w:val="18"/>
                  <w:u w:val="none"/>
                  <w:effect w:val="none"/>
                </w:rPr>
                <w:t>38</w:t>
              </w:r>
            </w:hyperlink>
          </w:p>
        </w:tc>
      </w:tr>
      <w:tr>
        <w:trPr/>
        <w:tc>
          <w:tcPr>
            <w:tcW w:w="9542"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09">
              <w:r>
                <w:rPr>
                  <w:rStyle w:val="InternetLink"/>
                  <w:rFonts w:ascii="Tenorite;sans-serif" w:hAnsi="Tenorite;sans-serif"/>
                  <w:b/>
                  <w:strike w:val="false"/>
                  <w:dstrike w:val="false"/>
                  <w:color w:val="000000"/>
                  <w:sz w:val="18"/>
                  <w:u w:val="none"/>
                  <w:effect w:val="none"/>
                </w:rPr>
                <w:t>Executive Compensation</w:t>
              </w:r>
            </w:hyperlink>
          </w:p>
        </w:tc>
        <w:tc>
          <w:tcPr>
            <w:tcW w:w="663"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09">
              <w:r>
                <w:rPr>
                  <w:rStyle w:val="InternetLink"/>
                  <w:rFonts w:ascii="Tenorite;sans-serif" w:hAnsi="Tenorite;sans-serif"/>
                  <w:b/>
                  <w:strike w:val="false"/>
                  <w:dstrike w:val="false"/>
                  <w:color w:val="000000"/>
                  <w:sz w:val="18"/>
                  <w:u w:val="none"/>
                  <w:effect w:val="none"/>
                </w:rPr>
                <w:t>39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4"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960" w:type="dxa"/>
        <w:jc w:val="left"/>
        <w:tblInd w:w="0" w:type="dxa"/>
        <w:tblLayout w:type="fixed"/>
        <w:tblCellMar>
          <w:top w:w="28" w:type="dxa"/>
          <w:left w:w="28" w:type="dxa"/>
          <w:bottom w:w="28" w:type="dxa"/>
          <w:right w:w="28" w:type="dxa"/>
        </w:tblCellMar>
      </w:tblPr>
      <w:tblGrid>
        <w:gridCol w:w="2281"/>
        <w:gridCol w:w="2007"/>
        <w:gridCol w:w="2011"/>
        <w:gridCol w:w="193"/>
        <w:gridCol w:w="193"/>
        <w:gridCol w:w="275"/>
      </w:tblGrid>
      <w:tr>
        <w:trPr/>
        <w:tc>
          <w:tcPr>
            <w:tcW w:w="228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384" w:before="0" w:after="283"/>
              <w:jc w:val="right"/>
              <w:rPr>
                <w:rFonts w:ascii="Tenorite;sans-serif" w:hAnsi="Tenorite;sans-serif"/>
                <w:b/>
                <w:color w:val="2D3243"/>
                <w:sz w:val="18"/>
              </w:rPr>
            </w:pPr>
            <w:r>
              <w:rPr>
                <w:rFonts w:ascii="Tenorite;sans-serif" w:hAnsi="Tenorite;sans-serif"/>
                <w:b/>
                <w:color w:val="2D3243"/>
                <w:sz w:val="18"/>
              </w:rPr>
              <w:t>Page</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12">
              <w:r>
                <w:rPr>
                  <w:rStyle w:val="InternetLink"/>
                  <w:rFonts w:ascii="Tenorite;sans-serif" w:hAnsi="Tenorite;sans-serif"/>
                  <w:b/>
                  <w:strike w:val="false"/>
                  <w:dstrike w:val="false"/>
                  <w:color w:val="2D3243"/>
                  <w:sz w:val="18"/>
                  <w:u w:val="none"/>
                  <w:effect w:val="none"/>
                </w:rPr>
                <w:t>Compensation Committee Report</w:t>
              </w:r>
            </w:hyperlink>
            <w:r>
              <w:rPr>
                <w:rFonts w:ascii="Tenorite;sans-serif" w:hAnsi="Tenorite;sans-serif"/>
                <w:b/>
                <w:color w:val="2D3243"/>
                <w:sz w:val="18"/>
              </w:rPr>
              <w:t xml:space="preserve"> </w:t>
            </w:r>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12">
              <w:r>
                <w:rPr>
                  <w:rStyle w:val="InternetLink"/>
                  <w:rFonts w:ascii="Tenorite;sans-serif" w:hAnsi="Tenorite;sans-serif"/>
                  <w:b/>
                  <w:strike w:val="false"/>
                  <w:dstrike w:val="false"/>
                  <w:color w:val="2D3243"/>
                  <w:sz w:val="18"/>
                  <w:u w:val="none"/>
                  <w:effect w:val="none"/>
                </w:rPr>
                <w:t>39</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15">
              <w:r>
                <w:rPr>
                  <w:rStyle w:val="InternetLink"/>
                  <w:rFonts w:ascii="Tenorite;sans-serif" w:hAnsi="Tenorite;sans-serif"/>
                  <w:b/>
                  <w:strike w:val="false"/>
                  <w:dstrike w:val="false"/>
                  <w:color w:val="2D3243"/>
                  <w:sz w:val="18"/>
                  <w:u w:val="none"/>
                  <w:effect w:val="none"/>
                </w:rPr>
                <w:t>Compensation Discussion and Analysis</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15">
              <w:r>
                <w:rPr>
                  <w:rStyle w:val="InternetLink"/>
                  <w:rFonts w:ascii="Tenorite;sans-serif" w:hAnsi="Tenorite;sans-serif"/>
                  <w:b/>
                  <w:strike w:val="false"/>
                  <w:dstrike w:val="false"/>
                  <w:color w:val="2D3243"/>
                  <w:sz w:val="18"/>
                  <w:u w:val="none"/>
                  <w:effect w:val="none"/>
                </w:rPr>
                <w:t>39</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33">
              <w:r>
                <w:rPr>
                  <w:rStyle w:val="InternetLink"/>
                  <w:rFonts w:ascii="Tenorite;sans-serif" w:hAnsi="Tenorite;sans-serif"/>
                  <w:b/>
                  <w:strike w:val="false"/>
                  <w:dstrike w:val="false"/>
                  <w:color w:val="2D3243"/>
                  <w:sz w:val="18"/>
                  <w:u w:val="none"/>
                  <w:effect w:val="none"/>
                </w:rPr>
                <w:t>Summary Compensation Table</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33">
              <w:r>
                <w:rPr>
                  <w:rStyle w:val="InternetLink"/>
                  <w:rFonts w:ascii="Tenorite;sans-serif" w:hAnsi="Tenorite;sans-serif"/>
                  <w:b/>
                  <w:strike w:val="false"/>
                  <w:dstrike w:val="false"/>
                  <w:color w:val="2D3243"/>
                  <w:sz w:val="18"/>
                  <w:u w:val="none"/>
                  <w:effect w:val="none"/>
                </w:rPr>
                <w:t>59</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36">
              <w:r>
                <w:rPr>
                  <w:rStyle w:val="InternetLink"/>
                  <w:rFonts w:ascii="Tenorite;sans-serif" w:hAnsi="Tenorite;sans-serif"/>
                  <w:b/>
                  <w:strike w:val="false"/>
                  <w:dstrike w:val="false"/>
                  <w:color w:val="2D3243"/>
                  <w:sz w:val="18"/>
                  <w:u w:val="none"/>
                  <w:effect w:val="none"/>
                </w:rPr>
                <w:t>Grants of Plan-Based Awards</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36">
              <w:r>
                <w:rPr>
                  <w:rStyle w:val="InternetLink"/>
                  <w:rFonts w:ascii="Tenorite;sans-serif" w:hAnsi="Tenorite;sans-serif"/>
                  <w:b/>
                  <w:strike w:val="false"/>
                  <w:dstrike w:val="false"/>
                  <w:color w:val="2D3243"/>
                  <w:sz w:val="18"/>
                  <w:u w:val="none"/>
                  <w:effect w:val="none"/>
                </w:rPr>
                <w:t>60</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42">
              <w:r>
                <w:rPr>
                  <w:rStyle w:val="InternetLink"/>
                  <w:rFonts w:ascii="Tenorite;sans-serif" w:hAnsi="Tenorite;sans-serif"/>
                  <w:b/>
                  <w:strike w:val="false"/>
                  <w:dstrike w:val="false"/>
                  <w:color w:val="000080"/>
                  <w:sz w:val="18"/>
                  <w:u w:val="single"/>
                  <w:effect w:val="none"/>
                </w:rPr>
                <w:t>Outstanding Equity Awards at December 31, 202</w:t>
              </w:r>
            </w:hyperlink>
            <w:hyperlink w:anchor="i8bf414a3427b4e569da780bdc4ac5731_142">
              <w:r>
                <w:rPr>
                  <w:rStyle w:val="InternetLink"/>
                  <w:rFonts w:ascii="Tenorite;sans-serif" w:hAnsi="Tenorite;sans-serif"/>
                  <w:b/>
                  <w:strike w:val="false"/>
                  <w:dstrike w:val="false"/>
                  <w:color w:val="000080"/>
                  <w:sz w:val="18"/>
                  <w:u w:val="single"/>
                  <w:effect w:val="none"/>
                </w:rPr>
                <w:t>4</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42">
              <w:r>
                <w:rPr>
                  <w:rStyle w:val="InternetLink"/>
                  <w:rFonts w:ascii="Tenorite;sans-serif" w:hAnsi="Tenorite;sans-serif"/>
                  <w:b/>
                  <w:strike w:val="false"/>
                  <w:dstrike w:val="false"/>
                  <w:color w:val="2D3243"/>
                  <w:sz w:val="18"/>
                  <w:u w:val="none"/>
                  <w:effect w:val="none"/>
                </w:rPr>
                <w:t>61</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45">
              <w:r>
                <w:rPr>
                  <w:rStyle w:val="InternetLink"/>
                  <w:rFonts w:ascii="Tenorite;sans-serif" w:hAnsi="Tenorite;sans-serif"/>
                  <w:b/>
                  <w:strike w:val="false"/>
                  <w:dstrike w:val="false"/>
                  <w:color w:val="2D3243"/>
                  <w:sz w:val="18"/>
                  <w:u w:val="none"/>
                  <w:effect w:val="none"/>
                </w:rPr>
                <w:t>Option Exercises and Stock Vested</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45">
              <w:r>
                <w:rPr>
                  <w:rStyle w:val="InternetLink"/>
                  <w:rFonts w:ascii="Tenorite;sans-serif" w:hAnsi="Tenorite;sans-serif"/>
                  <w:b/>
                  <w:strike w:val="false"/>
                  <w:dstrike w:val="false"/>
                  <w:color w:val="2D3243"/>
                  <w:sz w:val="18"/>
                  <w:u w:val="none"/>
                  <w:effect w:val="none"/>
                </w:rPr>
                <w:t>64</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48">
              <w:r>
                <w:rPr>
                  <w:rStyle w:val="InternetLink"/>
                  <w:rFonts w:ascii="Tenorite;sans-serif" w:hAnsi="Tenorite;sans-serif"/>
                  <w:b/>
                  <w:strike w:val="false"/>
                  <w:dstrike w:val="false"/>
                  <w:color w:val="2D3243"/>
                  <w:sz w:val="18"/>
                  <w:u w:val="none"/>
                  <w:effect w:val="none"/>
                </w:rPr>
                <w:t>Potential Payments upon Termination or Change in Control</w:t>
              </w:r>
            </w:hyperlink>
            <w:r>
              <w:rPr>
                <w:rFonts w:ascii="Tenorite;sans-serif" w:hAnsi="Tenorite;sans-serif"/>
                <w:b/>
                <w:color w:val="2D3243"/>
                <w:sz w:val="18"/>
              </w:rPr>
              <w:t xml:space="preserve"> </w:t>
            </w:r>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48">
              <w:r>
                <w:rPr>
                  <w:rStyle w:val="InternetLink"/>
                  <w:rFonts w:ascii="Tenorite;sans-serif" w:hAnsi="Tenorite;sans-serif"/>
                  <w:b/>
                  <w:strike w:val="false"/>
                  <w:dstrike w:val="false"/>
                  <w:color w:val="2D3243"/>
                  <w:sz w:val="18"/>
                  <w:u w:val="none"/>
                  <w:effect w:val="none"/>
                </w:rPr>
                <w:t>64</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51">
              <w:r>
                <w:rPr>
                  <w:rStyle w:val="InternetLink"/>
                  <w:rFonts w:ascii="Tenorite;sans-serif" w:hAnsi="Tenorite;sans-serif"/>
                  <w:b/>
                  <w:strike w:val="false"/>
                  <w:dstrike w:val="false"/>
                  <w:color w:val="2D3243"/>
                  <w:sz w:val="18"/>
                  <w:u w:val="none"/>
                  <w:effect w:val="none"/>
                </w:rPr>
                <w:t>CEO Pay Ratio</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51">
              <w:r>
                <w:rPr>
                  <w:rStyle w:val="InternetLink"/>
                  <w:rFonts w:ascii="Tenorite;sans-serif" w:hAnsi="Tenorite;sans-serif"/>
                  <w:b/>
                  <w:strike w:val="false"/>
                  <w:dstrike w:val="false"/>
                  <w:color w:val="2D3243"/>
                  <w:sz w:val="18"/>
                  <w:u w:val="none"/>
                  <w:effect w:val="none"/>
                </w:rPr>
                <w:t>67</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54">
              <w:r>
                <w:rPr>
                  <w:rStyle w:val="InternetLink"/>
                  <w:rFonts w:ascii="Tenorite;sans-serif" w:hAnsi="Tenorite;sans-serif"/>
                  <w:b/>
                  <w:strike w:val="false"/>
                  <w:dstrike w:val="false"/>
                  <w:color w:val="2D3243"/>
                  <w:sz w:val="18"/>
                  <w:u w:val="none"/>
                  <w:effect w:val="none"/>
                </w:rPr>
                <w:t>Pay versus Performance</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54">
              <w:r>
                <w:rPr>
                  <w:rStyle w:val="InternetLink"/>
                  <w:rFonts w:ascii="Tenorite;sans-serif" w:hAnsi="Tenorite;sans-serif"/>
                  <w:b/>
                  <w:strike w:val="false"/>
                  <w:dstrike w:val="false"/>
                  <w:color w:val="2D3243"/>
                  <w:sz w:val="18"/>
                  <w:u w:val="none"/>
                  <w:effect w:val="none"/>
                </w:rPr>
                <w:t>68</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57">
              <w:r>
                <w:rPr>
                  <w:rStyle w:val="InternetLink"/>
                  <w:rFonts w:ascii="Tenorite;sans-serif" w:hAnsi="Tenorite;sans-serif"/>
                  <w:b/>
                  <w:strike w:val="false"/>
                  <w:dstrike w:val="false"/>
                  <w:color w:val="000000"/>
                  <w:sz w:val="18"/>
                  <w:u w:val="none"/>
                  <w:effect w:val="none"/>
                </w:rPr>
                <w:t xml:space="preserve">Equity Compensation Plan Information </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57">
              <w:r>
                <w:rPr>
                  <w:rStyle w:val="InternetLink"/>
                  <w:rFonts w:ascii="Tenorite;sans-serif" w:hAnsi="Tenorite;sans-serif"/>
                  <w:b/>
                  <w:strike w:val="false"/>
                  <w:dstrike w:val="false"/>
                  <w:color w:val="000000"/>
                  <w:sz w:val="18"/>
                  <w:u w:val="none"/>
                  <w:effect w:val="none"/>
                </w:rPr>
                <w:t>74</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60">
              <w:r>
                <w:rPr>
                  <w:rStyle w:val="InternetLink"/>
                  <w:rFonts w:ascii="Tenorite;sans-serif" w:hAnsi="Tenorite;sans-serif"/>
                  <w:b/>
                  <w:strike w:val="false"/>
                  <w:dstrike w:val="false"/>
                  <w:color w:val="000000"/>
                  <w:sz w:val="18"/>
                  <w:u w:val="none"/>
                  <w:effect w:val="none"/>
                </w:rPr>
                <w:t xml:space="preserve">Transactions With Related Persons </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60">
              <w:r>
                <w:rPr>
                  <w:rStyle w:val="InternetLink"/>
                  <w:rFonts w:ascii="Tenorite;sans-serif" w:hAnsi="Tenorite;sans-serif"/>
                  <w:b/>
                  <w:strike w:val="false"/>
                  <w:dstrike w:val="false"/>
                  <w:color w:val="000000"/>
                  <w:sz w:val="18"/>
                  <w:u w:val="none"/>
                  <w:effect w:val="none"/>
                </w:rPr>
                <w:t>75</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63">
              <w:r>
                <w:rPr>
                  <w:rStyle w:val="InternetLink"/>
                  <w:rFonts w:ascii="Tenorite;sans-serif" w:hAnsi="Tenorite;sans-serif"/>
                  <w:b/>
                  <w:strike w:val="false"/>
                  <w:dstrike w:val="false"/>
                  <w:color w:val="2D3243"/>
                  <w:sz w:val="18"/>
                  <w:u w:val="none"/>
                  <w:effect w:val="none"/>
                </w:rPr>
                <w:t xml:space="preserve">Delivery Of Documents To Stockholders Sharing An Address </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63">
              <w:r>
                <w:rPr>
                  <w:rStyle w:val="InternetLink"/>
                  <w:rFonts w:ascii="Tenorite;sans-serif" w:hAnsi="Tenorite;sans-serif"/>
                  <w:b/>
                  <w:strike w:val="false"/>
                  <w:dstrike w:val="false"/>
                  <w:color w:val="2D3243"/>
                  <w:sz w:val="18"/>
                  <w:u w:val="none"/>
                  <w:effect w:val="none"/>
                </w:rPr>
                <w:t>76</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66">
              <w:r>
                <w:rPr>
                  <w:rStyle w:val="InternetLink"/>
                  <w:rFonts w:ascii="Tenorite;sans-serif" w:hAnsi="Tenorite;sans-serif"/>
                  <w:b/>
                  <w:strike w:val="false"/>
                  <w:dstrike w:val="false"/>
                  <w:color w:val="2D3243"/>
                  <w:sz w:val="18"/>
                  <w:u w:val="none"/>
                  <w:effect w:val="none"/>
                </w:rPr>
                <w:t>Availability Of Form 10-K</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66">
              <w:r>
                <w:rPr>
                  <w:rStyle w:val="InternetLink"/>
                  <w:rFonts w:ascii="Tenorite;sans-serif" w:hAnsi="Tenorite;sans-serif"/>
                  <w:b/>
                  <w:strike w:val="false"/>
                  <w:dstrike w:val="false"/>
                  <w:color w:val="2D3243"/>
                  <w:sz w:val="18"/>
                  <w:u w:val="none"/>
                  <w:effect w:val="none"/>
                </w:rPr>
                <w:t>76</w:t>
              </w:r>
            </w:hyperlink>
          </w:p>
        </w:tc>
      </w:tr>
      <w:tr>
        <w:trPr/>
        <w:tc>
          <w:tcPr>
            <w:tcW w:w="6299"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8bf414a3427b4e569da780bdc4ac5731_169">
              <w:r>
                <w:rPr>
                  <w:rStyle w:val="InternetLink"/>
                  <w:rFonts w:ascii="Tenorite;sans-serif" w:hAnsi="Tenorite;sans-serif"/>
                  <w:b/>
                  <w:strike w:val="false"/>
                  <w:dstrike w:val="false"/>
                  <w:color w:val="2D3243"/>
                  <w:sz w:val="18"/>
                  <w:u w:val="none"/>
                  <w:effect w:val="none"/>
                </w:rPr>
                <w:t>Other Matters</w:t>
              </w:r>
            </w:hyperlink>
          </w:p>
        </w:tc>
        <w:tc>
          <w:tcPr>
            <w:tcW w:w="661"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8bf414a3427b4e569da780bdc4ac5731_169">
              <w:r>
                <w:rPr>
                  <w:rStyle w:val="InternetLink"/>
                  <w:rFonts w:ascii="Tenorite;sans-serif" w:hAnsi="Tenorite;sans-serif"/>
                  <w:b/>
                  <w:strike w:val="false"/>
                  <w:dstrike w:val="false"/>
                  <w:color w:val="2D3243"/>
                  <w:sz w:val="18"/>
                  <w:u w:val="none"/>
                  <w:effect w:val="none"/>
                </w:rPr>
                <w:t>77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15"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rFonts w:ascii="Tenorite;sans-serif" w:hAnsi="Tenorite;sans-serif"/>
          <w:b w:val="false"/>
          <w:color w:val="2D3243"/>
          <w:sz w:val="64"/>
        </w:rPr>
      </w:pPr>
      <w:r>
        <w:rPr>
          <w:rFonts w:ascii="Tenorite;sans-serif" w:hAnsi="Tenorite;sans-serif"/>
          <w:b w:val="false"/>
          <w:color w:val="2D3243"/>
          <w:sz w:val="64"/>
        </w:rPr>
        <w:t xml:space="preserve">Proxy Statement for the 2025 </w:t>
      </w:r>
    </w:p>
    <w:p>
      <w:pPr>
        <w:pStyle w:val="TextBody"/>
        <w:bidi w:val="0"/>
        <w:spacing w:lineRule="auto" w:line="264" w:before="0" w:after="60"/>
        <w:jc w:val="left"/>
        <w:rPr>
          <w:rFonts w:ascii="Tenorite;sans-serif" w:hAnsi="Tenorite;sans-serif"/>
          <w:b w:val="false"/>
          <w:color w:val="2D3243"/>
          <w:sz w:val="64"/>
        </w:rPr>
      </w:pPr>
      <w:r>
        <w:rPr>
          <w:rFonts w:ascii="Tenorite;sans-serif" w:hAnsi="Tenorite;sans-serif"/>
          <w:b w:val="false"/>
          <w:color w:val="2D3243"/>
          <w:sz w:val="64"/>
        </w:rPr>
        <w:t>Annual Meeting of Stockholders</w:t>
      </w:r>
    </w:p>
    <w:p>
      <w:pPr>
        <w:pStyle w:val="TextBody"/>
        <w:bidi w:val="0"/>
        <w:spacing w:lineRule="auto" w:line="384" w:before="0" w:after="60"/>
        <w:jc w:val="left"/>
        <w:rPr/>
      </w:pPr>
      <w:r>
        <w:rPr>
          <w:rFonts w:ascii="Tenorite;sans-serif" w:hAnsi="Tenorite;sans-serif"/>
          <w:b/>
          <w:color w:val="2D3243"/>
          <w:sz w:val="18"/>
        </w:rPr>
        <w:t xml:space="preserve">To Be Held Virtually over the Internet at </w:t>
      </w:r>
      <w:r>
        <w:rPr>
          <w:rFonts w:ascii="Tenorite;sans-serif" w:hAnsi="Tenorite;sans-serif"/>
          <w:b w:val="false"/>
          <w:color w:val="2A4CF9"/>
          <w:sz w:val="18"/>
        </w:rPr>
        <w:t>www.virtualshareholdermeeting.com/FIVN2025</w:t>
      </w:r>
    </w:p>
    <w:p>
      <w:pPr>
        <w:pStyle w:val="TextBody"/>
        <w:bidi w:val="0"/>
        <w:spacing w:lineRule="auto" w:line="384" w:before="0" w:after="420"/>
        <w:jc w:val="left"/>
        <w:rPr>
          <w:rFonts w:ascii="Tenorite;sans-serif" w:hAnsi="Tenorite;sans-serif"/>
          <w:b/>
          <w:color w:val="2D3243"/>
          <w:sz w:val="18"/>
        </w:rPr>
      </w:pPr>
      <w:r>
        <w:rPr>
          <w:rFonts w:ascii="Tenorite;sans-serif" w:hAnsi="Tenorite;sans-serif"/>
          <w:b/>
          <w:color w:val="2D3243"/>
          <w:sz w:val="18"/>
        </w:rPr>
        <w:t>On May 21, 2025 at 8:30 a.m., Pacific Daylight Time</w:t>
      </w:r>
    </w:p>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Questions And Answers About This Proxy Material And Voting</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Why am I receiving these materials?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are making these proxy materials available because the Board of Directors (the “Board of Directors” or the “Board”) of Five9, Inc. (sometimes referred to as “we,” the “Company” or “Five9”) is soliciting your proxy to vote at the 2025 Annual Meeting of Stockholders (the “Annual Meeting”). You are invited to attend the Annual Meeting to vote on the proposals described in this Proxy Statement. However, you do not need to attend the Annual Meeting to vote your shares. Instead, you may follow the instructions below to submit your proxy by telephone or on the Internet or request a proxy card from us by email at ir@five9.com, and complete, sign and return the proxy card in the envelope provided.</w:t>
      </w:r>
    </w:p>
    <w:p>
      <w:pPr>
        <w:pStyle w:val="TextBody"/>
        <w:bidi w:val="0"/>
        <w:spacing w:lineRule="auto" w:line="384" w:before="0" w:after="180"/>
        <w:jc w:val="left"/>
        <w:rPr/>
      </w:pPr>
      <w:r>
        <w:rPr>
          <w:rFonts w:ascii="Tenorite;sans-serif" w:hAnsi="Tenorite;sans-serif"/>
          <w:b w:val="false"/>
          <w:color w:val="2D3243"/>
          <w:sz w:val="18"/>
        </w:rPr>
        <w:t xml:space="preserve">The Company intends to commence mailing to all stockholders of record entitled to vote at the Annual Meeting the Notice of Internet Availability of Proxy Materials (the “Notice”) on or about April 7, 2025. Additionally, the Company intends to post its Annual Report to Stockholders, this Proxy Statement and accompanying proxy card on the Internet at </w:t>
      </w:r>
      <w:r>
        <w:rPr>
          <w:rFonts w:ascii="Tenorite;sans-serif" w:hAnsi="Tenorite;sans-serif"/>
          <w:b w:val="false"/>
          <w:color w:val="2A4CF9"/>
          <w:sz w:val="18"/>
        </w:rPr>
        <w:t>http://investors.five9.com</w:t>
      </w:r>
      <w:r>
        <w:rPr>
          <w:color w:val="2D3243"/>
        </w:rPr>
        <w:t xml:space="preserve"> </w:t>
      </w:r>
      <w:r>
        <w:rPr>
          <w:rFonts w:ascii="Tenorite;sans-serif" w:hAnsi="Tenorite;sans-serif"/>
          <w:b w:val="false"/>
          <w:color w:val="2D3243"/>
          <w:sz w:val="18"/>
        </w:rPr>
        <w:t>on or about April 7, 2025. We will mail printed copies of the proxy materials to stockholders who request them.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Company’s principal executive office is located at 3001 Bishop Drive, Suite 350, San Ramon, CA 94583 and its telephone number is (925) 201-2000. </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Why did I receive a notice in the mail regarding the Internet availability of proxy materials instead of a full paper copy of this Proxy Statement and Annual Report to Stockholders?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are acting under a Securities and Exchange Commission (“SEC”) rule that allows companies to furnish their proxy materials over the Internet rather than in paper form. This rule allows a company to send its stockholders a notice regarding Internet availability of proxy materials. Instructions on how to access the proxy materials over the Internet or how to request a paper copy of proxy materials may be found in the Notice. If you would prefer to receive proxy materials in printed form by mail or electronically by email on an ongoing basis, please follow the instructions contained in the Notice. </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do I participate in the Annual Meeting?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Annual Meeting will be a completely virtual meeting. There will be no physical meeting location. The Annual Meeting will only be conducted via live webcast.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40410"/>
                <wp:effectExtent l="0" t="0" r="0" b="0"/>
                <wp:wrapNone/>
                <wp:docPr id="16" name="Frame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45"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474"/>
        <w:gridCol w:w="474"/>
        <w:gridCol w:w="671"/>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f414a3427b4e569da780bdc4ac5731_13">
              <w:r>
                <w:rPr>
                  <w:rStyle w:val="InternetLink"/>
                  <w:rFonts w:ascii="Tenorite;sans-serif" w:hAnsi="Tenorite;sans-serif"/>
                  <w:b w:val="false"/>
                  <w:color w:val="000080"/>
                  <w:sz w:val="16"/>
                  <w:u w:val="single"/>
                </w:rPr>
                <w:t>T</w:t>
              </w:r>
            </w:hyperlink>
            <w:hyperlink w:anchor="i8bf414a3427b4e569da780bdc4ac5731_13">
              <w:r>
                <w:rPr>
                  <w:rStyle w:val="InternetLink"/>
                  <w:rFonts w:ascii="Tenorite;sans-serif" w:hAnsi="Tenorite;sans-serif"/>
                  <w:b w:val="false"/>
                  <w:color w:val="000080"/>
                  <w:sz w:val="16"/>
                  <w:u w:val="single"/>
                </w:rPr>
                <w:t>able of Contents</w:t>
              </w:r>
            </w:hyperlink>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To participate in the virtual meeting, please follow the instructions posted at www.proxyvote.com. You may begin to log into the meeting platform beginning at 8:15 a.m. Pacific Daylight Time on May 21, 2025. The meeting will begin promptly at 8:30 a.m. Pacific Daylight Time on May 21, 2025. </w:t>
      </w:r>
    </w:p>
    <w:p>
      <w:pPr>
        <w:pStyle w:val="TextBody"/>
        <w:bidi w:val="0"/>
        <w:spacing w:lineRule="auto" w:line="384" w:before="0" w:after="180"/>
        <w:jc w:val="left"/>
        <w:rPr/>
      </w:pPr>
      <w:r>
        <w:rPr>
          <w:rFonts w:ascii="Tenorite;sans-serif" w:hAnsi="Tenorite;sans-serif"/>
          <w:b w:val="false"/>
          <w:color w:val="2D3243"/>
          <w:sz w:val="18"/>
        </w:rPr>
        <w:t xml:space="preserve">If you wish to submit a question, you may do so in two ways. If you want to ask a question before the meeting, then beginning on April 7, 2025 and until 11:59 p.m. on May 20, 2025, you may log into www.proxyvote.com and enter your 16-digit control number. Once past the login screen, click on “Questions for Management,” type in your question, and click “Submit.” Alternatively, if you want to submit your question during the meeting, log into the virtual meeting platform at </w:t>
      </w:r>
      <w:r>
        <w:rPr>
          <w:rFonts w:ascii="Tenorite;sans-serif" w:hAnsi="Tenorite;sans-serif"/>
          <w:b w:val="false"/>
          <w:color w:val="2A4CF9"/>
          <w:sz w:val="18"/>
        </w:rPr>
        <w:t>www.virtualshareholdermeeting.com/FIVN2025</w:t>
      </w:r>
      <w:r>
        <w:rPr>
          <w:rFonts w:ascii="Tenorite;sans-serif" w:hAnsi="Tenorite;sans-serif"/>
          <w:b w:val="false"/>
          <w:color w:val="2D3243"/>
          <w:sz w:val="18"/>
        </w:rPr>
        <w:t xml:space="preserve">, type your question into the “Ask a Question” field, and click “Submit.”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Questions pertinent to meeting matters will be answered during the Annual Meeting, subject to time constraints. The Annual Meeting is not to be used as a forum to present personal matters, or general economic, political or other views that are not directly related to the business of Five9 and the matters properly before the Annual Meeting and, therefore, questions on such matters will not be answered. Any questions pertinent to meeting matters that cannot be answered during the Annual Meeting due to time constraints will be posted online and answered at http://investors.five9.com. The questions and answers will be available as soon as practicable after the Annual Meeting and will remain available until one week after posting.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you encounter any technical difficulties with the virtual meeting platform on the date of the meeting, please call the technical support number that will be posted on the platform. Technical support will be available starting at 8:15 a.m. Pacific Daylight Time on May 21, 2025 and will remain available until five minutes after the Annual Meeting has finished.</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Who can vote at the Annual Meeting?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You will be entitled to vote at the Annual Meeting if you owned the Company’s common stock (“Common Stock”), either as a stockholder of record or as a beneficial owner, as of the close of business on March 25, 2025 (the “Record Date”). On the Record Date, there were 76,243,231 shares of Common Stock outstanding. Holders of these outstanding shares are entitled to one vote at the Annual Meeting for each share of Common Stock held by them as of March 25, 2025.</w:t>
      </w:r>
    </w:p>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Stockholder of Record: Shares Registered in Your Name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on March 25, 2025 your shares were registered directly in your name with Five9’s transfer agent, Equiniti Trust Company, LLC, then you are a stockholder of record with respect to those shares. As a stockholder of record, you may vote at the Annual Meeting or vote by proxy. Whether or not you plan to attend the Annual Meeting, we urge you to vote by proxy by telephone or the Internet as instructed on your proxy card or the Notice or to request a proxy card from us by email at ir@five9.com and complete, date, sign and return the proxy card in the envelope provided to ensure your vote is counted.</w:t>
      </w:r>
    </w:p>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Beneficial Owner: Shares Registered in the Name of a Broker or Bank</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If on March 25, 2025 your shares were held in an account at a broker, bank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that organization on how to vote the shares in your account. Please refer to the voting instructions provided by your bank or broker. Many organizations enable beneficial owners to give voting instructions by telephone or the Internet as well as in writing. You are also welcome to attend the virtual Annual Meeting and vote online. However, because you are not the stockholder of record, you may not vote your shares at the Annual Meeting unless you request and obtain a valid proxy (sometimes referred to as a “legal proxy”) from your broker, bank or other organization.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40410"/>
                <wp:effectExtent l="0" t="0" r="0" b="0"/>
                <wp:wrapNone/>
                <wp:docPr id="17" name="Frame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4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23"/>
        <w:gridCol w:w="623"/>
        <w:gridCol w:w="88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Questions And Answers</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What am I voting 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There are four matters scheduled for a vote:</w:t>
      </w:r>
    </w:p>
    <w:tbl>
      <w:tblPr>
        <w:tblW w:w="10205" w:type="dxa"/>
        <w:jc w:val="left"/>
        <w:tblInd w:w="0" w:type="dxa"/>
        <w:tblLayout w:type="fixed"/>
        <w:tblCellMar>
          <w:top w:w="28" w:type="dxa"/>
          <w:left w:w="28" w:type="dxa"/>
          <w:bottom w:w="28" w:type="dxa"/>
          <w:right w:w="28" w:type="dxa"/>
        </w:tblCellMar>
      </w:tblPr>
      <w:tblGrid>
        <w:gridCol w:w="188"/>
        <w:gridCol w:w="166"/>
        <w:gridCol w:w="167"/>
        <w:gridCol w:w="2961"/>
        <w:gridCol w:w="2785"/>
        <w:gridCol w:w="39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op w:val="single" w:sz="8" w:space="0" w:color="2A4CF9"/>
            </w:tcBorders>
            <w:tcMar>
              <w:left w:w="0" w:type="dxa"/>
              <w:bottom w:w="0" w:type="dxa"/>
              <w:right w:w="0" w:type="dxa"/>
            </w:tcMar>
            <w:vAlign w:val="center"/>
          </w:tcPr>
          <w:p>
            <w:pPr>
              <w:pStyle w:val="TableContents"/>
              <w:bidi w:val="0"/>
              <w:spacing w:before="0" w:after="180"/>
              <w:jc w:val="left"/>
              <w:rPr/>
            </w:pPr>
            <w:r>
              <w:rPr/>
              <w:drawing>
                <wp:inline distT="0" distB="0" distL="0" distR="0">
                  <wp:extent cx="266700" cy="2667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266700" cy="266700"/>
                          </a:xfrm>
                          <a:prstGeom prst="rect">
                            <a:avLst/>
                          </a:prstGeom>
                        </pic:spPr>
                      </pic:pic>
                    </a:graphicData>
                  </a:graphic>
                </wp:inline>
              </w:drawing>
            </w:r>
          </w:p>
        </w:tc>
        <w:tc>
          <w:tcPr>
            <w:tcW w:w="9684" w:type="dxa"/>
            <w:gridSpan w:val="3"/>
            <w:tcBorders>
              <w:top w:val="single" w:sz="8" w:space="0" w:color="2A4CF9"/>
            </w:tcBorders>
            <w:tcMar>
              <w:top w:w="30" w:type="dxa"/>
              <w:left w:w="0" w:type="dxa"/>
              <w:bottom w:w="0" w:type="dxa"/>
              <w:right w:w="0" w:type="dxa"/>
            </w:tcMar>
            <w:vAlign w:val="center"/>
          </w:tcPr>
          <w:p>
            <w:pPr>
              <w:pStyle w:val="TableContents"/>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Election of the three (3) members of the Board of Directors identified in Proposal No. 1 to serve as Class II directors until the Company’s 2028 Annual Meeting of Stockholders or until their successors are duly elected and qualified.</w:t>
            </w:r>
          </w:p>
        </w:tc>
      </w:tr>
      <w:tr>
        <w:trPr/>
        <w:tc>
          <w:tcPr>
            <w:tcW w:w="521" w:type="dxa"/>
            <w:gridSpan w:val="3"/>
            <w:tcBorders>
              <w:top w:val="single" w:sz="8" w:space="0" w:color="81848E"/>
            </w:tcBorders>
            <w:tcMar>
              <w:left w:w="0" w:type="dxa"/>
              <w:bottom w:w="0" w:type="dxa"/>
              <w:right w:w="0" w:type="dxa"/>
            </w:tcMar>
            <w:vAlign w:val="center"/>
          </w:tcPr>
          <w:p>
            <w:pPr>
              <w:pStyle w:val="TableContents"/>
              <w:bidi w:val="0"/>
              <w:spacing w:before="0" w:after="180"/>
              <w:jc w:val="left"/>
              <w:rPr/>
            </w:pPr>
            <w:r>
              <w:rPr/>
              <w:drawing>
                <wp:inline distT="0" distB="0" distL="0" distR="0">
                  <wp:extent cx="266700" cy="2667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266700" cy="266700"/>
                          </a:xfrm>
                          <a:prstGeom prst="rect">
                            <a:avLst/>
                          </a:prstGeom>
                        </pic:spPr>
                      </pic:pic>
                    </a:graphicData>
                  </a:graphic>
                </wp:inline>
              </w:drawing>
            </w:r>
          </w:p>
        </w:tc>
        <w:tc>
          <w:tcPr>
            <w:tcW w:w="968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 xml:space="preserve">Advisory vote to approve named executive officer compensation. We are holding a non-binding, advisory vote on the compensation of our named executive officers, as described in the “Compensation Discussion and Analysis” section, executive compensation tables and accompanying narrative disclosures contained in this Proxy Statement. This vote is non-binding and advisory in nature, but the Compensation Committee and the Board of Directors will take into account the outcome of the vote when considering future executive compensation arrangements. </w:t>
            </w:r>
          </w:p>
        </w:tc>
      </w:tr>
      <w:tr>
        <w:trPr/>
        <w:tc>
          <w:tcPr>
            <w:tcW w:w="521" w:type="dxa"/>
            <w:gridSpan w:val="3"/>
            <w:tcBorders>
              <w:top w:val="single" w:sz="8" w:space="0" w:color="81848E"/>
              <w:bottom w:val="single" w:sz="8" w:space="0" w:color="2A4CF9"/>
            </w:tcBorders>
            <w:tcMar>
              <w:left w:w="0" w:type="dxa"/>
              <w:right w:w="0" w:type="dxa"/>
            </w:tcMar>
            <w:vAlign w:val="center"/>
          </w:tcPr>
          <w:p>
            <w:pPr>
              <w:pStyle w:val="TableContents"/>
              <w:bidi w:val="0"/>
              <w:spacing w:before="0" w:after="180"/>
              <w:jc w:val="left"/>
              <w:rPr/>
            </w:pPr>
            <w:r>
              <w:rPr/>
              <w:drawing>
                <wp:inline distT="0" distB="0" distL="0" distR="0">
                  <wp:extent cx="266700" cy="2667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266700" cy="266700"/>
                          </a:xfrm>
                          <a:prstGeom prst="rect">
                            <a:avLst/>
                          </a:prstGeom>
                        </pic:spPr>
                      </pic:pic>
                    </a:graphicData>
                  </a:graphic>
                </wp:inline>
              </w:drawing>
            </w:r>
          </w:p>
        </w:tc>
        <w:tc>
          <w:tcPr>
            <w:tcW w:w="9684" w:type="dxa"/>
            <w:gridSpan w:val="3"/>
            <w:tcBorders>
              <w:top w:val="single" w:sz="8" w:space="0" w:color="81848E"/>
              <w:bottom w:val="single" w:sz="8" w:space="0" w:color="2A4CF9"/>
            </w:tcBorders>
            <w:tcMar>
              <w:top w:w="30" w:type="dxa"/>
              <w:left w:w="0" w:type="dxa"/>
              <w:bottom w:w="30" w:type="dxa"/>
              <w:right w:w="0" w:type="dxa"/>
            </w:tcMar>
            <w:vAlign w:val="center"/>
          </w:tcPr>
          <w:p>
            <w:pPr>
              <w:pStyle w:val="TableContents"/>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Ratification of the appointment of KPMG LLP as the Company’s independent registered public accounting firm for the fiscal year ending December 31, 2025.</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do I vote?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For Proposal No. 1, you may either vote “For” all the nominees to the Board of Directors, you may withhold your vote from all the nominees or you may withhold your vote from any nominee you specify. You may not vote your proxy “For” the election of any persons other than the three named nominees. For all other matters to be voted on, you may vote “For” or “Against” or abstain from voting on the applicable proposal.</w:t>
      </w:r>
    </w:p>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Stockholder of Record: Shares Registered in Your Name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you are a stockholder of record, you may vote by proxy using a proxy card, vote by proxy on the Internet or by telephone as set forth in the Notice, or vote at the Annual Meeting. Regardless of whether you plan to attend the Annual Meeting, we urge you to vote by proxy to ensure your vote is counted. You may still attend the Annual Meeting and vote if you have already voted by proxy.</w:t>
      </w:r>
    </w:p>
    <w:tbl>
      <w:tblPr>
        <w:tblW w:w="10205" w:type="dxa"/>
        <w:jc w:val="left"/>
        <w:tblInd w:w="0" w:type="dxa"/>
        <w:tblLayout w:type="fixed"/>
        <w:tblCellMar>
          <w:top w:w="28" w:type="dxa"/>
          <w:left w:w="28" w:type="dxa"/>
          <w:bottom w:w="28" w:type="dxa"/>
          <w:right w:w="28" w:type="dxa"/>
        </w:tblCellMar>
      </w:tblPr>
      <w:tblGrid>
        <w:gridCol w:w="188"/>
        <w:gridCol w:w="166"/>
        <w:gridCol w:w="167"/>
        <w:gridCol w:w="401"/>
        <w:gridCol w:w="401"/>
        <w:gridCol w:w="402"/>
        <w:gridCol w:w="109"/>
        <w:gridCol w:w="109"/>
        <w:gridCol w:w="109"/>
        <w:gridCol w:w="168"/>
        <w:gridCol w:w="168"/>
        <w:gridCol w:w="170"/>
        <w:gridCol w:w="410"/>
        <w:gridCol w:w="410"/>
        <w:gridCol w:w="411"/>
        <w:gridCol w:w="109"/>
        <w:gridCol w:w="109"/>
        <w:gridCol w:w="109"/>
        <w:gridCol w:w="148"/>
        <w:gridCol w:w="148"/>
        <w:gridCol w:w="150"/>
        <w:gridCol w:w="409"/>
        <w:gridCol w:w="409"/>
        <w:gridCol w:w="410"/>
        <w:gridCol w:w="109"/>
        <w:gridCol w:w="109"/>
        <w:gridCol w:w="109"/>
        <w:gridCol w:w="148"/>
        <w:gridCol w:w="148"/>
        <w:gridCol w:w="150"/>
        <w:gridCol w:w="1064"/>
        <w:gridCol w:w="1064"/>
        <w:gridCol w:w="151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266700" cy="180975"/>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266700" cy="180975"/>
                          </a:xfrm>
                          <a:prstGeom prst="rect">
                            <a:avLst/>
                          </a:prstGeom>
                        </pic:spPr>
                      </pic:pic>
                    </a:graphicData>
                  </a:graphic>
                </wp:inline>
              </w:drawing>
            </w:r>
          </w:p>
        </w:tc>
        <w:tc>
          <w:tcPr>
            <w:tcW w:w="1204"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val="false"/>
                <w:color w:val="2D3243"/>
                <w:sz w:val="18"/>
              </w:rPr>
              <w:t xml:space="preserve">To vote using the proxy card, request a proxy card from us by email at </w:t>
            </w:r>
            <w:r>
              <w:rPr>
                <w:rFonts w:ascii="Tenorite;sans-serif" w:hAnsi="Tenorite;sans-serif"/>
                <w:b w:val="false"/>
                <w:color w:val="2A4CF9"/>
                <w:sz w:val="18"/>
              </w:rPr>
              <w:t>ir@five9.com</w:t>
            </w:r>
            <w:r>
              <w:rPr>
                <w:rFonts w:ascii="Tenorite;sans-serif" w:hAnsi="Tenorite;sans-serif"/>
                <w:b w:val="false"/>
                <w:color w:val="2D3243"/>
                <w:sz w:val="18"/>
              </w:rPr>
              <w:t>, and complete, date and sign the proxy card and return it promptly in the envelope provided. If you return your signed proxy card to us before the Annual Meeting, we will vote your shares as you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266700" cy="26670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266700" cy="266700"/>
                          </a:xfrm>
                          <a:prstGeom prst="rect">
                            <a:avLst/>
                          </a:prstGeom>
                        </pic:spPr>
                      </pic:pic>
                    </a:graphicData>
                  </a:graphic>
                </wp:inline>
              </w:drawing>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To vote on the Internet, please follow the instructions provided on your proxy card or the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228600" cy="352425"/>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228600" cy="352425"/>
                          </a:xfrm>
                          <a:prstGeom prst="rect">
                            <a:avLst/>
                          </a:prstGeom>
                        </pic:spPr>
                      </pic:pic>
                    </a:graphicData>
                  </a:graphic>
                </wp:inline>
              </w:drawing>
            </w:r>
          </w:p>
        </w:tc>
        <w:tc>
          <w:tcPr>
            <w:tcW w:w="1228" w:type="dxa"/>
            <w:gridSpan w:val="3"/>
            <w:vMerge w:val="restart"/>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To vote by telephone, please follow the instructions provided on your proxy card or the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228600" cy="27622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228600" cy="276225"/>
                          </a:xfrm>
                          <a:prstGeom prst="rect">
                            <a:avLst/>
                          </a:prstGeom>
                        </pic:spPr>
                      </pic:pic>
                    </a:graphicData>
                  </a:graphic>
                </wp:inline>
              </w:drawing>
            </w:r>
          </w:p>
        </w:tc>
        <w:tc>
          <w:tcPr>
            <w:tcW w:w="3642"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val="false"/>
                <w:color w:val="2D3243"/>
                <w:sz w:val="18"/>
              </w:rPr>
              <w:t xml:space="preserve">To vote at the Annual Meeting, attend the Annual Meeting online and follow the instructions posted at </w:t>
            </w:r>
            <w:r>
              <w:rPr>
                <w:rFonts w:ascii="Tenorite;sans-serif" w:hAnsi="Tenorite;sans-serif"/>
                <w:b w:val="false"/>
                <w:color w:val="2A4CF9"/>
                <w:sz w:val="18"/>
              </w:rPr>
              <w:t>www.virtualshareholdermeeting.com/FIVN2025</w:t>
            </w:r>
            <w:r>
              <w:rPr>
                <w:rFonts w:ascii="Tenorite;sans-serif" w:hAnsi="Tenorite;sans-serif"/>
                <w:b w:val="false"/>
                <w:color w:val="2D3243"/>
                <w:sz w:val="18"/>
              </w:rPr>
              <w:t>.</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40410"/>
                <wp:effectExtent l="0" t="0" r="0" b="0"/>
                <wp:wrapNone/>
                <wp:docPr id="25" name="Frame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45"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474"/>
        <w:gridCol w:w="474"/>
        <w:gridCol w:w="671"/>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f414a3427b4e569da780bdc4ac5731_13">
              <w:r>
                <w:rPr>
                  <w:rStyle w:val="InternetLink"/>
                  <w:rFonts w:ascii="Tenorite;sans-serif" w:hAnsi="Tenorite;sans-serif"/>
                  <w:b w:val="false"/>
                  <w:color w:val="000080"/>
                  <w:sz w:val="16"/>
                  <w:u w:val="single"/>
                </w:rPr>
                <w:t>T</w:t>
              </w:r>
            </w:hyperlink>
            <w:hyperlink w:anchor="i8bf414a3427b4e569da780bdc4ac5731_13">
              <w:r>
                <w:rPr>
                  <w:rStyle w:val="InternetLink"/>
                  <w:rFonts w:ascii="Tenorite;sans-serif" w:hAnsi="Tenorite;sans-serif"/>
                  <w:b w:val="false"/>
                  <w:color w:val="000080"/>
                  <w:sz w:val="16"/>
                  <w:u w:val="single"/>
                </w:rPr>
                <w:t>able of Contents</w:t>
              </w:r>
            </w:hyperlink>
          </w:p>
        </w:tc>
      </w:tr>
    </w:tbl>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Beneficial Owner: Shares Registered in the Name of a Broker or Bank</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See “Who can vote at the Annual Meeting? — Beneficial Owner: Shares Registered in the Name of a Broker or Bank” for voting instructions if you beneficially own shares held in street name.</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many votes do I have?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On each matter to be voted upon, you have one vote for each share of Common Stock you own as of the close of business on March 25, 2025.</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What if I return a proxy card but do not make specific choices?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you return a signed and dated proxy card without marking any voting selections, your shares will be voted as follows: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For all” with respect to the election of the three (3) nominees for director,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For” the approval of, on a non-binding, advisory basis, the compensation of our named executive officers, as disclosed in this Proxy Statement, and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For” the ratification of KPMG LLP as our independent registered public accounting firm for the fiscal year ending December 31, 2025.</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any other matter is properly presented at the meeting, your proxy (one of the individuals named on your proxy card) will vote your shares using his or her best judgment.</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Who is paying for this proxy solicitation?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Five9 will pay for the entire cost of soliciting proxies. In addition to Five9 mailing these proxy materials, the Notice and the annual report (as applicable), Five9’s directors and employees may also solicit proxies in person, by telephone or by other means of communication. Directors and employees will not be paid any additional compensation for soliciting proxies. Five9 has engaged Alliance Advisors to serve as its proxy solicitor for the Annual Meeting at a base fee of $15,000 plus reimbursement of reasonable expenses. Alliance Advisors will perform solicitation services to secure votes from our stockholders, including institutional investors and retail owners. Five9 may reimburse brokerage firms, banks and other agents for the cost of forwarding proxy materials to beneficial owners.</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What does it mean if I receive more than one set of proxy materials?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you receive more than one set of proxy materials (including multiple copies of this Proxy Statement and multiple proxy cards or multiple Notices), your shares are registered in more than one name or are registered in different accounts. Please follow each of the separate proxy voting instructions that you receive for your shares of Common Stock held in each of your different accounts.</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Can I change my vote after submitting my proxy?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Yes. You can revoke your proxy at any time before the final vote at the Annual Meeting.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you are a stockholder of record, you may revoke your proxy in any one of the following ways: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You may submit another properly completed proxy card with a later date.</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You may vote again on a later date over the Internet or by telephone as set forth on the Notice.</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You may send a written notice that you are revoking your proxy to the Secretary of the Company at Five9, Inc., 3001 Bishop Drive, Suite 350, San Ramon, CA 94583.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40410"/>
                <wp:effectExtent l="0" t="0" r="0" b="0"/>
                <wp:wrapNone/>
                <wp:docPr id="26" name="Frame1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4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23"/>
        <w:gridCol w:w="623"/>
        <w:gridCol w:w="88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Questions And Answers</w:t>
            </w:r>
          </w:p>
        </w:tc>
      </w:tr>
    </w:tbl>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You may attend the virtual Annual Meeting and vote online by following the instructions posted at </w:t>
      </w:r>
      <w:r>
        <w:rPr>
          <w:rFonts w:ascii="Tenorite;sans-serif" w:hAnsi="Tenorite;sans-serif"/>
          <w:b w:val="false"/>
          <w:color w:val="2A4CF9"/>
          <w:sz w:val="18"/>
        </w:rPr>
        <w:t>www.virtualshareholdermeeting.com/FIVN2025</w:t>
      </w:r>
      <w:r>
        <w:rPr>
          <w:rFonts w:ascii="Tenorite;sans-serif" w:hAnsi="Tenorite;sans-serif"/>
          <w:b w:val="false"/>
          <w:color w:val="2D3243"/>
          <w:sz w:val="18"/>
        </w:rPr>
        <w:t>. Simply logging into the Annual Meeting will not, by itself, revoke your proxy or prior vote.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you are a beneficial owner of shares held in street name, you may change your vote in any one of the following ways: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You may submit new voting instructions to your broker, trustee or nominee.</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If you have obtained a legal proxy from the broker, trustee or nominee that holds your shares giving you the right to vote the shares, by telephone or the Internet according to the instructions on your proxy card or by attending the virtual Annual Meeting and following the instructions posted at </w:t>
      </w:r>
      <w:r>
        <w:rPr>
          <w:rFonts w:ascii="Tenorite;sans-serif" w:hAnsi="Tenorite;sans-serif"/>
          <w:b w:val="false"/>
          <w:color w:val="2A4CF9"/>
          <w:sz w:val="18"/>
        </w:rPr>
        <w:t>www.virtualshareholdermeeting.com/FIVN2025</w:t>
      </w:r>
      <w:r>
        <w:rPr>
          <w:rFonts w:ascii="Tenorite;sans-serif" w:hAnsi="Tenorite;sans-serif"/>
          <w:b w:val="false"/>
          <w:color w:val="2D3243"/>
          <w:sz w:val="18"/>
        </w:rPr>
        <w:t>.</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are votes counted?</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Votes will be counted by the inspector of elections appointed for the meeting as follows: </w:t>
      </w:r>
    </w:p>
    <w:p>
      <w:pPr>
        <w:pStyle w:val="TextBody"/>
        <w:bidi w:val="0"/>
        <w:spacing w:lineRule="auto" w:line="384" w:before="0" w:after="180"/>
        <w:jc w:val="left"/>
        <w:rPr/>
      </w:pPr>
      <w:r>
        <w:rPr>
          <w:rFonts w:ascii="Tenorite;sans-serif" w:hAnsi="Tenorite;sans-serif"/>
          <w:b/>
          <w:color w:val="2D3243"/>
          <w:sz w:val="18"/>
        </w:rPr>
        <w:t xml:space="preserve">Proposal No. 1. </w:t>
      </w:r>
      <w:r>
        <w:rPr>
          <w:rFonts w:ascii="Tenorite;sans-serif" w:hAnsi="Tenorite;sans-serif"/>
          <w:b w:val="false"/>
          <w:color w:val="2D3243"/>
          <w:sz w:val="18"/>
        </w:rPr>
        <w:t>The inspector of elections will count “For” votes. Withhold, abstentions and broker non-votes will not affect the outcome of Proposal No. 1.</w:t>
      </w:r>
    </w:p>
    <w:p>
      <w:pPr>
        <w:pStyle w:val="TextBody"/>
        <w:bidi w:val="0"/>
        <w:spacing w:lineRule="auto" w:line="384" w:before="0" w:after="180"/>
        <w:jc w:val="left"/>
        <w:rPr/>
      </w:pPr>
      <w:r>
        <w:rPr>
          <w:rFonts w:ascii="Tenorite;sans-serif" w:hAnsi="Tenorite;sans-serif"/>
          <w:b/>
          <w:color w:val="2D3243"/>
          <w:sz w:val="18"/>
        </w:rPr>
        <w:t>Proposal No. 2.</w:t>
      </w:r>
      <w:r>
        <w:rPr>
          <w:color w:val="2D3243"/>
        </w:rPr>
        <w:t xml:space="preserve"> </w:t>
      </w:r>
      <w:r>
        <w:rPr>
          <w:rFonts w:ascii="Tenorite;sans-serif" w:hAnsi="Tenorite;sans-serif"/>
          <w:b w:val="false"/>
          <w:color w:val="2D3243"/>
          <w:sz w:val="18"/>
        </w:rPr>
        <w:t>The inspector of elections will count “For” and “Against” votes. Abstentions and broker non-votes will not affect the outcome of Proposal No. 2 as they are not considered to be votes cast affirmatively or negatively on such matter.</w:t>
      </w:r>
    </w:p>
    <w:p>
      <w:pPr>
        <w:pStyle w:val="TextBody"/>
        <w:bidi w:val="0"/>
        <w:spacing w:lineRule="auto" w:line="384" w:before="0" w:after="180"/>
        <w:jc w:val="left"/>
        <w:rPr/>
      </w:pPr>
      <w:r>
        <w:rPr>
          <w:rFonts w:ascii="Tenorite;sans-serif" w:hAnsi="Tenorite;sans-serif"/>
          <w:b/>
          <w:color w:val="2D3243"/>
          <w:sz w:val="18"/>
        </w:rPr>
        <w:t>Proposal No. 3.</w:t>
      </w:r>
      <w:r>
        <w:rPr>
          <w:color w:val="2D3243"/>
        </w:rPr>
        <w:t xml:space="preserve"> </w:t>
      </w:r>
      <w:r>
        <w:rPr>
          <w:rFonts w:ascii="Tenorite;sans-serif" w:hAnsi="Tenorite;sans-serif"/>
          <w:b w:val="false"/>
          <w:color w:val="2D3243"/>
          <w:sz w:val="18"/>
        </w:rPr>
        <w:t>The inspector of elections will count “For” and “Against” votes. Abstentions will not affect the outcome of Proposal No. 3 as they are not considered to be votes cast affirmatively or negatively on such matter. Brokers have discretionary voting authority to vote on Proposal No. 3 in the absence of voting instructions from their customers. As a result, there should be no broker non-votes with respect to this proposal, but if there are any such broker non-votes, they will not affect the outcome of Proposal 3.</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See “How many votes are needed to approve each proposal?” for further details regarding the votes needed to approve each proposal.</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What is a “broker non-vote”?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your shares are held by your broker, bank or other similar organization as your nominee (that is, in “street name”), you will need to follow the voting instructions provided by that organization on how to vote your shares. If you do not provide voting instructions, your shares may constitute “broker non-votes.” Generally, broker non-votes occur on a matter when a broker, bank or other organization is not permitted to vote on that matter, including the election of directors or executive compensation matters, without instructions from the beneficial owner and instructions are not given.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While broker non-votes will be counted as present for the purpose of determining the presence of a quorum at the meeting, broker non-votes will not affect the outcome of any matter being voted on at the meeting. See “How are votes counted?” for further details regarding the effect of broker non-votes on the proposals set forth in this Proxy Statement.</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many votes are needed to approve each proposal?</w:t>
      </w:r>
    </w:p>
    <w:p>
      <w:pPr>
        <w:pStyle w:val="TextBody"/>
        <w:bidi w:val="0"/>
        <w:spacing w:lineRule="auto" w:line="384" w:before="0" w:after="180"/>
        <w:jc w:val="left"/>
        <w:rPr/>
      </w:pPr>
      <w:r>
        <w:rPr>
          <w:rFonts w:ascii="Tenorite;sans-serif" w:hAnsi="Tenorite;sans-serif"/>
          <w:b/>
          <w:color w:val="2D3243"/>
          <w:sz w:val="18"/>
        </w:rPr>
        <w:t xml:space="preserve">Proposal No. 1. </w:t>
      </w:r>
      <w:r>
        <w:rPr>
          <w:rFonts w:ascii="Tenorite;sans-serif" w:hAnsi="Tenorite;sans-serif"/>
          <w:b w:val="false"/>
          <w:color w:val="2D3243"/>
          <w:sz w:val="18"/>
        </w:rPr>
        <w:t xml:space="preserve">Directors are elected by a plurality of the affirmative votes cast “For” a director nominee at the Annual Meeting. The nominees for director receiving the highest number of affirmative “For” votes will be elected. Stockholders may not cumulate votes in the election of directors. </w:t>
      </w:r>
    </w:p>
    <w:p>
      <w:pPr>
        <w:pStyle w:val="TextBody"/>
        <w:bidi w:val="0"/>
        <w:spacing w:lineRule="auto" w:line="384" w:before="0" w:after="180"/>
        <w:jc w:val="left"/>
        <w:rPr/>
      </w:pPr>
      <w:r>
        <w:rPr>
          <w:rFonts w:ascii="Tenorite;sans-serif" w:hAnsi="Tenorite;sans-serif"/>
          <w:b/>
          <w:color w:val="2D3243"/>
          <w:sz w:val="18"/>
        </w:rPr>
        <w:t>Proposal No. 2.</w:t>
      </w:r>
      <w:r>
        <w:rPr>
          <w:color w:val="2D3243"/>
        </w:rPr>
        <w:t xml:space="preserve"> </w:t>
      </w:r>
      <w:r>
        <w:rPr>
          <w:rFonts w:ascii="Tenorite;sans-serif" w:hAnsi="Tenorite;sans-serif"/>
          <w:b w:val="false"/>
          <w:color w:val="2D3243"/>
          <w:sz w:val="18"/>
        </w:rPr>
        <w:t xml:space="preserve">Approval of, on a non-binding, advisory basis, the compensation of our named executive officers as disclosed in this Proxy Statement requires the affirmative “For” vote of a majority in voting power of the votes cast by the holders of all shares present in person, or represented by proxy, and voting affirmatively or negatively on such matter.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40410"/>
                <wp:effectExtent l="0" t="0" r="0" b="0"/>
                <wp:wrapNone/>
                <wp:docPr id="27" name="Frame1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45"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474"/>
        <w:gridCol w:w="474"/>
        <w:gridCol w:w="671"/>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f414a3427b4e569da780bdc4ac5731_13">
              <w:r>
                <w:rPr>
                  <w:rStyle w:val="InternetLink"/>
                  <w:rFonts w:ascii="Tenorite;sans-serif" w:hAnsi="Tenorite;sans-serif"/>
                  <w:b w:val="false"/>
                  <w:color w:val="000080"/>
                  <w:sz w:val="16"/>
                  <w:u w:val="single"/>
                </w:rPr>
                <w:t>T</w:t>
              </w:r>
            </w:hyperlink>
            <w:hyperlink w:anchor="i8bf414a3427b4e569da780bdc4ac5731_13">
              <w:r>
                <w:rPr>
                  <w:rStyle w:val="InternetLink"/>
                  <w:rFonts w:ascii="Tenorite;sans-serif" w:hAnsi="Tenorite;sans-serif"/>
                  <w:b w:val="false"/>
                  <w:color w:val="000080"/>
                  <w:sz w:val="16"/>
                  <w:u w:val="single"/>
                </w:rPr>
                <w:t>able of Contents</w:t>
              </w:r>
            </w:hyperlink>
          </w:p>
        </w:tc>
      </w:tr>
    </w:tbl>
    <w:p>
      <w:pPr>
        <w:pStyle w:val="TextBody"/>
        <w:bidi w:val="0"/>
        <w:spacing w:lineRule="auto" w:line="384" w:before="0" w:after="120"/>
        <w:jc w:val="left"/>
        <w:rPr/>
      </w:pPr>
      <w:r>
        <w:rPr>
          <w:rFonts w:ascii="Tenorite;sans-serif" w:hAnsi="Tenorite;sans-serif"/>
          <w:b/>
          <w:color w:val="2D3243"/>
          <w:sz w:val="18"/>
        </w:rPr>
        <w:t>Proposal No. 3</w:t>
      </w:r>
      <w:r>
        <w:rPr>
          <w:rFonts w:ascii="Tenorite;sans-serif" w:hAnsi="Tenorite;sans-serif"/>
          <w:b w:val="false"/>
          <w:color w:val="2D3243"/>
          <w:sz w:val="18"/>
        </w:rPr>
        <w:t>. Ratification of the appointment of KPMG LLP as the Company’s independent registered public accounting firm for the fiscal year ending December 31, 2025 requires the affirmative “For” vote of a majority in voting power of the votes cast by the holders of all shares present in person, or represented by proxy, and voting affirmatively or negatively on such matter.</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See “How are votes counted?” for further details regarding the effect of abstentions and broker-non votes on the proposals set forth in this Proxy Statement.</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What are the Board’s voting recommendations?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Proposal No. 1. “For all” with respect to the nominees to the Board of Directors.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Proposal No. 2. “For” the approval of, on a non-binding, advisory basis, the compensation of our named executive officers as disclosed in this Proxy Statement.</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Proposal No. 3. “For” the ratification of the appointment of KPMG LLP as the Company’s independent registered public accounting firm for the fiscal year ending December 31, 2025.</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What is the quorum requirement?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 quorum of stockholders is necessary to hold a valid meeting. A quorum will be present if a majority of all outstanding shares is represented by stockholders at the Annual Meeting, in person, by means of remote communication or by proxy. On the Record Date, there were 76,243,231 shares of Common Stock outstanding and entitled to vote. Thus, 38,121,616 shares must be represented by stockholders present at the Annual Meeting or by proxy to have a quorum. Your shares will be counted towards the quorum if you submit a valid proxy or vote at the Annual Meeting. In addition, under the General Corporation Law of the State of Delaware, abstentions and broker non-votes will be counted as present for the purpose of determining the presence of a quorum.</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can I find out the results of the voting at the Annual Meeting?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Preliminary voting results will be announced at the Annual Meeting. Final voting results will be published in a Current Report on Form 8-K within four business days following the Annual Meeting. In the event we are unable to obtain the final voting results within four business days, we will file the preliminary voting results in a Current Report on Form 8-K within four business days following the Annual Meeting, and will file an amended Form 8-K with the final voting results within four business days after the final voting results are known.</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can stockholders submit a proposal for inclusion in our proxy statement for the 2026 annual meeting of stockholders?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To be included in our proxy statement for the 2026 annual meeting of stockholders, stockholder proposals must comply with the requirements of Rule 14a-8 under the Securities Exchange Act of 1934, as amended (the “Exchange Act”). Except as provided below, stockholder proposals must be received by our Secretary at our principal executive offices no later than December 8, 2025.</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addition to satisfying the requirements under our amended and restated bylaws (the “Bylaws”), stockholders who intend to solicit proxies in support of director nominees, other than our nominees, must provide notice that sets forth the information required by Rule 14a-19 under the Exchange Act to comply with the universal proxy rules, which notice must be postmarked or transmitted electronically to us at our principal executive offices no later than March 22, 2026. However, if the date of the 2026 annual meeting is changed by more than 30 calendar days from the anniversary date of the 2025 annual meeting of stockholders, then notice must be provided by the later of 60 calendar days prior to the date of the 2026 annual meeting or the 10th calendar day following the day on which public announcement of the date of the 2026 annual meeting is first made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40410"/>
                <wp:effectExtent l="0" t="0" r="0" b="0"/>
                <wp:wrapNone/>
                <wp:docPr id="28" name="Frame1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4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23"/>
        <w:gridCol w:w="623"/>
        <w:gridCol w:w="88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Questions And Answers</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How can stockholders submit proposals to be raised at the 2026 annual meeting of stockholders that will not be included in our proxy statement for the 2026 annual meeting of stockholders?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To be raised at the 2026 annual meeting of stockholders, stockholder proposals must comply with our Bylaws. Under our Bylaws, a stockholder must give advance written notice to our Secretary of any business, including nominations of directors for our Board, which the stockholder wishes to raise at the 2026 annual meeting of stockholders. Except as provided below, a stockholder’s notice must be delivered to our Secretary at our principal executive offices no earlier than January 21, 2026 and no later than February 20, 2026, in order to be raised at our 2026 annual meeting of stockholders. If a stockholder wishes only to recommend a candidate for consideration by the Nominating and Governance Committee as a potential nominee for director, see the procedures discussed in “Corporate Governance — Nominating and Governance Committee.”</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What if the date of the 2026 annual meeting of stockholders changes by more than 30 days from the anniversary of this year’s Annual Meeting?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Under Rule 14a-8 of the Exchange Act, if the date of the 2026 annual meeting of stockholders changes by more than 30 days from the anniversary of this year’s Annual Meeting, to be included in our proxy statement for such meeting, stockholder proposals must be received by us within a reasonable time before our solicitation is made. Under our Bylaws, if the date of the 2026 annual meeting of stockholders is more than thirty (30) days before or more than seventy (70) days after the anniversary of the Annual Meeting, for stockholder proposals that will not be included in our proxy statement for such meeting, notice of such proposal must be delivered no earlier than the close of business on the one hundred twentieth (120) day prior to the 2026 annual meeting, nor later than the close of business on the later of (A) the ninetieth (90) day prior to the 2026 annual meeting or (B) the tenth (10) day following the day on which public announcement of the date of the 2026 annual meeting is first made by the Company.</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Does a stockholder proposal require specific information?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To be included in our proxy statement, stockholder proposals must comply with the requirements of Rule 14a-8 under the Exchange Act. With respect to a stockholder’s nomination of a candidate for our Board, the stockholder notice to our Secretary must contain certain information required by our Bylaws regarding both the nominee and the stockholder making the nomination. With respect to any other business that the stockholder proposes, the stockholder notice must contain a brief description of such business and the reasons for conducting such business at the meeting, as well as certain other information required by our Bylaws. If you wish to bring a stockholder proposal or nominate a candidate for director, you are advised to review Rule 14a-8 under the Exchange Act and our Bylaws, as applicable, which contain additional requirements about advance notice of stockholder proposals and director nominations.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40410"/>
                <wp:effectExtent l="0" t="0" r="0" b="0"/>
                <wp:wrapNone/>
                <wp:docPr id="29" name="Frame1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64" w:before="0" w:after="0"/>
        <w:jc w:val="left"/>
        <w:rPr>
          <w:rFonts w:ascii="Tenorite;sans-serif" w:hAnsi="Tenorite;sans-serif"/>
          <w:b w:val="false"/>
          <w:color w:val="2D3243"/>
          <w:sz w:val="64"/>
        </w:rPr>
      </w:pPr>
      <w:r>
        <w:rPr>
          <w:rFonts w:ascii="Tenorite;sans-serif" w:hAnsi="Tenorite;sans-serif"/>
          <w:b w:val="false"/>
          <w:color w:val="2D3243"/>
          <w:sz w:val="64"/>
        </w:rPr>
        <w:t>Proposal No. 1</w:t>
      </w:r>
    </w:p>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Election of Directors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Company’s amended and restated certificate of incorporation (the “Charter”) and Bylaws provide for a classified Board of Directors. There are three classes of directors, with each class of directors serving three-year terms that end in successive years. Five9 currently has authorized ten directors. Mr. Acosta, a current Class II director, will serve the remainder of his term, which will end with the Annual Meeting. As of close of the Annual Meeting, the authorized number of directors will be reduced to nine directors and the authorized number of Class II directors will be reduced to three directors. Three Class II directors are standing for election at the Annual Meeting, to serve until the 2028 annual meeting of stockholders or until their successors are duly elected and qualified. The directors being nominated for election to the Board of Directors (each, a “Nominee”), their ages as of April 7, 2025, the date of this Proxy Statement, their positions and offices held with Five9 and certain biographical information are set forth below.</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proxy holders intend to vote all proxies received by them "FOR" the Nominees listed below unless otherwise instructed. In the event that any Nominee is unable or declines to serve as a director at the time of the Annual Meeting, the proxies will be voted for any nominee who may be designated by the current Board of Directors to fill the vacancy. As of the date of this Proxy Statement, the Board of Directors is not aware that any Nominee is unable or will decline to serve as a director. The three Nominees receiving the highest number of affirmative votes of the shares entitled to vote at the Annual Meeting will be elected directors of Five9. Proxies cannot be voted for more than three individuals. For further information about how votes will be counted, please refer to “How many votes are needed to approve each proposal.” in the Questions and Answers about this Proxy Material and Voting section above.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following table sets forth, for the Class II nominees and our other current directors who will continue in office after the Annual Meeting, and information with respect to their ages and positions held with Five9 as of April 7, 2025, the date of this Proxy Statement.</w:t>
      </w:r>
    </w:p>
    <w:tbl>
      <w:tblPr>
        <w:tblW w:w="6971" w:type="dxa"/>
        <w:jc w:val="left"/>
        <w:tblInd w:w="0" w:type="dxa"/>
        <w:tblLayout w:type="fixed"/>
        <w:tblCellMar>
          <w:top w:w="28" w:type="dxa"/>
          <w:left w:w="28" w:type="dxa"/>
          <w:bottom w:w="28" w:type="dxa"/>
          <w:right w:w="28" w:type="dxa"/>
        </w:tblCellMar>
      </w:tblPr>
      <w:tblGrid>
        <w:gridCol w:w="747"/>
        <w:gridCol w:w="659"/>
        <w:gridCol w:w="665"/>
        <w:gridCol w:w="132"/>
        <w:gridCol w:w="132"/>
        <w:gridCol w:w="132"/>
        <w:gridCol w:w="187"/>
        <w:gridCol w:w="187"/>
        <w:gridCol w:w="188"/>
        <w:gridCol w:w="1153"/>
        <w:gridCol w:w="1153"/>
        <w:gridCol w:w="1636"/>
      </w:tblGrid>
      <w:tr>
        <w:trPr/>
        <w:tc>
          <w:tcPr>
            <w:tcW w:w="7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942"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39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Age</w:t>
            </w:r>
          </w:p>
        </w:tc>
        <w:tc>
          <w:tcPr>
            <w:tcW w:w="394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Positions Held with the Company</w:t>
            </w:r>
          </w:p>
        </w:tc>
      </w:tr>
      <w:tr>
        <w:trPr/>
        <w:tc>
          <w:tcPr>
            <w:tcW w:w="207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12"/>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i/>
                <w:color w:val="2D3243"/>
                <w:sz w:val="16"/>
              </w:rPr>
            </w:pPr>
            <w:r>
              <w:rPr>
                <w:rFonts w:ascii="Tenorite;sans-serif" w:hAnsi="Tenorite;sans-serif"/>
                <w:b w:val="false"/>
                <w:i/>
                <w:color w:val="2D3243"/>
                <w:sz w:val="16"/>
              </w:rPr>
              <w:t>Class II Director Nominees:</w:t>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942"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op w:val="single" w:sz="8" w:space="0" w:color="0336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Susan Barsamian</w:t>
            </w:r>
          </w:p>
        </w:tc>
        <w:tc>
          <w:tcPr>
            <w:tcW w:w="396" w:type="dxa"/>
            <w:gridSpan w:val="3"/>
            <w:tcBorders>
              <w:top w:val="single" w:sz="8" w:space="0" w:color="033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336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65</w:t>
            </w:r>
          </w:p>
        </w:tc>
        <w:tc>
          <w:tcPr>
            <w:tcW w:w="3942" w:type="dxa"/>
            <w:gridSpan w:val="3"/>
            <w:tcBorders>
              <w:top w:val="single" w:sz="8" w:space="0" w:color="0336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w:t>
            </w:r>
          </w:p>
        </w:tc>
      </w:tr>
      <w:tr>
        <w:trPr/>
        <w:tc>
          <w:tcPr>
            <w:tcW w:w="207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Jonathan Mariner</w:t>
            </w:r>
          </w:p>
        </w:tc>
        <w:tc>
          <w:tcPr>
            <w:tcW w:w="39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70</w:t>
            </w:r>
          </w:p>
        </w:tc>
        <w:tc>
          <w:tcPr>
            <w:tcW w:w="394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w:t>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David Welsh</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57</w:t>
            </w:r>
          </w:p>
        </w:tc>
        <w:tc>
          <w:tcPr>
            <w:tcW w:w="3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 Lead Independent Director</w:t>
            </w:r>
          </w:p>
        </w:tc>
      </w:tr>
      <w:tr>
        <w:trPr/>
        <w:tc>
          <w:tcPr>
            <w:tcW w:w="6971" w:type="dxa"/>
            <w:gridSpan w:val="12"/>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i/>
                <w:color w:val="2D3243"/>
                <w:sz w:val="16"/>
              </w:rPr>
            </w:pPr>
            <w:r>
              <w:rPr>
                <w:rFonts w:ascii="Tenorite;sans-serif" w:hAnsi="Tenorite;sans-serif"/>
                <w:b w:val="false"/>
                <w:i/>
                <w:color w:val="2D3243"/>
                <w:sz w:val="16"/>
              </w:rPr>
              <w:t>Class III Directors whose terms expire at the 2026 annual meeting of stockholders</w:t>
            </w:r>
          </w:p>
        </w:tc>
      </w:tr>
      <w:tr>
        <w:trPr/>
        <w:tc>
          <w:tcPr>
            <w:tcW w:w="2071" w:type="dxa"/>
            <w:gridSpan w:val="3"/>
            <w:tcBorders>
              <w:top w:val="single" w:sz="8" w:space="0" w:color="0336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396" w:type="dxa"/>
            <w:gridSpan w:val="3"/>
            <w:tcBorders>
              <w:top w:val="single" w:sz="8" w:space="0" w:color="033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336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62</w:t>
            </w:r>
          </w:p>
        </w:tc>
        <w:tc>
          <w:tcPr>
            <w:tcW w:w="3942" w:type="dxa"/>
            <w:gridSpan w:val="3"/>
            <w:tcBorders>
              <w:top w:val="single" w:sz="8" w:space="0" w:color="0336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 Chief Executive Officer</w:t>
            </w:r>
          </w:p>
        </w:tc>
      </w:tr>
      <w:tr>
        <w:trPr/>
        <w:tc>
          <w:tcPr>
            <w:tcW w:w="207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Sagar Gupta</w:t>
            </w:r>
          </w:p>
        </w:tc>
        <w:tc>
          <w:tcPr>
            <w:tcW w:w="39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37</w:t>
            </w:r>
          </w:p>
        </w:tc>
        <w:tc>
          <w:tcPr>
            <w:tcW w:w="394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w:t>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942"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Robert Zollars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67</w:t>
            </w:r>
          </w:p>
        </w:tc>
        <w:tc>
          <w:tcPr>
            <w:tcW w:w="3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w:t>
            </w:r>
          </w:p>
        </w:tc>
      </w:tr>
      <w:tr>
        <w:trPr/>
        <w:tc>
          <w:tcPr>
            <w:tcW w:w="6971" w:type="dxa"/>
            <w:gridSpan w:val="12"/>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i/>
                <w:color w:val="2D3243"/>
                <w:sz w:val="16"/>
              </w:rPr>
            </w:pPr>
            <w:r>
              <w:rPr>
                <w:rFonts w:ascii="Tenorite;sans-serif" w:hAnsi="Tenorite;sans-serif"/>
                <w:b w:val="false"/>
                <w:i/>
                <w:color w:val="2D3243"/>
                <w:sz w:val="16"/>
              </w:rPr>
              <w:t>Class I Directors whose terms expire at the 2027 annual meeting of stockholders</w:t>
            </w:r>
          </w:p>
        </w:tc>
      </w:tr>
      <w:tr>
        <w:trPr/>
        <w:tc>
          <w:tcPr>
            <w:tcW w:w="2071"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Burdiek</w:t>
            </w:r>
          </w:p>
        </w:tc>
        <w:tc>
          <w:tcPr>
            <w:tcW w:w="396"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65</w:t>
            </w:r>
          </w:p>
        </w:tc>
        <w:tc>
          <w:tcPr>
            <w:tcW w:w="3942"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w:t>
            </w:r>
          </w:p>
        </w:tc>
      </w:tr>
      <w:tr>
        <w:trPr/>
        <w:tc>
          <w:tcPr>
            <w:tcW w:w="207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Julie Iskow</w:t>
            </w:r>
          </w:p>
        </w:tc>
        <w:tc>
          <w:tcPr>
            <w:tcW w:w="39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63</w:t>
            </w:r>
          </w:p>
        </w:tc>
        <w:tc>
          <w:tcPr>
            <w:tcW w:w="394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w:t>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Maria Walker</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60</w:t>
            </w:r>
          </w:p>
        </w:tc>
        <w:tc>
          <w:tcPr>
            <w:tcW w:w="3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w:t>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942"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9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40410"/>
                <wp:effectExtent l="0" t="0" r="0" b="0"/>
                <wp:wrapNone/>
                <wp:docPr id="30" name="Frame1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32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81"/>
        <w:gridCol w:w="381"/>
        <w:gridCol w:w="542"/>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val="false"/>
                <w:color w:val="2D3243"/>
                <w:sz w:val="16"/>
              </w:rPr>
            </w:pPr>
            <w:r>
              <w:rPr>
                <w:rFonts w:ascii="Tenorite;sans-serif" w:hAnsi="Tenorite;sans-serif"/>
                <w:b w:val="false"/>
                <w:color w:val="2D3243"/>
                <w:sz w:val="16"/>
              </w:rPr>
              <w:t>Proposal No.1</w:t>
            </w:r>
          </w:p>
        </w:tc>
      </w:tr>
    </w:tbl>
    <w:p>
      <w:pPr>
        <w:pStyle w:val="TextBody"/>
        <w:bidi w:val="0"/>
        <w:spacing w:lineRule="auto" w:line="288" w:before="480" w:after="180"/>
        <w:jc w:val="left"/>
        <w:rPr>
          <w:rFonts w:ascii="Tenorite;sans-serif" w:hAnsi="Tenorite;sans-serif"/>
          <w:b/>
          <w:color w:val="2A4CF9"/>
          <w:sz w:val="24"/>
        </w:rPr>
      </w:pPr>
      <w:r>
        <w:rPr>
          <w:rFonts w:ascii="Tenorite;sans-serif" w:hAnsi="Tenorite;sans-serif"/>
          <w:b/>
          <w:color w:val="2A4CF9"/>
          <w:sz w:val="24"/>
        </w:rPr>
        <w:t xml:space="preserve">Information Regarding the Nominees </w:t>
      </w:r>
    </w:p>
    <w:tbl>
      <w:tblPr>
        <w:tblW w:w="10205" w:type="dxa"/>
        <w:jc w:val="left"/>
        <w:tblInd w:w="0" w:type="dxa"/>
        <w:tblLayout w:type="fixed"/>
        <w:tblCellMar>
          <w:top w:w="28" w:type="dxa"/>
          <w:left w:w="28" w:type="dxa"/>
          <w:bottom w:w="28" w:type="dxa"/>
          <w:right w:w="28" w:type="dxa"/>
        </w:tblCellMar>
      </w:tblPr>
      <w:tblGrid>
        <w:gridCol w:w="670"/>
        <w:gridCol w:w="588"/>
        <w:gridCol w:w="592"/>
        <w:gridCol w:w="109"/>
        <w:gridCol w:w="109"/>
        <w:gridCol w:w="109"/>
        <w:gridCol w:w="2347"/>
        <w:gridCol w:w="2347"/>
        <w:gridCol w:w="3334"/>
      </w:tblGrid>
      <w:tr>
        <w:trPr/>
        <w:tc>
          <w:tcPr>
            <w:tcW w:w="6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1095375" cy="10953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Susan Barsamian</w:t>
            </w:r>
            <w:r>
              <w:rPr>
                <w:rFonts w:ascii="Tenorite;sans-serif" w:hAnsi="Tenorite;sans-serif"/>
                <w:b w:val="false"/>
                <w:color w:val="2D3243"/>
                <w:sz w:val="18"/>
              </w:rPr>
              <w:t>, age 65, has served as a member of our Board of Directors since January 2021. Ms. Barsamian served as Chief Sales and Marketing Officer for Hewlett Packard Enterprise Software (“HPE”) from November 2016 to September 2017 through its merger with Micro Focus International plc in September 2017. From August 2015 to November 2016, she served as General Manager of Enterprise Security Products at HPE. From 2006 to 2015, she served in various roles at Hewlett Packard. Earlier in her career, she held leadership positions at Mercury Interactive and Verity, Inc. Since August 2020, she has served on the Board of Directors for Kansas State University Foundation. Ms. Barsamian currently serves on the Board of Directors of GEN Digital, Inc., a consumer cyber safety company, and Box, Inc., a cloud content management company. From 2012 to 2017, Ms. Barsamian served on the board of the National Action Council for Minorities in Engineering (NACME), and she served as Chairman of the Board of NACME from 2016 to 2017. Ms. Barsamian holds a B.S. with honors in electrical engineering from Kansas State University. She completed post-graduate studies at the Swiss Federal Institute of Technology in Zurich, Switzerland.</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 xml:space="preserve">Ms. Barsamian has been nominated to continue to serve on our Board of Directors because of her extensive product and leadership experience in the technology industry and service on the boards of directors of numerous other companies and organizations. </w:t>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 xml:space="preserve">Susan </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Barsamian</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65</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0"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40410"/>
                <wp:effectExtent l="0" t="0" r="0" b="0"/>
                <wp:wrapNone/>
                <wp:docPr id="32" name="Frame1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3221" w:type="dxa"/>
        <w:jc w:val="left"/>
        <w:tblInd w:w="0" w:type="dxa"/>
        <w:tblLayout w:type="fixed"/>
        <w:tblCellMar>
          <w:top w:w="28" w:type="dxa"/>
          <w:left w:w="28" w:type="dxa"/>
          <w:bottom w:w="28" w:type="dxa"/>
          <w:right w:w="28" w:type="dxa"/>
        </w:tblCellMar>
      </w:tblPr>
      <w:tblGrid>
        <w:gridCol w:w="462"/>
        <w:gridCol w:w="405"/>
        <w:gridCol w:w="408"/>
        <w:gridCol w:w="109"/>
        <w:gridCol w:w="109"/>
        <w:gridCol w:w="109"/>
        <w:gridCol w:w="474"/>
        <w:gridCol w:w="474"/>
        <w:gridCol w:w="671"/>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Proposal No.1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tbl>
      <w:tblPr>
        <w:tblW w:w="10205" w:type="dxa"/>
        <w:jc w:val="left"/>
        <w:tblInd w:w="0" w:type="dxa"/>
        <w:tblLayout w:type="fixed"/>
        <w:tblCellMar>
          <w:top w:w="28" w:type="dxa"/>
          <w:left w:w="28" w:type="dxa"/>
          <w:bottom w:w="28" w:type="dxa"/>
          <w:right w:w="28" w:type="dxa"/>
        </w:tblCellMar>
      </w:tblPr>
      <w:tblGrid>
        <w:gridCol w:w="665"/>
        <w:gridCol w:w="584"/>
        <w:gridCol w:w="586"/>
        <w:gridCol w:w="109"/>
        <w:gridCol w:w="109"/>
        <w:gridCol w:w="109"/>
        <w:gridCol w:w="2355"/>
        <w:gridCol w:w="2355"/>
        <w:gridCol w:w="3333"/>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1095375" cy="10953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Jonathan Mariner</w:t>
            </w:r>
            <w:r>
              <w:rPr>
                <w:rFonts w:ascii="Tenorite;sans-serif" w:hAnsi="Tenorite;sans-serif"/>
                <w:b w:val="false"/>
                <w:color w:val="2D3243"/>
                <w:sz w:val="18"/>
              </w:rPr>
              <w:t xml:space="preserve">, age 70, has served as a member of our Board of Directors since May 2023. Mr. Mariner is the founder and has served as president of TaxDay, LLC, a private software firm, since April 2016. Mr. Mariner previously served as the Chief Administrative Officer of Enjoy Technologies, a premium home delivery company that operated mobile retail stores for major consumer technology companies in North America and the U.K., from December 1, 2020 to September 30, 2022, and was a member of its board of directors. He also served, on an interim basis, from February 2019 to August 2019, as the Head of Regional Sports Networks for the Walt Disney Company. He spent the majority of his professional career as an executive in professional sports, serving as Executive Vice President and Chief Financial Officer for Major League Baseball from 2002 to 2014, where he led the league’s accounting, treasury and budgeting functions, completed more than a dozen franchise purchase and sale transactions, and helped create the league’s strategic investment fund, and as Chief Investment Officer from 2015 to 2016. Prior to his position at Major League Baseball, Jonathan was the CFO for the Florida Marlins Baseball Club, Florida Panthers Hockey Club and Dolphins Stadium. Mr. Mariner serves on the board of directors of OneStream, Inc. (formerly OneStream Software LLC) ("OneStream") an enterprise finance management software company, and Rocket Companies, Inc., a technology-driven real estate, mortgage and financial services business, where he also serves as the chair of its audit committee. He also serves on audit committees of private companies, including IEX Stock Exchange and Little League Baseball International. From May 2019 to February 2025, Mr. Mariner served on the board of directors of Tyson Foods, Inc., one of the world’s largest food companies, where he also served as the chair of the audit committee. From May 2017 to May 2019, Mr. Mariner also previously served as a director for Ultimate Software, a software company engaged in research, development, and delivery of human capital management technology, where he also served as the chair of its audit committee. From February 2016 to July 2021, Mr. Mariner served as a director of McGraw Hill Education, a global education company that partners with millions of educators, learners and professionals around the world, where he also served on its compensation committee and chaired its audit committee. </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 xml:space="preserve">Mr. Mariner has been nominated to continue to serve on our Board of Directors because of his extensive accounting, financial, operating and management experience, financial expertise through his service as chief financial officer of several companies, and experience in overseeing auditors and financial audits, as well as his service on the boards of directors and other leadership positions with numerous other companies and organizations. </w:t>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 xml:space="preserve">Jonathan </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 xml:space="preserve">Mariner </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70</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5"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40410"/>
                <wp:effectExtent l="0" t="0" r="0" b="0"/>
                <wp:wrapNone/>
                <wp:docPr id="34" name="Frame1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32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81"/>
        <w:gridCol w:w="381"/>
        <w:gridCol w:w="542"/>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val="false"/>
                <w:color w:val="2D3243"/>
                <w:sz w:val="16"/>
              </w:rPr>
            </w:pPr>
            <w:r>
              <w:rPr>
                <w:rFonts w:ascii="Tenorite;sans-serif" w:hAnsi="Tenorite;sans-serif"/>
                <w:b w:val="false"/>
                <w:color w:val="2D3243"/>
                <w:sz w:val="16"/>
              </w:rPr>
              <w:t>Proposal No.1</w:t>
            </w:r>
          </w:p>
        </w:tc>
      </w:tr>
    </w:tbl>
    <w:tbl>
      <w:tblPr>
        <w:tblW w:w="10205" w:type="dxa"/>
        <w:jc w:val="left"/>
        <w:tblInd w:w="0" w:type="dxa"/>
        <w:tblLayout w:type="fixed"/>
        <w:tblCellMar>
          <w:top w:w="28" w:type="dxa"/>
          <w:left w:w="28" w:type="dxa"/>
          <w:bottom w:w="28" w:type="dxa"/>
          <w:right w:w="28" w:type="dxa"/>
        </w:tblCellMar>
      </w:tblPr>
      <w:tblGrid>
        <w:gridCol w:w="658"/>
        <w:gridCol w:w="578"/>
        <w:gridCol w:w="579"/>
        <w:gridCol w:w="109"/>
        <w:gridCol w:w="109"/>
        <w:gridCol w:w="109"/>
        <w:gridCol w:w="2357"/>
        <w:gridCol w:w="2357"/>
        <w:gridCol w:w="3349"/>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76325" cy="1076325"/>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1076325" cy="1076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David Welsh,</w:t>
            </w:r>
            <w:r>
              <w:rPr>
                <w:color w:val="2D3243"/>
              </w:rPr>
              <w:t xml:space="preserve"> </w:t>
            </w:r>
            <w:r>
              <w:rPr>
                <w:rFonts w:ascii="Tenorite;sans-serif" w:hAnsi="Tenorite;sans-serif"/>
                <w:b w:val="false"/>
                <w:color w:val="2D3243"/>
                <w:sz w:val="18"/>
              </w:rPr>
              <w:t>age 57, has served as a member of our Board of Directors since January 2011 and has served as our Lead Independent Director since February 2014. Mr. Welsh also served as a member of our Board of Directors from May 2005 to March 2007. Mr. Welsh is a Partner and is Head of Tech Growth Equity within KKR’s Private Equity platform, where he serves on the Tech Growth Equity investment committee. Prior to joining KKR in October 2016, Mr. Welsh was a Partner with Adams Street Partners, a venture capital firm, from April 2008 to September 2016. From March 2007 to April 2008, Mr. Welsh served as Executive Vice President of Corporate Strategy and Business Development of McAfee, Inc. From June 2000 to March 2007, Mr. Welsh served as a General Partner of Partech International, LLC, a venture capital firm. Since 2019, Mr. Welsh has served on the board of directors of OneStream. From August 2017 to August 2023, Mr. Welsh served on the board of directors of ForgeRock, Inc., a digital identity company, that was acquired by Thoma Bravo in August 2023. Mr. Welsh holds a J.D. degree from the University of California, Berkeley, School of Law and a B.A. degree in International Relations from the University of California, Los Angeles.</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Mr. Welsh has been nominated to continue to serve on our Board of Directors because of his experience as a venture capitalist, his corporate strategy and business development expertise and service on the boards of directors of numerous other companies.</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 xml:space="preserve">David </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 xml:space="preserve">Welsh </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57</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07" w:type="dxa"/>
        <w:jc w:val="center"/>
        <w:tblInd w:w="0" w:type="dxa"/>
        <w:tblLayout w:type="fixed"/>
        <w:tblCellMar>
          <w:top w:w="28" w:type="dxa"/>
          <w:left w:w="28" w:type="dxa"/>
          <w:bottom w:w="28" w:type="dxa"/>
          <w:right w:w="28" w:type="dxa"/>
        </w:tblCellMar>
      </w:tblPr>
      <w:tblGrid>
        <w:gridCol w:w="2382"/>
        <w:gridCol w:w="2098"/>
        <w:gridCol w:w="2109"/>
        <w:gridCol w:w="851"/>
        <w:gridCol w:w="851"/>
        <w:gridCol w:w="1216"/>
      </w:tblGrid>
      <w:tr>
        <w:trPr/>
        <w:tc>
          <w:tcPr>
            <w:tcW w:w="23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658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Tenorite;sans-serif" w:hAnsi="Tenorite;sans-serif"/>
                <w:b/>
                <w:color w:val="2A4CF9"/>
                <w:sz w:val="24"/>
              </w:rPr>
            </w:pPr>
            <w:r>
              <w:rPr>
                <w:rFonts w:ascii="Tenorite;sans-serif" w:hAnsi="Tenorite;sans-serif"/>
                <w:b/>
                <w:color w:val="2A4CF9"/>
                <w:sz w:val="24"/>
              </w:rPr>
              <w:t>VOTE</w:t>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7" w:type="dxa"/>
            <w:gridSpan w:val="6"/>
            <w:tcBorders/>
            <w:tcMar>
              <w:top w:w="0" w:type="dxa"/>
              <w:left w:w="0" w:type="dxa"/>
              <w:bottom w:w="0" w:type="dxa"/>
              <w:right w:w="0" w:type="dxa"/>
            </w:tcMar>
            <w:vAlign w:val="center"/>
          </w:tcPr>
          <w:p>
            <w:pPr>
              <w:pStyle w:val="TableContents"/>
              <w:bidi w:val="0"/>
              <w:spacing w:lineRule="auto" w:line="336" w:before="0" w:after="240"/>
              <w:jc w:val="left"/>
              <w:rPr/>
            </w:pPr>
            <w:r>
              <w:rPr>
                <w:rFonts w:ascii="Tenorite;sans-serif" w:hAnsi="Tenorite;sans-serif"/>
                <w:b/>
                <w:color w:val="2D3243"/>
                <w:sz w:val="22"/>
              </w:rPr>
              <w:t xml:space="preserve">The Board of Directors Recommends a Vote </w:t>
            </w:r>
            <w:r>
              <w:rPr>
                <w:color w:val="2A4CF9"/>
              </w:rPr>
              <w:t>“</w:t>
            </w:r>
            <w:r>
              <w:rPr>
                <w:rFonts w:ascii="Tenorite;sans-serif" w:hAnsi="Tenorite;sans-serif"/>
                <w:b/>
                <w:color w:val="2A4CF9"/>
                <w:sz w:val="24"/>
              </w:rPr>
              <w:t xml:space="preserve">FOR” </w:t>
            </w:r>
            <w:r>
              <w:rPr>
                <w:rFonts w:ascii="Tenorite;sans-serif" w:hAnsi="Tenorite;sans-serif"/>
                <w:b/>
                <w:color w:val="2D3243"/>
                <w:sz w:val="22"/>
              </w:rPr>
              <w:t>Each Named Nominee.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40410"/>
                <wp:effectExtent l="0" t="0" r="0" b="0"/>
                <wp:wrapNone/>
                <wp:docPr id="36" name="Frame1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3221" w:type="dxa"/>
        <w:jc w:val="left"/>
        <w:tblInd w:w="0" w:type="dxa"/>
        <w:tblLayout w:type="fixed"/>
        <w:tblCellMar>
          <w:top w:w="28" w:type="dxa"/>
          <w:left w:w="28" w:type="dxa"/>
          <w:bottom w:w="28" w:type="dxa"/>
          <w:right w:w="28" w:type="dxa"/>
        </w:tblCellMar>
      </w:tblPr>
      <w:tblGrid>
        <w:gridCol w:w="462"/>
        <w:gridCol w:w="405"/>
        <w:gridCol w:w="408"/>
        <w:gridCol w:w="109"/>
        <w:gridCol w:w="109"/>
        <w:gridCol w:w="109"/>
        <w:gridCol w:w="474"/>
        <w:gridCol w:w="474"/>
        <w:gridCol w:w="671"/>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Proposal No.1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300" w:after="180"/>
        <w:jc w:val="left"/>
        <w:rPr>
          <w:rFonts w:ascii="Tenorite;sans-serif" w:hAnsi="Tenorite;sans-serif"/>
          <w:b/>
          <w:color w:val="2A4CF9"/>
          <w:sz w:val="24"/>
        </w:rPr>
      </w:pPr>
      <w:r>
        <w:rPr>
          <w:rFonts w:ascii="Tenorite;sans-serif" w:hAnsi="Tenorite;sans-serif"/>
          <w:b/>
          <w:color w:val="2A4CF9"/>
          <w:sz w:val="24"/>
        </w:rPr>
        <w:t>Information Regarding Other Directors Continuing in Office</w:t>
      </w:r>
    </w:p>
    <w:p>
      <w:pPr>
        <w:pStyle w:val="TextBody"/>
        <w:bidi w:val="0"/>
        <w:spacing w:lineRule="auto" w:line="288" w:before="0" w:after="180"/>
        <w:jc w:val="left"/>
        <w:rPr>
          <w:rFonts w:ascii="Tenorite;sans-serif" w:hAnsi="Tenorite;sans-serif"/>
          <w:b/>
          <w:i/>
          <w:color w:val="2D3243"/>
          <w:sz w:val="20"/>
        </w:rPr>
      </w:pPr>
      <w:r>
        <w:rPr>
          <w:rFonts w:ascii="Tenorite;sans-serif" w:hAnsi="Tenorite;sans-serif"/>
          <w:b/>
          <w:i/>
          <w:color w:val="2D3243"/>
          <w:sz w:val="20"/>
        </w:rPr>
        <w:t>Class III Directors — Term ending at the 2026 annual meeting of stockholders</w:t>
      </w:r>
    </w:p>
    <w:tbl>
      <w:tblPr>
        <w:tblW w:w="10205" w:type="dxa"/>
        <w:jc w:val="left"/>
        <w:tblInd w:w="0" w:type="dxa"/>
        <w:tblLayout w:type="fixed"/>
        <w:tblCellMar>
          <w:top w:w="28" w:type="dxa"/>
          <w:left w:w="28" w:type="dxa"/>
          <w:bottom w:w="28" w:type="dxa"/>
          <w:right w:w="28" w:type="dxa"/>
        </w:tblCellMar>
      </w:tblPr>
      <w:tblGrid>
        <w:gridCol w:w="667"/>
        <w:gridCol w:w="585"/>
        <w:gridCol w:w="587"/>
        <w:gridCol w:w="109"/>
        <w:gridCol w:w="109"/>
        <w:gridCol w:w="109"/>
        <w:gridCol w:w="2351"/>
        <w:gridCol w:w="2351"/>
        <w:gridCol w:w="3337"/>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1095375" cy="10953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Michael Burkland</w:t>
            </w:r>
            <w:r>
              <w:rPr>
                <w:rFonts w:ascii="Tenorite;sans-serif" w:hAnsi="Tenorite;sans-serif"/>
                <w:b w:val="false"/>
                <w:color w:val="2D3243"/>
                <w:sz w:val="18"/>
              </w:rPr>
              <w:t xml:space="preserve">, age 62, has served as a member of our Board of Directors since January 2008 and has served as Chairman or Executive Chairman of the Board of Directors since February 2014. Mr. Burkland has served as our Chief Executive Officer from January 2008 to December 2017, and again since November 2022. He was also our President from January 2012 to December 2017. From 2002 to 2007, Mr. Burkland worked with the Interim CEO Network, serving as an interim CEO for venture-backed technology companies, as well as heading up the firm’s strategic advisory practice. From 2000 to 2001, Mr. Burkland served as Chief Executive Officer of Omniva Policy Systems Inc., a pioneer in enterprise policy management and e-mail security, where he built and implemented the company’s initial go-to-market strategy for the enterprise market. From 1994 to 1998, Mr. Burkland served as Chief Executive Officer of Eventus Software, Inc., a leading developer of web content management software, which was acquired by Segue Software, Inc. in 1998. Earlier in his career, he held various positions at Oracle Corporation, Patrol Software and BMC Software, Inc. Since 2019, Mr. Burkland has served on the board of directors of OneStream. Mr. Burkland served on the board of directors of Vocera Communications, Inc. from 2016 to 2022 when the company was sold to Stryker. Mr. Burkland holds M.B.A. and B.A. degrees from the University of California, Berkeley. Mr. Burkland is the brother of Daniel Burkland, the former President of the Company. </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 xml:space="preserve">Mr. Burkland shall continue to serve on our Board of Directors because of his perspective and experience as our Chief Executive Officer, and Chairman and board member and his extensive experience as a chief executive officer and board member of companies in the technology industry. </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 xml:space="preserve">Michael </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 xml:space="preserve">Burkland </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62</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9"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8"/>
        <w:gridCol w:w="586"/>
        <w:gridCol w:w="588"/>
        <w:gridCol w:w="109"/>
        <w:gridCol w:w="109"/>
        <w:gridCol w:w="109"/>
        <w:gridCol w:w="2352"/>
        <w:gridCol w:w="2352"/>
        <w:gridCol w:w="3332"/>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1095375" cy="1095375"/>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1095375" cy="10953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Sagar Gupta</w:t>
            </w:r>
            <w:r>
              <w:rPr>
                <w:rFonts w:ascii="Tenorite;sans-serif" w:hAnsi="Tenorite;sans-serif"/>
                <w:b w:val="false"/>
                <w:color w:val="2D3243"/>
                <w:sz w:val="18"/>
              </w:rPr>
              <w:t>, age 37, has served as a member of our Board of Directors since December 2024. Mr. Gupta has served as a Portfolio Manager and Head of Active Engagement at Anson Funds, a privately held alternative asset manager with US$2billion in assets, since October 2023. Prior to Anson Funds, he was a Senior Analyst at Legion Partners, a value-oriented activist investment manager, from January 2018 to September 2023 and served on the board of directors of Momentive Global, the holding company parent of SurveyMonkey from March 2022 to May 2023. Previously, from March 2015 to January 2018, Mr. Gupta was a member of the founding team at Finchwood Capital, a concentrated, long/short Technology, Media and Telecommunications equity hedge fund. Prior to Finchwood Capital, from March 2014 to February 2015, he was an investment professional at Balyasny Asset Management, a multi-strategy hedge fund, and from July 2012 to March 2014, he was at KKR as a member of the special situations and private debt investment teams. Mr. Gupta began his career as an investment banker with UBS. He holds a B.S. in business administration from the Haas School of Business at the University of California, Berkeley, where he graduated Beta Alpha Psi.</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 xml:space="preserve">Mr. Gupta shall continue to serve on our Board of Directors because of his extensive investment experience in numerous organizations. </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 xml:space="preserve">Sagar </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 xml:space="preserve">Gupta </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37</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2"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40410"/>
                <wp:effectExtent l="0" t="0" r="0" b="0"/>
                <wp:wrapNone/>
                <wp:docPr id="39" name="Frame1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32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81"/>
        <w:gridCol w:w="381"/>
        <w:gridCol w:w="542"/>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val="false"/>
                <w:color w:val="2D3243"/>
                <w:sz w:val="16"/>
              </w:rPr>
            </w:pPr>
            <w:r>
              <w:rPr>
                <w:rFonts w:ascii="Tenorite;sans-serif" w:hAnsi="Tenorite;sans-serif"/>
                <w:b w:val="false"/>
                <w:color w:val="2D3243"/>
                <w:sz w:val="16"/>
              </w:rPr>
              <w:t>Proposal No.1</w:t>
            </w:r>
          </w:p>
        </w:tc>
      </w:tr>
    </w:tbl>
    <w:tbl>
      <w:tblPr>
        <w:tblW w:w="10205" w:type="dxa"/>
        <w:jc w:val="left"/>
        <w:tblInd w:w="0" w:type="dxa"/>
        <w:tblLayout w:type="fixed"/>
        <w:tblCellMar>
          <w:top w:w="28" w:type="dxa"/>
          <w:left w:w="28" w:type="dxa"/>
          <w:bottom w:w="28" w:type="dxa"/>
          <w:right w:w="28" w:type="dxa"/>
        </w:tblCellMar>
      </w:tblPr>
      <w:tblGrid>
        <w:gridCol w:w="662"/>
        <w:gridCol w:w="582"/>
        <w:gridCol w:w="583"/>
        <w:gridCol w:w="109"/>
        <w:gridCol w:w="109"/>
        <w:gridCol w:w="109"/>
        <w:gridCol w:w="2355"/>
        <w:gridCol w:w="2355"/>
        <w:gridCol w:w="3341"/>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85850" cy="108585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1085850" cy="10858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3"/>
            <w:vMerge w:val="restart"/>
            <w:tcBorders/>
            <w:tcMar>
              <w:top w:w="0" w:type="dxa"/>
              <w:left w:w="0" w:type="dxa"/>
              <w:bottom w:w="0" w:type="dxa"/>
              <w:right w:w="0" w:type="dxa"/>
            </w:tcMar>
            <w:vAlign w:val="center"/>
          </w:tcPr>
          <w:p>
            <w:pPr>
              <w:pStyle w:val="TableContents"/>
              <w:bidi w:val="0"/>
              <w:spacing w:lineRule="auto" w:line="384" w:before="0" w:after="120"/>
              <w:jc w:val="left"/>
              <w:rPr/>
            </w:pPr>
            <w:r>
              <w:rPr>
                <w:rFonts w:ascii="Tenorite;sans-serif" w:hAnsi="Tenorite;sans-serif"/>
                <w:b/>
                <w:color w:val="2D3243"/>
                <w:sz w:val="18"/>
              </w:rPr>
              <w:t>Robert Zollars,</w:t>
            </w:r>
            <w:r>
              <w:rPr>
                <w:color w:val="2D3243"/>
              </w:rPr>
              <w:t xml:space="preserve"> </w:t>
            </w:r>
            <w:r>
              <w:rPr>
                <w:rFonts w:ascii="Tenorite;sans-serif" w:hAnsi="Tenorite;sans-serif"/>
                <w:b w:val="false"/>
                <w:color w:val="2D3243"/>
                <w:sz w:val="18"/>
              </w:rPr>
              <w:t>age 67, has served as a member of our Board of Directors since December 2013. Mr. Zollars served as Chairman and CEO of Vocera Communications, Inc. from 2007 to 2013, then executive chairman until May 2014 and as Vocera’s chairman until June 2015. Mr. Zollars served on the board of directors of Change Healthcare Inc., a technology provider to the healthcare industry from 2017 to 2022, when it was sold to United Healthcare. Since November 2014, Mr. Zollars has served in various roles at Frazier Healthcare Partners, a private growth equity firm, including currently as a senior advisor and previously as an operating partner. He served as executive chairman of Parata, a Frazier portfolio company, from 2015 to 2022 when it was sold to Becton Dickinson. From February 2005 to February 2016, Mr. Zollars served on the board of directors of Diamond Foods, Inc., a packaged foods company that was acquired by Snyder’s-Lance, Inc. in February 2016, and as chairman of its board of directors from February 2012 to February 2016. From May 2004 to November 2017, Mr. Zollars served as a member of the board of directors of VWR International, LLC, a global supplier to the life sciences industry. Mr. Zollars holds a B.S. degree in Marketing from Arizona State University, where he is currently a Trustee, and an M.B.A. degree in Finance from John F. Kennedy University. Mr. Zollars is a board leadership fellow with the National Association of Corporate Directors.</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 xml:space="preserve">Mr. Zollars shall continue to serve on our Board of Directors because of his experience as a Chief Executive Officer and service on the boards of directors of numerous other companies. </w:t>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Robert</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Zollars</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67</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40410"/>
                <wp:effectExtent l="0" t="0" r="0" b="0"/>
                <wp:wrapNone/>
                <wp:docPr id="41" name="Frame1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3221" w:type="dxa"/>
        <w:jc w:val="left"/>
        <w:tblInd w:w="0" w:type="dxa"/>
        <w:tblLayout w:type="fixed"/>
        <w:tblCellMar>
          <w:top w:w="28" w:type="dxa"/>
          <w:left w:w="28" w:type="dxa"/>
          <w:bottom w:w="28" w:type="dxa"/>
          <w:right w:w="28" w:type="dxa"/>
        </w:tblCellMar>
      </w:tblPr>
      <w:tblGrid>
        <w:gridCol w:w="462"/>
        <w:gridCol w:w="405"/>
        <w:gridCol w:w="408"/>
        <w:gridCol w:w="109"/>
        <w:gridCol w:w="109"/>
        <w:gridCol w:w="109"/>
        <w:gridCol w:w="474"/>
        <w:gridCol w:w="474"/>
        <w:gridCol w:w="671"/>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Proposal No.1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0" w:after="180"/>
        <w:jc w:val="left"/>
        <w:rPr>
          <w:rFonts w:ascii="Tenorite;sans-serif" w:hAnsi="Tenorite;sans-serif"/>
          <w:b/>
          <w:i/>
          <w:color w:val="2D3243"/>
          <w:sz w:val="20"/>
        </w:rPr>
      </w:pPr>
      <w:r>
        <w:rPr>
          <w:rFonts w:ascii="Tenorite;sans-serif" w:hAnsi="Tenorite;sans-serif"/>
          <w:b/>
          <w:i/>
          <w:color w:val="2D3243"/>
          <w:sz w:val="20"/>
        </w:rPr>
        <w:t>Class I Directors — Term ending at the 2027 annual meeting of stockholders</w:t>
      </w:r>
    </w:p>
    <w:tbl>
      <w:tblPr>
        <w:tblW w:w="10205" w:type="dxa"/>
        <w:jc w:val="left"/>
        <w:tblInd w:w="0" w:type="dxa"/>
        <w:tblLayout w:type="fixed"/>
        <w:tblCellMar>
          <w:top w:w="28" w:type="dxa"/>
          <w:left w:w="28" w:type="dxa"/>
          <w:bottom w:w="28" w:type="dxa"/>
          <w:right w:w="28" w:type="dxa"/>
        </w:tblCellMar>
      </w:tblPr>
      <w:tblGrid>
        <w:gridCol w:w="686"/>
        <w:gridCol w:w="602"/>
        <w:gridCol w:w="604"/>
        <w:gridCol w:w="109"/>
        <w:gridCol w:w="109"/>
        <w:gridCol w:w="109"/>
        <w:gridCol w:w="2336"/>
        <w:gridCol w:w="2336"/>
        <w:gridCol w:w="3314"/>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1095375" cy="10953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Michael Burdiek</w:t>
            </w:r>
            <w:r>
              <w:rPr>
                <w:rFonts w:ascii="Tenorite;sans-serif" w:hAnsi="Tenorite;sans-serif"/>
                <w:b w:val="false"/>
                <w:color w:val="2D3243"/>
                <w:sz w:val="18"/>
              </w:rPr>
              <w:t xml:space="preserve">, age 65, has served as a member of our Board of Directors since September 2015. From October 2020 to November 2021, Mr. Burdiek served as the Chief Executive Officer and also as a member of the board of directors of Motion Acquisition Corp. until its business combination with DocGo, Inc. Since November 2021, Mr. Burdiek has served on the board of directors of DocGo. From June 2011 to March 2020, Mr. Burdiek served as President and Chief Executive Officer and as a member of the board of directors of CalAmp Corp., a global provider of telematics software and technologies. Prior to CalAmp, Mr. Burdiek was President and Chief Executive Officer of Telenetics Corporation, a provider of networking and communications products. Mr. Burdiek holds an M.B.A. and an M.S. degree in electrical engineering from California State University, Fullerton, and a B.S. degree in electrical engineering from Kansas State University. </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 xml:space="preserve">Mr. Burdiek shall continue to serve on our Board of Directors because of his strategic and operational experience, experience as Chief Executive Officer of publicly traded companies, as well as his deep understanding of technology and go-to-market strategies. </w:t>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Michael Burdiek</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65</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2"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7"/>
        <w:gridCol w:w="586"/>
        <w:gridCol w:w="588"/>
        <w:gridCol w:w="109"/>
        <w:gridCol w:w="109"/>
        <w:gridCol w:w="109"/>
        <w:gridCol w:w="2351"/>
        <w:gridCol w:w="2351"/>
        <w:gridCol w:w="3335"/>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1095375" cy="10953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Julie Iskow,</w:t>
            </w:r>
            <w:r>
              <w:rPr>
                <w:color w:val="2D3243"/>
              </w:rPr>
              <w:t xml:space="preserve"> </w:t>
            </w:r>
            <w:r>
              <w:rPr>
                <w:rFonts w:ascii="Tenorite;sans-serif" w:hAnsi="Tenorite;sans-serif"/>
                <w:b w:val="false"/>
                <w:color w:val="2D3243"/>
                <w:sz w:val="18"/>
              </w:rPr>
              <w:t>age 63, has served as a member of our Board of Directors since February 2023. Ms. Iskow serves as the President and Chief Executive Officer of Workiva Inc. ("Workiva"), a position she has held since April 2023. She was previously the Executive Vice President and Chief Operating Officer of Workiva from October 2019 to March 2022, and the President and Chief Operating Officer from March 2022 to April 2023. Prior to joining Workiva, Ms. Iskow served as Chief Technology Officer of Medidata Solutions, Inc. from April 2015 to October 2019, and was also its Executive Vice President of Product Development from July 2016 to October 2019. From December 2013 to March 2015, Ms. Iskow served as Chief Information Officer and Senior Vice President at WageWorks, Inc., and prior to that as its Senior Vice President of Product Development and Vice President of Product Development. Ms. Iskow has also served as Vice President of Engineering at Asyst Technologies and GW Associates, Inc. Ms. Iskow has served as a member of the board of directors of Workiva since January 2021. Ms. Iskow also previously served as a member of the board of directors of Vocera Communications, Inc. from May 2019 until its acquisition in February 2022 and as a member of the board of directors of Cvent Holding Corp. from May 2022 to July 2022. Ms. Iskow earned a B.S. degree from the University of California, Berkeley and an M.S. degree from University of California, Davis.</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 xml:space="preserve">Ms. Iskow shall continue to serve on our Board of Directors because of her extensive leadership experience in the technology industry and service on the boards of directors and other leadership positions with numerous other companies and organizations. </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 xml:space="preserve">Julie </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Iskow</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63</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1"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40410"/>
                <wp:effectExtent l="0" t="0" r="0" b="0"/>
                <wp:wrapNone/>
                <wp:docPr id="44" name="Frame2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32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81"/>
        <w:gridCol w:w="381"/>
        <w:gridCol w:w="542"/>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val="false"/>
                <w:color w:val="2D3243"/>
                <w:sz w:val="16"/>
              </w:rPr>
            </w:pPr>
            <w:r>
              <w:rPr>
                <w:rFonts w:ascii="Tenorite;sans-serif" w:hAnsi="Tenorite;sans-serif"/>
                <w:b w:val="false"/>
                <w:color w:val="2D3243"/>
                <w:sz w:val="16"/>
              </w:rPr>
              <w:t>Proposal No.1</w:t>
            </w:r>
          </w:p>
        </w:tc>
      </w:tr>
    </w:tbl>
    <w:tbl>
      <w:tblPr>
        <w:tblW w:w="10205" w:type="dxa"/>
        <w:jc w:val="left"/>
        <w:tblInd w:w="0" w:type="dxa"/>
        <w:tblLayout w:type="fixed"/>
        <w:tblCellMar>
          <w:top w:w="28" w:type="dxa"/>
          <w:left w:w="28" w:type="dxa"/>
          <w:bottom w:w="28" w:type="dxa"/>
          <w:right w:w="28" w:type="dxa"/>
        </w:tblCellMar>
      </w:tblPr>
      <w:tblGrid>
        <w:gridCol w:w="669"/>
        <w:gridCol w:w="587"/>
        <w:gridCol w:w="589"/>
        <w:gridCol w:w="109"/>
        <w:gridCol w:w="109"/>
        <w:gridCol w:w="109"/>
        <w:gridCol w:w="2348"/>
        <w:gridCol w:w="2348"/>
        <w:gridCol w:w="3337"/>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1095375" cy="1095375"/>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1095375" cy="10953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Tenorite;sans-serif" w:hAnsi="Tenorite;sans-serif"/>
                <w:b/>
                <w:color w:val="2D3243"/>
                <w:sz w:val="18"/>
              </w:rPr>
              <w:t>Maria Walker,</w:t>
            </w:r>
            <w:r>
              <w:rPr>
                <w:color w:val="2D3243"/>
              </w:rPr>
              <w:t xml:space="preserve"> </w:t>
            </w:r>
            <w:r>
              <w:rPr>
                <w:rFonts w:ascii="Tenorite;sans-serif" w:hAnsi="Tenorite;sans-serif"/>
                <w:b w:val="false"/>
                <w:color w:val="2D3243"/>
                <w:sz w:val="18"/>
              </w:rPr>
              <w:t>age 60, has served as a member of our Board of Directors since May 2024. From August 2020 until her retirement in December 2023, Ms. Walker was a Founding Partner and Chief Financial Officer of Patient Square Capital, a private equity firm dedicated to investing in healthcare companies. Ms. Walker served as Chief Financial Officer of Montes Archimedes Acquisition Corp, a special purpose acquisition company from October of 2020 until September 2021 when it merged with Roivant Sciences. Ms. Walker also served on the board of directors of ForgeRock Inc. and as Audit Committee Chairman from November 2019 until August of 2023, when it was acquired by Thoma Bravo. From July 2018 to February 2020, Ms. Walker was co-founder and CEO of Recuerdo Therapeutics a seed stage biotech company. From 2008 to 2018, Ms. Walker held various leadership roles at KPMG U.S, a public accounting firm, including Audit Partner, Senior Director of the Venture Capital Practice and a Global Lead Partner, Private Equity and she led the Bay Area Asset Management Practice. Ms. Walker holds a B.A. in Economics from the University of California, San Diego.</w:t>
            </w:r>
          </w:p>
          <w:p>
            <w:pPr>
              <w:pStyle w:val="TableContents"/>
              <w:bidi w:val="0"/>
              <w:spacing w:lineRule="auto" w:line="336" w:before="0" w:after="240"/>
              <w:jc w:val="left"/>
              <w:rPr>
                <w:rFonts w:ascii="Tenorite;sans-serif" w:hAnsi="Tenorite;sans-serif"/>
                <w:b/>
                <w:color w:val="0D44FF"/>
                <w:sz w:val="18"/>
              </w:rPr>
            </w:pPr>
            <w:r>
              <w:rPr>
                <w:rFonts w:ascii="Tenorite;sans-serif" w:hAnsi="Tenorite;sans-serif"/>
                <w:b/>
                <w:color w:val="0D44FF"/>
                <w:sz w:val="18"/>
              </w:rPr>
              <w:t xml:space="preserve">Ms. Walker shall continue to serve on our Board of Directors because of her extensive accounting and financial experience, as well as her leadership experience in the technology industry and service on the board of directors, audit committee and other leadership positions with numerous other companies and organizations. </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A4CF9"/>
                <w:sz w:val="28"/>
              </w:rPr>
            </w:pPr>
            <w:r>
              <w:rPr>
                <w:rFonts w:ascii="Tenorite;sans-serif" w:hAnsi="Tenorite;sans-serif"/>
                <w:b/>
                <w:color w:val="2A4CF9"/>
                <w:sz w:val="28"/>
              </w:rPr>
              <w:t xml:space="preserve">Maria </w:t>
            </w:r>
          </w:p>
          <w:p>
            <w:pPr>
              <w:pStyle w:val="TableContents"/>
              <w:bidi w:val="0"/>
              <w:spacing w:lineRule="auto" w:line="288" w:before="0" w:after="180"/>
              <w:jc w:val="left"/>
              <w:rPr>
                <w:rFonts w:ascii="Tenorite;sans-serif" w:hAnsi="Tenorite;sans-serif"/>
                <w:b/>
                <w:color w:val="2A4CF9"/>
                <w:sz w:val="28"/>
              </w:rPr>
            </w:pPr>
            <w:r>
              <w:rPr>
                <w:rFonts w:ascii="Tenorite;sans-serif" w:hAnsi="Tenorite;sans-serif"/>
                <w:b/>
                <w:color w:val="2A4CF9"/>
                <w:sz w:val="28"/>
              </w:rPr>
              <w:t>Walker</w:t>
            </w:r>
          </w:p>
          <w:p>
            <w:pPr>
              <w:pStyle w:val="TableContents"/>
              <w:bidi w:val="0"/>
              <w:spacing w:lineRule="auto" w:line="336" w:before="0" w:after="0"/>
              <w:jc w:val="left"/>
              <w:rPr>
                <w:rFonts w:ascii="Tenorite;sans-serif" w:hAnsi="Tenorite;sans-serif"/>
                <w:b/>
                <w:color w:val="2A4CF9"/>
                <w:sz w:val="18"/>
              </w:rPr>
            </w:pPr>
            <w:r>
              <w:rPr>
                <w:rFonts w:ascii="Tenorite;sans-serif" w:hAnsi="Tenorite;sans-serif"/>
                <w:b/>
                <w:color w:val="2A4CF9"/>
                <w:sz w:val="18"/>
              </w:rPr>
              <w:t>Age: 60</w:t>
            </w:r>
          </w:p>
          <w:p>
            <w:pPr>
              <w:pStyle w:val="TableContents"/>
              <w:bidi w:val="0"/>
              <w:spacing w:lineRule="auto" w:line="336" w:before="0" w:after="240"/>
              <w:jc w:val="left"/>
              <w:rPr>
                <w:rFonts w:ascii="Tenorite;sans-serif" w:hAnsi="Tenorite;sans-serif"/>
                <w:b/>
                <w:color w:val="2A4CF9"/>
                <w:sz w:val="18"/>
              </w:rPr>
            </w:pPr>
            <w:r>
              <w:rPr>
                <w:rFonts w:ascii="Tenorite;sans-serif" w:hAnsi="Tenorite;sans-serif"/>
                <w:b/>
                <w:color w:val="2A4CF9"/>
                <w:sz w:val="18"/>
              </w:rPr>
              <w:t>Director Since: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5"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enorite;sans-serif" w:hAnsi="Tenorite;sans-serif"/>
          <w:b/>
          <w:color w:val="2D3243"/>
          <w:sz w:val="20"/>
        </w:rPr>
        <w:t>Director Skills Matrix</w:t>
      </w:r>
      <w:r>
        <w:rPr>
          <w:rFonts w:ascii="Tenorite;sans-serif" w:hAnsi="Tenorite;sans-serif"/>
          <w:b/>
          <w:color w:val="2D3243"/>
          <w:sz w:val="13"/>
        </w:rPr>
        <w:t xml:space="preserve">(1) </w:t>
      </w:r>
    </w:p>
    <w:tbl>
      <w:tblPr>
        <w:tblW w:w="11246" w:type="dxa"/>
        <w:jc w:val="left"/>
        <w:tblInd w:w="0" w:type="dxa"/>
        <w:tblLayout w:type="fixed"/>
        <w:tblCellMar>
          <w:top w:w="28" w:type="dxa"/>
          <w:left w:w="28" w:type="dxa"/>
          <w:bottom w:w="28" w:type="dxa"/>
          <w:right w:w="28" w:type="dxa"/>
        </w:tblCellMar>
      </w:tblPr>
      <w:tblGrid>
        <w:gridCol w:w="402"/>
        <w:gridCol w:w="248"/>
        <w:gridCol w:w="251"/>
        <w:gridCol w:w="305"/>
        <w:gridCol w:w="305"/>
        <w:gridCol w:w="306"/>
        <w:gridCol w:w="255"/>
        <w:gridCol w:w="255"/>
        <w:gridCol w:w="256"/>
        <w:gridCol w:w="315"/>
        <w:gridCol w:w="315"/>
        <w:gridCol w:w="316"/>
        <w:gridCol w:w="255"/>
        <w:gridCol w:w="255"/>
        <w:gridCol w:w="256"/>
        <w:gridCol w:w="625"/>
        <w:gridCol w:w="625"/>
        <w:gridCol w:w="626"/>
        <w:gridCol w:w="355"/>
        <w:gridCol w:w="355"/>
        <w:gridCol w:w="356"/>
        <w:gridCol w:w="245"/>
        <w:gridCol w:w="245"/>
        <w:gridCol w:w="246"/>
        <w:gridCol w:w="390"/>
        <w:gridCol w:w="390"/>
        <w:gridCol w:w="391"/>
        <w:gridCol w:w="350"/>
        <w:gridCol w:w="350"/>
        <w:gridCol w:w="351"/>
        <w:gridCol w:w="307"/>
        <w:gridCol w:w="307"/>
        <w:gridCol w:w="437"/>
      </w:tblGrid>
      <w:tr>
        <w:trPr/>
        <w:tc>
          <w:tcPr>
            <w:tcW w:w="40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4"/>
              </w:rPr>
            </w:pPr>
            <w:r>
              <w:rPr>
                <w:rFonts w:ascii="Tenorite;sans-serif" w:hAnsi="Tenorite;sans-serif"/>
                <w:b/>
                <w:color w:val="FFFFFF"/>
                <w:sz w:val="14"/>
              </w:rPr>
              <w:t>Name</w:t>
            </w:r>
          </w:p>
        </w:tc>
        <w:tc>
          <w:tcPr>
            <w:tcW w:w="916"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Executive Leadership</w:t>
            </w:r>
          </w:p>
        </w:tc>
        <w:tc>
          <w:tcPr>
            <w:tcW w:w="766"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Other public company board</w:t>
            </w:r>
          </w:p>
        </w:tc>
        <w:tc>
          <w:tcPr>
            <w:tcW w:w="946"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Technology Industry</w:t>
            </w:r>
          </w:p>
        </w:tc>
        <w:tc>
          <w:tcPr>
            <w:tcW w:w="766"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Financial</w:t>
            </w:r>
          </w:p>
        </w:tc>
        <w:tc>
          <w:tcPr>
            <w:tcW w:w="1876"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Sales/marketing.go-to-market</w:t>
            </w:r>
          </w:p>
        </w:tc>
        <w:tc>
          <w:tcPr>
            <w:tcW w:w="1066"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Enterprise risk management</w:t>
            </w:r>
          </w:p>
        </w:tc>
        <w:tc>
          <w:tcPr>
            <w:tcW w:w="736"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Cloud business</w:t>
            </w:r>
          </w:p>
        </w:tc>
        <w:tc>
          <w:tcPr>
            <w:tcW w:w="1171"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Cybersecurity, privacy and information security</w:t>
            </w:r>
          </w:p>
        </w:tc>
        <w:tc>
          <w:tcPr>
            <w:tcW w:w="1051" w:type="dxa"/>
            <w:gridSpan w:val="3"/>
            <w:tcBorders/>
            <w:shd w:fill="0336FF" w:val="clear"/>
            <w:tcMar>
              <w:top w:w="0" w:type="dxa"/>
              <w:left w:w="0" w:type="dxa"/>
              <w:bottom w:w="0" w:type="dxa"/>
              <w:right w:w="0" w:type="dxa"/>
            </w:tcMar>
            <w:vAlign w:val="center"/>
          </w:tcPr>
          <w:p>
            <w:pPr>
              <w:pStyle w:val="TableContents"/>
              <w:bidi w:val="0"/>
              <w:spacing w:lineRule="auto" w:line="288" w:before="0" w:after="0"/>
              <w:jc w:val="center"/>
              <w:rPr/>
            </w:pPr>
            <w:r>
              <w:rPr>
                <w:rFonts w:ascii="Tenorite;sans-serif" w:hAnsi="Tenorite;sans-serif"/>
                <w:b/>
                <w:color w:val="FFFFFF"/>
                <w:sz w:val="14"/>
              </w:rPr>
              <w:t>International Expansion</w:t>
            </w:r>
            <w:r>
              <w:rPr>
                <w:rFonts w:ascii="Tenorite;sans-serif" w:hAnsi="Tenorite;sans-serif"/>
                <w:b/>
                <w:color w:val="FFFFFF"/>
                <w:sz w:val="9"/>
              </w:rPr>
              <w:t>(3)</w:t>
            </w:r>
          </w:p>
        </w:tc>
        <w:tc>
          <w:tcPr>
            <w:tcW w:w="1051" w:type="dxa"/>
            <w:gridSpan w:val="3"/>
            <w:tcBorders/>
            <w:shd w:fill="0336FF" w:val="clear"/>
            <w:tcMar>
              <w:top w:w="0" w:type="dxa"/>
              <w:left w:w="0" w:type="dxa"/>
              <w:bottom w:w="0" w:type="dxa"/>
              <w:right w:w="0" w:type="dxa"/>
            </w:tcMar>
            <w:vAlign w:val="center"/>
          </w:tcPr>
          <w:p>
            <w:pPr>
              <w:pStyle w:val="TableContents"/>
              <w:bidi w:val="0"/>
              <w:spacing w:lineRule="auto" w:line="288" w:before="0" w:after="0"/>
              <w:jc w:val="center"/>
              <w:rPr/>
            </w:pPr>
            <w:r>
              <w:rPr>
                <w:rFonts w:ascii="Tenorite;sans-serif" w:hAnsi="Tenorite;sans-serif"/>
                <w:b/>
                <w:color w:val="FFFFFF"/>
                <w:sz w:val="14"/>
              </w:rPr>
              <w:t>Artificial Intelligence</w:t>
            </w:r>
            <w:r>
              <w:rPr>
                <w:rFonts w:ascii="Tenorite;sans-serif" w:hAnsi="Tenorite;sans-serif"/>
                <w:b/>
                <w:color w:val="FFFFFF"/>
                <w:sz w:val="9"/>
              </w:rPr>
              <w:t>(3)</w:t>
            </w:r>
          </w:p>
        </w:tc>
      </w:tr>
      <w:tr>
        <w:trPr/>
        <w:tc>
          <w:tcPr>
            <w:tcW w:w="901"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Michael Burkland</w:t>
            </w:r>
          </w:p>
        </w:tc>
        <w:tc>
          <w:tcPr>
            <w:tcW w:w="91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4"/>
              </w:rPr>
              <w:t>Jack Acosta</w:t>
            </w:r>
            <w:r>
              <w:rPr>
                <w:rFonts w:ascii="Tenorite;sans-serif" w:hAnsi="Tenorite;sans-serif"/>
                <w:b/>
                <w:color w:val="2D3243"/>
                <w:sz w:val="9"/>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Susan Barsamian</w:t>
            </w:r>
          </w:p>
        </w:tc>
        <w:tc>
          <w:tcPr>
            <w:tcW w:w="91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Michael Burdiek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r>
      <w:tr>
        <w:trPr/>
        <w:tc>
          <w:tcPr>
            <w:tcW w:w="901" w:type="dxa"/>
            <w:gridSpan w:val="3"/>
            <w:tcBorders/>
            <w:shd w:fill="E5E6E7"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4"/>
              </w:rPr>
              <w:t>Sagar Gupta</w:t>
            </w:r>
            <w:r>
              <w:rPr>
                <w:rFonts w:ascii="Tenorite;sans-serif" w:hAnsi="Tenorite;sans-serif"/>
                <w:b/>
                <w:color w:val="2D3243"/>
                <w:sz w:val="9"/>
              </w:rPr>
              <w:t>(4)</w:t>
            </w:r>
          </w:p>
        </w:tc>
        <w:tc>
          <w:tcPr>
            <w:tcW w:w="91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Julie Iskow</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r>
      <w:tr>
        <w:trPr/>
        <w:tc>
          <w:tcPr>
            <w:tcW w:w="90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Jonathan Mariner</w:t>
            </w:r>
          </w:p>
        </w:tc>
        <w:tc>
          <w:tcPr>
            <w:tcW w:w="91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4"/>
              </w:rPr>
              <w:t>Maria Walker</w:t>
            </w:r>
            <w:r>
              <w:rPr>
                <w:rFonts w:ascii="Tenorite;sans-serif" w:hAnsi="Tenorite;sans-serif"/>
                <w:b/>
                <w:color w:val="2D3243"/>
                <w:sz w:val="9"/>
              </w:rPr>
              <w:t>(4)</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David Welsh</w:t>
            </w:r>
          </w:p>
        </w:tc>
        <w:tc>
          <w:tcPr>
            <w:tcW w:w="91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r>
      <w:tr>
        <w:trPr/>
        <w:tc>
          <w:tcPr>
            <w:tcW w:w="901"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Robert Zollars</w:t>
            </w:r>
          </w:p>
        </w:tc>
        <w:tc>
          <w:tcPr>
            <w:tcW w:w="916"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946"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66"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876"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66"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736"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171" w:type="dxa"/>
            <w:gridSpan w:val="3"/>
            <w:tcBorders>
              <w:bottom w:val="single" w:sz="8" w:space="0" w:color="0336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336FF"/>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A4CF9"/>
                <w:sz w:val="24"/>
              </w:rPr>
            </w:pPr>
            <w:r>
              <w:rPr>
                <w:rFonts w:ascii="Wingdings;sans-serif" w:hAnsi="Wingdings;sans-serif"/>
                <w:b w:val="false"/>
                <w:color w:val="2A4CF9"/>
                <w:sz w:val="24"/>
              </w:rPr>
              <w:t>l</w:t>
            </w:r>
          </w:p>
        </w:tc>
        <w:tc>
          <w:tcPr>
            <w:tcW w:w="1051" w:type="dxa"/>
            <w:gridSpan w:val="3"/>
            <w:tcBorders>
              <w:bottom w:val="single" w:sz="8" w:space="0" w:color="0336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jc w:val="left"/>
        <w:rPr/>
      </w:pPr>
      <w:r>
        <w:rPr>
          <w:rFonts w:ascii="Tenorite;sans-serif" w:hAnsi="Tenorite;sans-serif"/>
          <w:b w:val="false"/>
          <w:color w:val="2D3243"/>
          <w:sz w:val="10"/>
        </w:rPr>
        <w:t xml:space="preserve">(1) </w:t>
      </w:r>
      <w:r>
        <w:rPr>
          <w:rFonts w:ascii="Tenorite;sans-serif" w:hAnsi="Tenorite;sans-serif"/>
          <w:b w:val="false"/>
          <w:color w:val="2D3243"/>
          <w:sz w:val="16"/>
        </w:rPr>
        <w:t xml:space="preserve">As of the date of this Proxy Statement. </w:t>
      </w:r>
    </w:p>
    <w:p>
      <w:pPr>
        <w:pStyle w:val="TextBody"/>
        <w:bidi w:val="0"/>
        <w:spacing w:lineRule="auto" w:line="360" w:before="0" w:after="60"/>
        <w:jc w:val="left"/>
        <w:rPr/>
      </w:pPr>
      <w:r>
        <w:rPr>
          <w:rFonts w:ascii="Tenorite;sans-serif" w:hAnsi="Tenorite;sans-serif"/>
          <w:b w:val="false"/>
          <w:color w:val="2D3243"/>
          <w:sz w:val="10"/>
        </w:rPr>
        <w:t xml:space="preserve">(2) </w:t>
      </w:r>
      <w:r>
        <w:rPr>
          <w:rFonts w:ascii="Tenorite;sans-serif" w:hAnsi="Tenorite;sans-serif"/>
          <w:b w:val="false"/>
          <w:color w:val="2D3243"/>
          <w:sz w:val="16"/>
        </w:rPr>
        <w:t>Mr. Acosta, a current Class II director, will serve the remainder of his term, which will end at the Annual Meeting.</w:t>
      </w:r>
    </w:p>
    <w:p>
      <w:pPr>
        <w:pStyle w:val="TextBody"/>
        <w:bidi w:val="0"/>
        <w:spacing w:lineRule="auto" w:line="360" w:before="0" w:after="60"/>
        <w:jc w:val="left"/>
        <w:rPr/>
      </w:pPr>
      <w:r>
        <w:rPr>
          <w:rFonts w:ascii="Tenorite;sans-serif" w:hAnsi="Tenorite;sans-serif"/>
          <w:b w:val="false"/>
          <w:color w:val="2D3243"/>
          <w:sz w:val="10"/>
        </w:rPr>
        <w:t xml:space="preserve">(3) </w:t>
      </w:r>
      <w:r>
        <w:rPr>
          <w:rFonts w:ascii="Tenorite;sans-serif" w:hAnsi="Tenorite;sans-serif"/>
          <w:b w:val="false"/>
          <w:color w:val="2D3243"/>
          <w:sz w:val="16"/>
        </w:rPr>
        <w:t xml:space="preserve">New category in 2024. </w:t>
      </w:r>
    </w:p>
    <w:p>
      <w:pPr>
        <w:pStyle w:val="TextBody"/>
        <w:bidi w:val="0"/>
        <w:spacing w:lineRule="auto" w:line="360" w:before="0" w:after="60"/>
        <w:jc w:val="left"/>
        <w:rPr/>
      </w:pPr>
      <w:r>
        <w:rPr>
          <w:rFonts w:ascii="Tenorite;sans-serif" w:hAnsi="Tenorite;sans-serif"/>
          <w:b w:val="false"/>
          <w:color w:val="2D3243"/>
          <w:sz w:val="10"/>
        </w:rPr>
        <w:t xml:space="preserve">(4) </w:t>
      </w:r>
      <w:r>
        <w:rPr>
          <w:rFonts w:ascii="Tenorite;sans-serif" w:hAnsi="Tenorite;sans-serif"/>
          <w:b w:val="false"/>
          <w:color w:val="2D3243"/>
          <w:sz w:val="16"/>
        </w:rPr>
        <w:t xml:space="preserve">Appointed to Board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40410"/>
                <wp:effectExtent l="0" t="0" r="0" b="0"/>
                <wp:wrapNone/>
                <wp:docPr id="46" name="Frame2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64" w:before="240" w:after="420"/>
        <w:jc w:val="left"/>
        <w:rPr>
          <w:rFonts w:ascii="Tenorite;sans-serif" w:hAnsi="Tenorite;sans-serif"/>
          <w:b w:val="false"/>
          <w:color w:val="2D3243"/>
          <w:sz w:val="64"/>
        </w:rPr>
      </w:pPr>
      <w:r>
        <w:rPr>
          <w:rFonts w:ascii="Tenorite;sans-serif" w:hAnsi="Tenorite;sans-serif"/>
          <w:b w:val="false"/>
          <w:color w:val="2D3243"/>
          <w:sz w:val="64"/>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80"/>
        <w:jc w:val="left"/>
        <w:rPr>
          <w:rFonts w:ascii="Tenorite;sans-serif" w:hAnsi="Tenorite;sans-serif"/>
          <w:b/>
          <w:color w:val="2A4CF9"/>
          <w:sz w:val="24"/>
        </w:rPr>
      </w:pPr>
      <w:r>
        <w:rPr>
          <w:rFonts w:ascii="Tenorite;sans-serif" w:hAnsi="Tenorite;sans-serif"/>
          <w:b/>
          <w:color w:val="2A4CF9"/>
          <w:sz w:val="24"/>
        </w:rPr>
        <w:t>Director Independence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Board of Directors reviews at least annually the independence of each director. During these reviews, our Board of Directors considers transactions and relationships between each director (and his or her immediate family and affiliates) and our company and its management to determine whether any such transactions or relationships are inconsistent with a determination that the director is independent. This review is based primarily on responses of the directors to questions in a directors’ and officers’ questionnaire regarding employment, business, familial, compensation and other relationships with us and our management.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Board of Directors has determined that each of Jack Acosta, Susan Barsamian, Michael Burdiek, Sagar Gupta, Julie Iskow, Jonathan Mariner, Maria Walker, David Welsh and Robert Zollars are independent under the applicable listing standards of NASDAQ.</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As required by NASDAQ, our independent directors meet in regularly scheduled executive sessions at which only independent directors are present.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Board Leadership Structure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Our Board of Directors does not have a policy requiring that the positions of Chairman and Chief Executive Officer be separate or be occupied by the same individual. Michael Burkland has served as the Chairman or Executive Chairman of the Board of Directors since February 2014. From December 2017 until November 2022, when Mr. Michael Burkland was re-appointed as our Chief Executive Officer, the roles were separate. Our Board of Directors believes that this leadership structure is appropriate at this time because it promotes the efficient and effective development and execution of our strategy and facilitates information flow between management and our Board of Directors, which are essential to effective governance. Mr. Michael Burkland is the director most familiar with our business and industry, and most capable of effectively identifying strategic priorities and leading the discussion and execution of strategy. Our Board of Directors periodically reviews its leadership structure and may separate the positions of Chairman and Chief Executive Officer in the future if it believes that would be in the best interests of the Company and its stockholders.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corporate governance guidelines provide that one of our independent directors shall serve as our Lead Independent Director at any time when our Chief Executive Officer serves as the Chairman of our Board of Directors or if the Chairman is not otherwise independent. Our Lead Independent Director presides over regular meetings of our independent directors, serves as a liaison between our Chairman and Chief Executive Officer and our independent directors, and performs such additional duties as our Board of Directors may otherwise determine and delegate. Mr. Welsh has served as our Lead Independent Director since February 2014.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Risk Oversight Management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Risk is inherent with every business and we face a number of risks, including strategic, financial, cybersecurity, operational, legal and compliance, artificial intelligence, environmental, social, governance and reputational risks. Our management is responsible for the day-to-day management of the risks that we face. Our Board of Directors as a whole has responsibility for the oversight of enterprise risk management, including cybersecurity. Our Audit Committee is responsible for overseeing the process by which management assesses and manages our exposure to risk, as well as our major financial risk exposures and the steps management takes to monitor and control such exposures, based on consultation with our management, independent auditors and our internal auditors. The Compensation Committee reviews processes and steps taken to mitigate material risks related to our compensation programs. The Nominating and Governance Committee is responsible for overseeing risks related to corporate governance, as well as sustainability and governance matters. The oversight roles of the Board of Directors and the committees are supported by management reporting processes that are designed to provide the Board, the Audit Committee, the Compensation Committee and the Nominating and Governance Committee visibility into the identification, assessment and management of critical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40410"/>
                <wp:effectExtent l="0" t="0" r="0" b="0"/>
                <wp:wrapNone/>
                <wp:docPr id="47" name="Frame2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Information Regarding the Board of Directors and Its Committees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Board of Directors has three standing committees: the Audit Committee, the Compensation Committee and the Nominating and Governance Committee. The following table provides membership information for each of these committees as of April 7, 2025:</w:t>
      </w:r>
    </w:p>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Committee Composition</w:t>
      </w:r>
    </w:p>
    <w:tbl>
      <w:tblPr>
        <w:tblW w:w="9732" w:type="dxa"/>
        <w:jc w:val="left"/>
        <w:tblInd w:w="0" w:type="dxa"/>
        <w:tblLayout w:type="fixed"/>
        <w:tblCellMar>
          <w:top w:w="28" w:type="dxa"/>
          <w:left w:w="28" w:type="dxa"/>
          <w:bottom w:w="28" w:type="dxa"/>
          <w:right w:w="28" w:type="dxa"/>
        </w:tblCellMar>
      </w:tblPr>
      <w:tblGrid>
        <w:gridCol w:w="620"/>
        <w:gridCol w:w="544"/>
        <w:gridCol w:w="546"/>
        <w:gridCol w:w="554"/>
        <w:gridCol w:w="554"/>
        <w:gridCol w:w="556"/>
        <w:gridCol w:w="829"/>
        <w:gridCol w:w="829"/>
        <w:gridCol w:w="831"/>
        <w:gridCol w:w="1133"/>
        <w:gridCol w:w="1133"/>
        <w:gridCol w:w="1603"/>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Audit Committee</w:t>
            </w:r>
          </w:p>
        </w:tc>
        <w:tc>
          <w:tcPr>
            <w:tcW w:w="248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Compensation Committee</w:t>
            </w:r>
          </w:p>
        </w:tc>
        <w:tc>
          <w:tcPr>
            <w:tcW w:w="386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Nominating And Governance Committee</w:t>
            </w:r>
          </w:p>
        </w:tc>
      </w:tr>
      <w:tr>
        <w:trPr/>
        <w:tc>
          <w:tcPr>
            <w:tcW w:w="171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Jack Acosta</w:t>
            </w:r>
            <w:r>
              <w:rPr>
                <w:rFonts w:ascii="Tenorite;sans-serif" w:hAnsi="Tenorite;sans-serif"/>
                <w:b/>
                <w:color w:val="2D3243"/>
                <w:sz w:val="10"/>
              </w:rPr>
              <w:t>(1)</w:t>
            </w:r>
          </w:p>
        </w:tc>
        <w:tc>
          <w:tcPr>
            <w:tcW w:w="166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180975" cy="180975"/>
                          </a:xfrm>
                          <a:prstGeom prst="rect">
                            <a:avLst/>
                          </a:prstGeom>
                        </pic:spPr>
                      </pic:pic>
                    </a:graphicData>
                  </a:graphic>
                </wp:inline>
              </w:drawing>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E5E6E7"/>
            </w:tcBorders>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Susan Barsamian</w:t>
            </w:r>
          </w:p>
        </w:tc>
        <w:tc>
          <w:tcPr>
            <w:tcW w:w="1664"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238125" cy="180975"/>
                          </a:xfrm>
                          <a:prstGeom prst="rect">
                            <a:avLst/>
                          </a:prstGeom>
                        </pic:spPr>
                      </pic:pic>
                    </a:graphicData>
                  </a:graphic>
                </wp:inline>
              </w:drawing>
            </w:r>
          </w:p>
        </w:tc>
        <w:tc>
          <w:tcPr>
            <w:tcW w:w="2489"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238125" cy="180975"/>
                          </a:xfrm>
                          <a:prstGeom prst="rect">
                            <a:avLst/>
                          </a:prstGeom>
                        </pic:spPr>
                      </pic:pic>
                    </a:graphicData>
                  </a:graphic>
                </wp:inline>
              </w:drawing>
            </w:r>
          </w:p>
        </w:tc>
        <w:tc>
          <w:tcPr>
            <w:tcW w:w="386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E5E6E7"/>
            </w:tcBorders>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Burdiek</w:t>
            </w:r>
          </w:p>
        </w:tc>
        <w:tc>
          <w:tcPr>
            <w:tcW w:w="1664"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238125" cy="180975"/>
                          </a:xfrm>
                          <a:prstGeom prst="rect">
                            <a:avLst/>
                          </a:prstGeom>
                        </pic:spPr>
                      </pic:pic>
                    </a:graphicData>
                  </a:graphic>
                </wp:inline>
              </w:drawing>
            </w:r>
          </w:p>
        </w:tc>
        <w:tc>
          <w:tcPr>
            <w:tcW w:w="2489"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31"/>
                          <a:stretch>
                            <a:fillRect/>
                          </a:stretch>
                        </pic:blipFill>
                        <pic:spPr bwMode="auto">
                          <a:xfrm>
                            <a:off x="0" y="0"/>
                            <a:ext cx="238125" cy="180975"/>
                          </a:xfrm>
                          <a:prstGeom prst="rect">
                            <a:avLst/>
                          </a:prstGeom>
                        </pic:spPr>
                      </pic:pic>
                    </a:graphicData>
                  </a:graphic>
                </wp:inline>
              </w:drawing>
            </w:r>
          </w:p>
        </w:tc>
        <w:tc>
          <w:tcPr>
            <w:tcW w:w="386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E5E6E7"/>
            </w:tcBorders>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Sagar Gupta</w:t>
            </w:r>
          </w:p>
        </w:tc>
        <w:tc>
          <w:tcPr>
            <w:tcW w:w="1664"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E5E6E7"/>
            </w:tcBorders>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Julie Iskow</w:t>
            </w:r>
          </w:p>
        </w:tc>
        <w:tc>
          <w:tcPr>
            <w:tcW w:w="1664"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2"/>
                          <a:stretch>
                            <a:fillRect/>
                          </a:stretch>
                        </pic:blipFill>
                        <pic:spPr bwMode="auto">
                          <a:xfrm>
                            <a:off x="0" y="0"/>
                            <a:ext cx="238125" cy="180975"/>
                          </a:xfrm>
                          <a:prstGeom prst="rect">
                            <a:avLst/>
                          </a:prstGeom>
                        </pic:spPr>
                      </pic:pic>
                    </a:graphicData>
                  </a:graphic>
                </wp:inline>
              </w:drawing>
            </w:r>
          </w:p>
        </w:tc>
        <w:tc>
          <w:tcPr>
            <w:tcW w:w="386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E5E6E7"/>
            </w:tcBorders>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Jonathan Mariner</w:t>
            </w:r>
          </w:p>
        </w:tc>
        <w:tc>
          <w:tcPr>
            <w:tcW w:w="1664"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238125" cy="180975"/>
                          </a:xfrm>
                          <a:prstGeom prst="rect">
                            <a:avLst/>
                          </a:prstGeom>
                        </pic:spPr>
                      </pic:pic>
                    </a:graphicData>
                  </a:graphic>
                </wp:inline>
              </w:drawing>
            </w:r>
          </w:p>
        </w:tc>
        <w:tc>
          <w:tcPr>
            <w:tcW w:w="248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34"/>
                          <a:stretch>
                            <a:fillRect/>
                          </a:stretch>
                        </pic:blipFill>
                        <pic:spPr bwMode="auto">
                          <a:xfrm>
                            <a:off x="0" y="0"/>
                            <a:ext cx="238125" cy="180975"/>
                          </a:xfrm>
                          <a:prstGeom prst="rect">
                            <a:avLst/>
                          </a:prstGeom>
                        </pic:spPr>
                      </pic:pic>
                    </a:graphicData>
                  </a:graphic>
                </wp:inline>
              </w:drawing>
            </w:r>
          </w:p>
        </w:tc>
      </w:tr>
      <w:tr>
        <w:trPr/>
        <w:tc>
          <w:tcPr>
            <w:tcW w:w="1710" w:type="dxa"/>
            <w:gridSpan w:val="3"/>
            <w:tcBorders>
              <w:top w:val="single" w:sz="8" w:space="0" w:color="E5E6E7"/>
            </w:tcBorders>
            <w:tcMar>
              <w:top w:w="3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Maria Walker</w:t>
            </w:r>
            <w:r>
              <w:rPr>
                <w:rFonts w:ascii="Tenorite;sans-serif" w:hAnsi="Tenorite;sans-serif"/>
                <w:b/>
                <w:color w:val="2D3243"/>
                <w:sz w:val="10"/>
              </w:rPr>
              <w:t>(1)(3)</w:t>
            </w:r>
          </w:p>
        </w:tc>
        <w:tc>
          <w:tcPr>
            <w:tcW w:w="1664" w:type="dxa"/>
            <w:gridSpan w:val="3"/>
            <w:tcBorders>
              <w:top w:val="single" w:sz="8" w:space="0" w:color="E5E6E7"/>
            </w:tcBorders>
            <w:tcMar>
              <w:left w:w="0" w:type="dxa"/>
              <w:bottom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4" descr=""/>
                          <pic:cNvPicPr>
                            <a:picLocks noChangeAspect="1" noChangeArrowheads="1"/>
                          </pic:cNvPicPr>
                        </pic:nvPicPr>
                        <pic:blipFill>
                          <a:blip r:embed="rId35"/>
                          <a:stretch>
                            <a:fillRect/>
                          </a:stretch>
                        </pic:blipFill>
                        <pic:spPr bwMode="auto">
                          <a:xfrm>
                            <a:off x="0" y="0"/>
                            <a:ext cx="238125" cy="180975"/>
                          </a:xfrm>
                          <a:prstGeom prst="rect">
                            <a:avLst/>
                          </a:prstGeom>
                        </pic:spPr>
                      </pic:pic>
                    </a:graphicData>
                  </a:graphic>
                </wp:inline>
              </w:drawing>
            </w:r>
          </w:p>
        </w:tc>
        <w:tc>
          <w:tcPr>
            <w:tcW w:w="248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E5E6E7"/>
            </w:tcBorders>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David Welsh</w:t>
            </w:r>
          </w:p>
        </w:tc>
        <w:tc>
          <w:tcPr>
            <w:tcW w:w="1664"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E5E6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5" descr=""/>
                          <pic:cNvPicPr>
                            <a:picLocks noChangeAspect="1" noChangeArrowheads="1"/>
                          </pic:cNvPicPr>
                        </pic:nvPicPr>
                        <pic:blipFill>
                          <a:blip r:embed="rId36"/>
                          <a:stretch>
                            <a:fillRect/>
                          </a:stretch>
                        </pic:blipFill>
                        <pic:spPr bwMode="auto">
                          <a:xfrm>
                            <a:off x="0" y="0"/>
                            <a:ext cx="180975" cy="180975"/>
                          </a:xfrm>
                          <a:prstGeom prst="rect">
                            <a:avLst/>
                          </a:prstGeom>
                        </pic:spPr>
                      </pic:pic>
                    </a:graphicData>
                  </a:graphic>
                </wp:inline>
              </w:drawing>
            </w:r>
          </w:p>
        </w:tc>
      </w:tr>
      <w:tr>
        <w:trPr/>
        <w:tc>
          <w:tcPr>
            <w:tcW w:w="1710" w:type="dxa"/>
            <w:gridSpan w:val="3"/>
            <w:tcBorders>
              <w:top w:val="single" w:sz="8" w:space="0" w:color="E5E6E7"/>
              <w:bottom w:val="single" w:sz="8" w:space="0" w:color="2A4CF9"/>
            </w:tcBorders>
            <w:tcMar>
              <w:top w:w="3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Robert Zollars</w:t>
            </w:r>
          </w:p>
        </w:tc>
        <w:tc>
          <w:tcPr>
            <w:tcW w:w="1664" w:type="dxa"/>
            <w:gridSpan w:val="3"/>
            <w:tcBorders>
              <w:top w:val="single" w:sz="8" w:space="0" w:color="E5E6E7"/>
              <w:bottom w:val="single" w:sz="8" w:space="0" w:color="2A4CF9"/>
            </w:tcBorders>
            <w:tcMar>
              <w:left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DBDBDB"/>
              <w:bottom w:val="single" w:sz="8" w:space="0" w:color="2A4CF9"/>
            </w:tcBorders>
            <w:tcMar>
              <w:left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5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 descr=""/>
                          <pic:cNvPicPr>
                            <a:picLocks noChangeAspect="1" noChangeArrowheads="1"/>
                          </pic:cNvPicPr>
                        </pic:nvPicPr>
                        <pic:blipFill>
                          <a:blip r:embed="rId37"/>
                          <a:stretch>
                            <a:fillRect/>
                          </a:stretch>
                        </pic:blipFill>
                        <pic:spPr bwMode="auto">
                          <a:xfrm>
                            <a:off x="0" y="0"/>
                            <a:ext cx="180975" cy="180975"/>
                          </a:xfrm>
                          <a:prstGeom prst="rect">
                            <a:avLst/>
                          </a:prstGeom>
                        </pic:spPr>
                      </pic:pic>
                    </a:graphicData>
                  </a:graphic>
                </wp:inline>
              </w:drawing>
            </w:r>
          </w:p>
        </w:tc>
        <w:tc>
          <w:tcPr>
            <w:tcW w:w="3869" w:type="dxa"/>
            <w:gridSpan w:val="3"/>
            <w:tcBorders>
              <w:top w:val="single" w:sz="8" w:space="0" w:color="E5E6E7"/>
              <w:bottom w:val="single" w:sz="8" w:space="0" w:color="2A4CF9"/>
            </w:tcBorders>
            <w:tcMar>
              <w:left w:w="0" w:type="dxa"/>
              <w:right w:w="0" w:type="dxa"/>
            </w:tcMar>
            <w:vAlign w:val="center"/>
          </w:tcPr>
          <w:p>
            <w:pPr>
              <w:pStyle w:val="TableContents"/>
              <w:bidi w:val="0"/>
              <w:spacing w:before="0" w:after="0"/>
              <w:jc w:val="center"/>
              <w:rPr/>
            </w:pPr>
            <w:r>
              <w:rPr/>
              <w:drawing>
                <wp:inline distT="0" distB="0" distL="0" distR="0">
                  <wp:extent cx="238125" cy="180975"/>
                  <wp:effectExtent l="0" t="0" r="0" b="0"/>
                  <wp:docPr id="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 descr=""/>
                          <pic:cNvPicPr>
                            <a:picLocks noChangeAspect="1" noChangeArrowheads="1"/>
                          </pic:cNvPicPr>
                        </pic:nvPicPr>
                        <pic:blipFill>
                          <a:blip r:embed="rId38"/>
                          <a:stretch>
                            <a:fillRect/>
                          </a:stretch>
                        </pic:blipFill>
                        <pic:spPr bwMode="auto">
                          <a:xfrm>
                            <a:off x="0" y="0"/>
                            <a:ext cx="238125" cy="180975"/>
                          </a:xfrm>
                          <a:prstGeom prst="rect">
                            <a:avLst/>
                          </a:prstGeom>
                        </pic:spPr>
                      </pic:pic>
                    </a:graphicData>
                  </a:graphic>
                </wp:inline>
              </w:drawing>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1.Financial Expert</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2.Mr. Acosta, a current Class II director, will serve the remainder of his term, which will end at the Annual Meeting.</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3.Ms. Walker will serve as Chairperson of the Audit Committee effective as of the conclusion of the Annual Meeting. </w:t>
      </w:r>
    </w:p>
    <w:p>
      <w:pPr>
        <w:pStyle w:val="TextBody"/>
        <w:bidi w:val="0"/>
        <w:spacing w:lineRule="auto" w:line="360" w:before="0" w:after="60"/>
        <w:jc w:val="left"/>
        <w:rPr/>
      </w:pPr>
      <w:r>
        <w:rPr/>
        <w:drawing>
          <wp:inline distT="0" distB="0" distL="0" distR="0">
            <wp:extent cx="161925" cy="161925"/>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39"/>
                    <a:stretch>
                      <a:fillRect/>
                    </a:stretch>
                  </pic:blipFill>
                  <pic:spPr bwMode="auto">
                    <a:xfrm>
                      <a:off x="0" y="0"/>
                      <a:ext cx="161925" cy="161925"/>
                    </a:xfrm>
                    <a:prstGeom prst="rect">
                      <a:avLst/>
                    </a:prstGeom>
                  </pic:spPr>
                </pic:pic>
              </a:graphicData>
            </a:graphic>
          </wp:inline>
        </w:drawing>
      </w:r>
      <w:r>
        <w:rPr>
          <w:color w:val="2D3243"/>
        </w:rPr>
        <w:t xml:space="preserve"> </w:t>
      </w:r>
      <w:r>
        <w:rPr>
          <w:rFonts w:ascii="Tenorite;sans-serif" w:hAnsi="Tenorite;sans-serif"/>
          <w:b w:val="false"/>
          <w:color w:val="2D3243"/>
          <w:sz w:val="16"/>
        </w:rPr>
        <w:t xml:space="preserve">= Chairperson </w:t>
      </w:r>
      <w:r>
        <w:rPr/>
        <w:drawing>
          <wp:inline distT="0" distB="0" distL="0" distR="0">
            <wp:extent cx="209550" cy="152400"/>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40"/>
                    <a:stretch>
                      <a:fillRect/>
                    </a:stretch>
                  </pic:blipFill>
                  <pic:spPr bwMode="auto">
                    <a:xfrm>
                      <a:off x="0" y="0"/>
                      <a:ext cx="209550" cy="152400"/>
                    </a:xfrm>
                    <a:prstGeom prst="rect">
                      <a:avLst/>
                    </a:prstGeom>
                  </pic:spPr>
                </pic:pic>
              </a:graphicData>
            </a:graphic>
          </wp:inline>
        </w:drawing>
      </w:r>
      <w:r>
        <w:rPr>
          <w:color w:val="2D3243"/>
        </w:rPr>
        <w:t xml:space="preserve"> </w:t>
      </w:r>
      <w:r>
        <w:rPr>
          <w:rFonts w:ascii="Tenorite;sans-serif" w:hAnsi="Tenorite;sans-serif"/>
          <w:b w:val="false"/>
          <w:color w:val="2D3243"/>
          <w:sz w:val="16"/>
        </w:rPr>
        <w:t>= Member</w:t>
      </w:r>
    </w:p>
    <w:p>
      <w:pPr>
        <w:pStyle w:val="TextBody"/>
        <w:bidi w:val="0"/>
        <w:spacing w:lineRule="auto" w:line="384" w:before="60" w:after="60"/>
        <w:jc w:val="left"/>
        <w:rPr>
          <w:rFonts w:ascii="Tenorite;sans-serif" w:hAnsi="Tenorite;sans-serif"/>
          <w:b w:val="false"/>
          <w:color w:val="2D3243"/>
          <w:sz w:val="18"/>
        </w:rPr>
      </w:pPr>
      <w:r>
        <w:rPr>
          <w:rFonts w:ascii="Tenorite;sans-serif" w:hAnsi="Tenorite;sans-serif"/>
          <w:b w:val="false"/>
          <w:color w:val="2D3243"/>
          <w:sz w:val="18"/>
        </w:rPr>
        <w:t xml:space="preserve">The composition and responsibilities of each standing committee are described below. Members will serve on these standing committees until their resignation or until otherwise determined by our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Audit Committee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Audit Committee operates under a formal charter, which is available on our website at http://investors.five9.com in the “Governance” section. Our Audit Committee oversees our accounting and financial reporting processes and the audit of our financial statements and assists our Board of Directors in monitoring our financial systems and legal and regulatory compliance. Our Audit Committee is responsible for, among other things: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appointing, approving the compensation of, terminating (if necessary) and assessing the qualifications and independence of our independent registered public accounting firm;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pre-approving audit, review and attest services and fees and permissible non-audit services and fees from our independent registered public accounting firm;</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reviewing annually a report by the independent registered public accounting firm regarding the independent registered public accounting firm’s internal quality control procedures and various issues relating thereto;</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coordinating the oversight and reviewing the adequacy of our disclosure controls and procedures and internal control over financial reporting and reporting systems and procedures designed to identify instances of fraud and to ensure the integrity, accuracy, completeness and timeliness of our financial statements and related public filings and disclosures with both management and the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40410"/>
                <wp:effectExtent l="0" t="0" r="0" b="0"/>
                <wp:wrapNone/>
                <wp:docPr id="62" name="Frame2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reviewing and discussing with management and the independent registered public accounting firm our annual and quarterly consolidated financial statements and annual and quarterly reports on Form 10-K and 10-Q, including a review of the specific disclosures under “Management’s Discussion and Analysis of Financial Condition and Results of Operations” and the form of audit opinion to be issued by the independent registered public accounting firm on the financial statements;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approving the appointment of the head of our internal audit function (or third party providing same) and overseeing and assessing the performance of the internal audit function;</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discussing policies with respect to risk assessment and risk management, including those governing the process by which our Chief Executive Officer and other members of senior management assess and manage our risk;</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periodically reviewing legal and compliance matters, significant accounting and other financial risks or exposures to our company and reviewing and, if appropriate, approving all transactions between our company or its subsidiaries and any related party (as described in Item 404 of Regulation S-K);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reviewing and approving disclosures contained in any report filed with the SEC or otherwise publicly disclosed pertaining to cybersecurity threats and incidents, including breaches of information systems;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overseeing, implementing and reviewing our artificial intelligence, machine learning and other emerging technology disclosures, strategies, policies, practices, risk assessment and risk management and periodically reporting to the Board on these matters; and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reviewing the audit committee report required by SEC rules to be included in our annual proxy statement.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Audit Committee has the power to investigate any matter brought to its attention within the scope of its duties and the authority to retain counsel and advisors at our expense to fulfill its responsibilities and duties.</w:t>
      </w:r>
    </w:p>
    <w:p>
      <w:pPr>
        <w:pStyle w:val="TextBody"/>
        <w:bidi w:val="0"/>
        <w:spacing w:lineRule="auto" w:line="384" w:before="0" w:after="180"/>
        <w:jc w:val="left"/>
        <w:rPr/>
      </w:pPr>
      <w:r>
        <w:rPr>
          <w:rFonts w:ascii="Tenorite;sans-serif" w:hAnsi="Tenorite;sans-serif"/>
          <w:b w:val="false"/>
          <w:color w:val="2D3243"/>
          <w:sz w:val="18"/>
        </w:rPr>
        <w:t xml:space="preserve">Our Audit Committee is comprised of </w:t>
      </w:r>
      <w:r>
        <w:rPr>
          <w:rFonts w:ascii="Tenorite;sans-serif" w:hAnsi="Tenorite;sans-serif"/>
          <w:b/>
          <w:color w:val="2D3243"/>
          <w:sz w:val="18"/>
        </w:rPr>
        <w:t>Mr. Acosta</w:t>
      </w:r>
      <w:r>
        <w:rPr>
          <w:rFonts w:ascii="Tenorite;sans-serif" w:hAnsi="Tenorite;sans-serif"/>
          <w:b w:val="false"/>
          <w:color w:val="2D3243"/>
          <w:sz w:val="18"/>
        </w:rPr>
        <w:t xml:space="preserve">, </w:t>
      </w:r>
      <w:r>
        <w:rPr>
          <w:rFonts w:ascii="Tenorite;sans-serif" w:hAnsi="Tenorite;sans-serif"/>
          <w:b/>
          <w:color w:val="2D3243"/>
          <w:sz w:val="18"/>
        </w:rPr>
        <w:t>Ms. Barsamian</w:t>
      </w:r>
      <w:r>
        <w:rPr>
          <w:rFonts w:ascii="Tenorite;sans-serif" w:hAnsi="Tenorite;sans-serif"/>
          <w:b w:val="false"/>
          <w:color w:val="2D3243"/>
          <w:sz w:val="18"/>
        </w:rPr>
        <w:t xml:space="preserve">, </w:t>
      </w:r>
      <w:r>
        <w:rPr>
          <w:rFonts w:ascii="Tenorite;sans-serif" w:hAnsi="Tenorite;sans-serif"/>
          <w:b/>
          <w:color w:val="2D3243"/>
          <w:sz w:val="18"/>
        </w:rPr>
        <w:t>Mr. Burdiek, Mr. Mariner</w:t>
      </w:r>
      <w:r>
        <w:rPr>
          <w:color w:val="2D3243"/>
        </w:rPr>
        <w:t xml:space="preserve"> </w:t>
      </w:r>
      <w:r>
        <w:rPr>
          <w:rFonts w:ascii="Tenorite;sans-serif" w:hAnsi="Tenorite;sans-serif"/>
          <w:b w:val="false"/>
          <w:color w:val="2D3243"/>
          <w:sz w:val="18"/>
        </w:rPr>
        <w:t xml:space="preserve">and </w:t>
      </w:r>
      <w:r>
        <w:rPr>
          <w:rFonts w:ascii="Tenorite;sans-serif" w:hAnsi="Tenorite;sans-serif"/>
          <w:b/>
          <w:color w:val="2D3243"/>
          <w:sz w:val="18"/>
        </w:rPr>
        <w:t>Ms. Walker</w:t>
      </w:r>
      <w:r>
        <w:rPr>
          <w:rFonts w:ascii="Tenorite;sans-serif" w:hAnsi="Tenorite;sans-serif"/>
          <w:b w:val="false"/>
          <w:color w:val="2D3243"/>
          <w:sz w:val="18"/>
        </w:rPr>
        <w:t>. As of the date of this Proxy Statement, Mr. Acosta is the chairperson of the committee, and will serve through the conclusion of the Annual Meeting, at which time his board tenure will end. Effective upon the conclusion of the Annual Meeting, Ms. Walker will serve as the chairperson of the Audit Committee. Our Board of Directors has designated each of Mr. Acosta and Ms. Walker as an “audit committee financial expert” as defined under the rules of the SEC implementing Section 407 of the Sarbanes Oxley Act of 2002. Ms. Walker was appointed as a member of the Audit Committee effective May 21, 2024. The Audit Committee met six times during the year ended December 31, 2024.</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Audit Committee members must satisfy additional independence criteria set forth under Rule 10A-3 under the Exchange Act. In order to be considered independent for purposes of the Rule 10A-3, an Audit Committee member may not, other than in his or her capacity as a member of the Audit Committee, accept consulting, advisory or other fees from us or be an affiliated person. Our Board of Directors has considered the independence and other characteristics of each member of our Audit Committee and has concluded that the composition of our Audit Committee meets the requirements for independence under the current requirements of SEC rules and regulations and each of the members of our Audit Committee qualifies as an independent director pursuant to Rule 10A-3.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40410"/>
                <wp:effectExtent l="0" t="0" r="0" b="0"/>
                <wp:wrapNone/>
                <wp:docPr id="63" name="Frame2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Compensation Committee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Our Compensation Committee operates under a formal charter, which is available on our website at http://investors.five9.com in the “Governance” section. Our Compensation Committee is responsible for, among other things: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developing and maintaining our compensation strategies;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reviewing and approving our executive compensation policies and programs and recommending to the Board of Directors our non-employee director compensation policies and programs;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reviewing and approving base salary, cash incentive compensation, equity incentive compensation and other compensation for our executive officers;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administering our cash and equity-based incentive compensation plans for our executive officers;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overseeing the management continuity and succession planning process (except as otherwise within the scope of our Nominating and Governance Committee) with respect to our executive officers;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preparing any report on executive compensation required by the applicable laws, rules and regulations of the SEC and other regulatory bodies;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overseeing broad-based ERISA-governed benefit plans and programs (including any Section 401(k) plan);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reviewing and monitoring compensation practices throughout our company to promote fair and equitable compensation practices; and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managing such other matters that are delegated to our Compensation Committee by applicable law or by the Board of Directors from time to time.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Compensation Committee also has the power to investigate any matter brought to its attention within the scope of its duties and authority to retain legal counsel and advisors at our expense to fulfill its responsibilities and duties.</w:t>
      </w:r>
    </w:p>
    <w:p>
      <w:pPr>
        <w:pStyle w:val="TextBody"/>
        <w:bidi w:val="0"/>
        <w:spacing w:lineRule="auto" w:line="384" w:before="0" w:after="180"/>
        <w:jc w:val="left"/>
        <w:rPr/>
      </w:pPr>
      <w:r>
        <w:rPr>
          <w:rFonts w:ascii="Tenorite;sans-serif" w:hAnsi="Tenorite;sans-serif"/>
          <w:b w:val="false"/>
          <w:color w:val="2D3243"/>
          <w:sz w:val="18"/>
        </w:rPr>
        <w:t>Our Compensation Committee is currently comprised of</w:t>
      </w:r>
      <w:r>
        <w:rPr>
          <w:color w:val="2D3243"/>
        </w:rPr>
        <w:t xml:space="preserve"> </w:t>
      </w:r>
      <w:r>
        <w:rPr>
          <w:rFonts w:ascii="Tenorite;sans-serif" w:hAnsi="Tenorite;sans-serif"/>
          <w:b/>
          <w:color w:val="2D3243"/>
          <w:sz w:val="18"/>
        </w:rPr>
        <w:t>Ms. Barsamian</w:t>
      </w:r>
      <w:r>
        <w:rPr>
          <w:rFonts w:ascii="Tenorite;sans-serif" w:hAnsi="Tenorite;sans-serif"/>
          <w:b w:val="false"/>
          <w:color w:val="2D3243"/>
          <w:sz w:val="18"/>
        </w:rPr>
        <w:t xml:space="preserve">, </w:t>
      </w:r>
      <w:r>
        <w:rPr>
          <w:rFonts w:ascii="Tenorite;sans-serif" w:hAnsi="Tenorite;sans-serif"/>
          <w:b/>
          <w:color w:val="2D3243"/>
          <w:sz w:val="18"/>
        </w:rPr>
        <w:t>Mr. Burdiek</w:t>
      </w:r>
      <w:r>
        <w:rPr>
          <w:rFonts w:ascii="Tenorite;sans-serif" w:hAnsi="Tenorite;sans-serif"/>
          <w:b w:val="false"/>
          <w:color w:val="2D3243"/>
          <w:sz w:val="18"/>
        </w:rPr>
        <w:t xml:space="preserve">, </w:t>
      </w:r>
      <w:r>
        <w:rPr>
          <w:rFonts w:ascii="Tenorite;sans-serif" w:hAnsi="Tenorite;sans-serif"/>
          <w:b/>
          <w:color w:val="2D3243"/>
          <w:sz w:val="18"/>
        </w:rPr>
        <w:t>Ms. Iskow</w:t>
      </w:r>
      <w:r>
        <w:rPr>
          <w:color w:val="2D3243"/>
        </w:rPr>
        <w:t xml:space="preserve"> </w:t>
      </w:r>
      <w:r>
        <w:rPr>
          <w:rFonts w:ascii="Tenorite;sans-serif" w:hAnsi="Tenorite;sans-serif"/>
          <w:b w:val="false"/>
          <w:color w:val="2D3243"/>
          <w:sz w:val="18"/>
        </w:rPr>
        <w:t xml:space="preserve">and </w:t>
      </w:r>
      <w:r>
        <w:rPr>
          <w:rFonts w:ascii="Tenorite;sans-serif" w:hAnsi="Tenorite;sans-serif"/>
          <w:b/>
          <w:color w:val="2D3243"/>
          <w:sz w:val="18"/>
        </w:rPr>
        <w:t>Mr. Zollars</w:t>
      </w:r>
      <w:r>
        <w:rPr>
          <w:rFonts w:ascii="Tenorite;sans-serif" w:hAnsi="Tenorite;sans-serif"/>
          <w:b w:val="false"/>
          <w:color w:val="2D3243"/>
          <w:sz w:val="18"/>
        </w:rPr>
        <w:t>, who is the chairperson of the committee. Each of the Compensation Committee members meets the independence requirements set forth in the listing standards of NASDAQ and the “non-employee director” standard within the meaning of Rule 16b-3(b)(3) promulgated under the Exchange Act. The Compensation Committee met four times during the year ended December 31, 2024.</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Processes and Procedures for Compensation Decisions</w:t>
      </w:r>
    </w:p>
    <w:p>
      <w:pPr>
        <w:pStyle w:val="TextBody"/>
        <w:bidi w:val="0"/>
        <w:spacing w:lineRule="auto" w:line="384" w:before="120" w:after="180"/>
        <w:jc w:val="left"/>
        <w:rPr>
          <w:rFonts w:ascii="Tenorite;sans-serif" w:hAnsi="Tenorite;sans-serif"/>
          <w:b w:val="false"/>
          <w:color w:val="2D3243"/>
          <w:sz w:val="18"/>
        </w:rPr>
      </w:pPr>
      <w:r>
        <w:rPr>
          <w:rFonts w:ascii="Tenorite;sans-serif" w:hAnsi="Tenorite;sans-serif"/>
          <w:b w:val="false"/>
          <w:color w:val="2D3243"/>
          <w:sz w:val="18"/>
        </w:rPr>
        <w:t>Our Compensation Committee is responsible for the executive compensation program for our executive officers and reports to our Board of Directors on its discussions, decisions and other actions. Typically, our Chief Executive Officer makes recommendations to our Compensation Committee, often attends committee meetings and is involved in recommending compensation for the respective executive officers who report to him, except that the Chief Executive Officer does not make recommendations as to, nor participate in or attend portions of meetings in which decisions are made with respect to, his compensation or that of Mr. Daniel Burkland, our former President and our CEO's brother. Our Chief Executive Officer and our human resources team develop and provide recommendations to our Compensation Committee for performance metrics and target award opportunities regarding short-term and long-term incentive compensation for all executive officers (other than themselves, and with respect to Mr. Michael Burkland, other than our former President, Mr. Daniel Burkland) based on our annual operating plan, as well as provide information semi-annually regarding individual and Company performance. Our Compensation Committee then reviews the recommendations and other data and makes decisions as to total compensation for each executive officer (including our Chief Executive Officer), as well as each individual compensation element.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Our Compensation Committee is authorized to retain the services of one or more executive compensation advisors, as it sees fit, in connection with the establishment of our compensation programs and related policies. Since 2013, our Compensation Committee has retained Compensia, Inc. (“Compensia”), a national compensation consultant, to provide it with information, recommendations and other advice relating to executive and non-employee director compensation on an ongoing basis. Compensia serves at the discretion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of our Compensation Committee. In the second half of 2023, our Compensation Committee engaged Compensia to assist in developing an appropriate group of peer companies to help us determine the appropriate level of overall compensation for our executive officers for 2024, as well as assess each separate element of compensation, with a goal of ensuring that the compensation we offer to our executive officers is consistent with our compensation philosophy and objectives.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Following a review of the independence of Compensia, the Compensation Committee concluded that no conflict of interest has been raised with respect to the work of Compensia.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Compensation Committee Interlocks and Insider Participation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Ms. Barsamian, Mr. Burdiek, Ms. Iskow and Mr. Zollars served as members of our Compensation Committee for the entirety of 2024. None of the individuals who were members of our Compensation Committee during 2024 is or has been an officer or employee of our company. None of our executive officers currently serves, or in 2024 served, as a member of the board of directors or compensation committee (or other board committee performing equivalent functions) of any other company that has one or more of its executive officers serving on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Nominating and Governance Committee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Nominating and Governance Committee operates under a formal charter, which is available on our website at http://investors.five9.com in the “Governance” section. Our Nominating and Governance Committee oversees and assists our Board of Directors in reviewing and recommending corporate governance policies and nominees for election or appointment to our Board of Directors and its committees. The Nominating and Governance Committee is responsible for, among other things: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assessing, developing and communicating with our Board of Directors concerning the appropriate criteria for nominating and appointing directors, including the size and composition of the Board of Directors, corporate governance policies, applicable listing standards, laws, rules and regulations, our nominating policy and other factors considered appropriate by our Board of Directors;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identifying, screening, interviewing and recommending to our Board of Directors the director nominees for annual and special meetings of our stockholders, or to fill a vacancy on the Board of Directors, in each case in accordance with the nominating policy;</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reviewing and considering our Board of Directors' leadership structure, and making recommendations to our Board of Directors with respect thereto;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retaining and terminating any search firm used to identify director candidates and approving the search firm’s fees and other retention terms;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if and when requested by our Board of Directors, assessing and recommending to the Board of Directors the composition of each of its committees;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evaluating and overseeing the implementation of our environmental, climate change, social and governance programs and the integration of related principles and strategies throughout our company;</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reviewing and assessing policies, practices, disclosures and reports, risk assessments and risk management regarding sustainability and governance matters, and meeting with our executive officers to review and support specific sustainability and governance initiatives;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reviewing, as necessary, any executive officer’s, and in certain circumstances, any director’s request to accept a directorship position with another company;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developing, assessing and making recommendations to our Board of Directors concerning corporate governance matters, including appropriate revisions to our Charter, Bylaws, corporate governance policies, committee charters and nominating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40410"/>
                <wp:effectExtent l="0" t="0" r="0" b="0"/>
                <wp:wrapNone/>
                <wp:docPr id="64" name="Frame2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19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overseeing an annual evaluation of our Board of Directors, its committees, and each director and committee member;</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reviewing and recommending to the Board, the independence of each director and committee member under applicable laws, rules and regulations;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developing with management and monitoring the process of orienting new directors and continuing education for all directors; and</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regularly reporting its activities and recommendations to our Board of Directors.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Nominating and Governance Committee also has the power to investigate any matter brought to its attention within the scope of its duties. It also has the authority to retain counsel and advisors at our expense for any matters related to the fulfillment of its responsibilities and duties.</w:t>
      </w:r>
    </w:p>
    <w:p>
      <w:pPr>
        <w:pStyle w:val="TextBody"/>
        <w:bidi w:val="0"/>
        <w:spacing w:lineRule="auto" w:line="384" w:before="0" w:after="180"/>
        <w:jc w:val="left"/>
        <w:rPr/>
      </w:pPr>
      <w:r>
        <w:rPr>
          <w:rFonts w:ascii="Tenorite;sans-serif" w:hAnsi="Tenorite;sans-serif"/>
          <w:b w:val="false"/>
          <w:color w:val="2D3243"/>
          <w:sz w:val="18"/>
        </w:rPr>
        <w:t xml:space="preserve">Our Nominating and Governance Committee is comprised of </w:t>
      </w:r>
      <w:r>
        <w:rPr>
          <w:rFonts w:ascii="Tenorite;sans-serif" w:hAnsi="Tenorite;sans-serif"/>
          <w:b/>
          <w:color w:val="2D3243"/>
          <w:sz w:val="18"/>
        </w:rPr>
        <w:t>Mr. Mariner</w:t>
      </w:r>
      <w:r>
        <w:rPr>
          <w:rFonts w:ascii="Tenorite;sans-serif" w:hAnsi="Tenorite;sans-serif"/>
          <w:b w:val="false"/>
          <w:color w:val="2D3243"/>
          <w:sz w:val="18"/>
        </w:rPr>
        <w:t xml:space="preserve">, </w:t>
      </w:r>
      <w:r>
        <w:rPr>
          <w:rFonts w:ascii="Tenorite;sans-serif" w:hAnsi="Tenorite;sans-serif"/>
          <w:b/>
          <w:color w:val="2D3243"/>
          <w:sz w:val="18"/>
        </w:rPr>
        <w:t>Mr. Zollars</w:t>
      </w:r>
      <w:r>
        <w:rPr>
          <w:color w:val="2D3243"/>
        </w:rPr>
        <w:t xml:space="preserve"> </w:t>
      </w:r>
      <w:r>
        <w:rPr>
          <w:rFonts w:ascii="Tenorite;sans-serif" w:hAnsi="Tenorite;sans-serif"/>
          <w:b w:val="false"/>
          <w:color w:val="2D3243"/>
          <w:sz w:val="18"/>
        </w:rPr>
        <w:t>and </w:t>
      </w:r>
      <w:r>
        <w:rPr>
          <w:rFonts w:ascii="Tenorite;sans-serif" w:hAnsi="Tenorite;sans-serif"/>
          <w:b/>
          <w:color w:val="2D3243"/>
          <w:sz w:val="18"/>
        </w:rPr>
        <w:t>Mr. Welsh</w:t>
      </w:r>
      <w:r>
        <w:rPr>
          <w:rFonts w:ascii="Tenorite;sans-serif" w:hAnsi="Tenorite;sans-serif"/>
          <w:b w:val="false"/>
          <w:color w:val="2D3243"/>
          <w:sz w:val="18"/>
        </w:rPr>
        <w:t>, who is the chairperson of the committee. Mr. Mariner was appointed as a member of the Nominating and Governance Committee effective April 23, 2024. Mr. DeWalt ceased to serve as a member of the Nominating and Governance Committee at the end of his term as a director at the 2024 Annual Meeting. Each of the Nominating and Governance Committee members meet the independence requirements set forth in the rules of NASDAQ. Our Nominating and Governance Committee met eight times during the year ended December 31, 2024.</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Identifying, Evaluating and Recommending Nominees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Nominating and Governance Committee initiates the process of identifying and recommending Board nominees by preparing a slate of potential candidates who, based on their biographical information and other information available to the Nominating and Governance Committee, appear to meet the criteria specified below and/or who have specific qualities, skills or experience being sought (based on input from the full Board of Directors). The Nominating and Governance Committee may engage a third-party search firm or other advisors to assist in identifying prospective nominees, consider stockholder suggestions for potential nominees or re-nominate existing directors based on their continuing qualifications. The Nominating and Governance Committee and the terms of our Corporate Governance Guidelines limit the number of officers or employees of the Company serving at any time on the Board to maintain a majority of independent directors.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After reviewing appropriate biographical information and qualifications, first-time candidates are interviewed by at least one member of the Nominating and Governance Committee and by the Chairman of the Board. Upon completion of the above procedures, the Nominating and Governance Committee determines the list of potential candidates to be recommended to the full Board of Directors for nomination at the annual meeting or special meeting or to fill any vacancy. The Board of Directors selects the slate of nominees (or in the case of a vacancy, selects such nominee) only from candidates identified, screened and approved by the Nominating and Governance Committee.</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Qualifications for Director Nominees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Nominating and Governance Committee has established the following minimum criteria for evaluating prospective Board candidates: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Reputation for integrity, strong moral character and adherence to high ethical standards.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Holds or has held a generally recognized position of leadership in his or her community and/or chosen field of endeavor, and has demonstrated high levels of accomplishment.</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Demonstrated business acumen and experience, and ability to exercise sound business judgment and common sense in matters that relate to the current and long-term objectives of the Company.</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Ability to read and understand basic financial statements and other financial information pertaining to the Company.</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Commitment to understand the Company and its business, industry and strategic objectives.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Commitment and ability to regularly attend and participate in meetings of the Board of Directors, committees of the Board of Directors and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40410"/>
                <wp:effectExtent l="0" t="0" r="0" b="0"/>
                <wp:wrapNone/>
                <wp:docPr id="65" name="Frame2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Number of other company boards of directors on which the candidate serves and ability to generally fulfill all responsibilities as a director of the Company.</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Willingness to represent and act in the interests of all stockholders of the Company rather than the interests of a particular group.</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Good health, and ability to serve.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For prospective non-employee directors, independence under applicable SEC and stock exchange rules, and the absence of any conflict of interest (whether due to a business or personal relationship) or legal impediment to, or restriction on, the nominee serving as a director.</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Willingness to accept the nomination to serve as a director of the Company.</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Directors that reach or exceed 72 years of age in a calendar year in which their term of office as a director will expire are required to tender his or her resignation to the Nominating and Governance Committee, for consideration by the Board of Directors upon the recommendation of the Nominating and Governance Committee.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Other Factors for Potential Director Nominee Consideration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Nominating and Governance Committee will also consider the following factors in connection with its evaluation of each prospective nominee:</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Whether the prospective nominee will foster a broad base of skills, perspectives and experiences.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Whether the prospective nominee has expertise on social responsibility, environmental, climate, sustainability, and governance issues.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Whether the prospective nominee has experience and expertise on cybersecurity issues.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For potential Audit Committee members, whether the nominee possesses the requisite education, training and experience to qualify as “financially literate” or as an audit committee “financial expert” or equivalent requirement under applicable SEC and stock exchange rules.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For incumbent directors standing for re-election, the incumbent director’s performance during his or her term, including the number of meetings attended, level of participation, overall contribution to the Company, number of other company boards on which the director serves and any changed circumstances affecting the individual director that may bear on his or her ability to effectively continue to serve on the Board of Directors.</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The composition of the Board of Directors and whether the prospective nominee will add to or complement the Board of Director’s existing skills, strengths and needs.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 xml:space="preserve">Stockholder Suggestions for Potential Nominees </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Our Nominating and Governance Committee oversees and assists our Board of Directors in reviewing and recommending corporate governance policies and nominees for election to our Board of Directors and its committees. The Nominating and Governance Committee will consider suggestions of nominees from stockholders. There have not been material changes to the procedures by which our stockholders may recommend nominees to the Board of Directors as disclosed in our proxy statement for the 2024 annual meeting of stockholders filed with the SEC on April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Classified Board Structure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Board of Directors believes that there is no “one size fits all” governance approach. The appropriate standard by which to judge our classified board structure is whether it protects the interests of our stockholders. According to recent proxy statements and publicly available documents, 74% of our 2024 executive compensation peer group companies that are currently public companies also currently have classified or staggered board structures. We believe that our classified board structure is consistent with our peer group and protects our company and our stockholders for the following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40410"/>
                <wp:effectExtent l="0" t="0" r="0" b="0"/>
                <wp:wrapNone/>
                <wp:docPr id="66" name="Frame2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The Classified Board Structure Aligns our Board of Directors with our Long-term Interests.</w:t>
      </w:r>
    </w:p>
    <w:p>
      <w:pPr>
        <w:pStyle w:val="TextBody"/>
        <w:bidi w:val="0"/>
        <w:spacing w:lineRule="auto" w:line="384" w:before="0" w:after="120"/>
        <w:jc w:val="left"/>
        <w:rPr/>
      </w:pPr>
      <w:r>
        <w:rPr>
          <w:rFonts w:ascii="Tenorite;sans-serif" w:hAnsi="Tenorite;sans-serif"/>
          <w:b w:val="false"/>
          <w:color w:val="2D3243"/>
          <w:sz w:val="18"/>
        </w:rPr>
        <w:t xml:space="preserve">Our classified board encourages our directors to look to the long-term best interests of our company and our stockholders and allows for stable and informed oversight, providing institutional perspective both to management and other directors. Our classified board structure is designed to ensure that, at any given time, there are directors serving on our Board of Directors who have substantial knowledge of our company and its business, strategic goals, history, technology, operations, culture, and employee base. We believe three-year terms enable our directors to develop substantive knowledge about our complex business and operations, which enables them to make long-term strategic decisions that are in the best interest of our stockholders. Our classified board structure enables our directors to build on their own past experience and the experience of continuing directors for more effective long-term strategic planning. </w:t>
      </w:r>
      <w:r>
        <w:rPr>
          <w:rFonts w:ascii="Lato;sans-serif" w:hAnsi="Lato;sans-serif"/>
          <w:b w:val="false"/>
          <w:color w:val="2D3243"/>
          <w:sz w:val="18"/>
        </w:rPr>
        <w:t>Currently our Board of Directors is comprised of individuals with the following tenures:</w:t>
      </w:r>
    </w:p>
    <w:tbl>
      <w:tblPr>
        <w:tblW w:w="3195" w:type="dxa"/>
        <w:jc w:val="left"/>
        <w:tblInd w:w="0" w:type="dxa"/>
        <w:tblLayout w:type="fixed"/>
        <w:tblCellMar>
          <w:top w:w="28" w:type="dxa"/>
          <w:left w:w="28" w:type="dxa"/>
          <w:bottom w:w="28" w:type="dxa"/>
          <w:right w:w="28" w:type="dxa"/>
        </w:tblCellMar>
      </w:tblPr>
      <w:tblGrid>
        <w:gridCol w:w="622"/>
        <w:gridCol w:w="549"/>
        <w:gridCol w:w="554"/>
        <w:gridCol w:w="431"/>
        <w:gridCol w:w="431"/>
        <w:gridCol w:w="608"/>
      </w:tblGrid>
      <w:tr>
        <w:trPr/>
        <w:tc>
          <w:tcPr>
            <w:tcW w:w="62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1470"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Director Since</w:t>
            </w:r>
          </w:p>
        </w:tc>
      </w:tr>
      <w:tr>
        <w:trPr/>
        <w:tc>
          <w:tcPr>
            <w:tcW w:w="172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2008</w:t>
            </w:r>
          </w:p>
        </w:tc>
      </w:tr>
      <w:tr>
        <w:trPr/>
        <w:tc>
          <w:tcPr>
            <w:tcW w:w="1725" w:type="dxa"/>
            <w:gridSpan w:val="3"/>
            <w:tcBorders/>
            <w:shd w:fill="F0F1F2"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Jack Acosta</w:t>
            </w:r>
            <w:r>
              <w:rPr>
                <w:rFonts w:ascii="Tenorite;sans-serif" w:hAnsi="Tenorite;sans-serif"/>
                <w:b/>
                <w:color w:val="2D3243"/>
                <w:sz w:val="10"/>
              </w:rPr>
              <w:t>(1)</w:t>
            </w:r>
          </w:p>
        </w:tc>
        <w:tc>
          <w:tcPr>
            <w:tcW w:w="147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2011</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Susan Barsamian</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2021</w:t>
            </w:r>
          </w:p>
        </w:tc>
      </w:tr>
      <w:tr>
        <w:trPr/>
        <w:tc>
          <w:tcPr>
            <w:tcW w:w="172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Burdiek</w:t>
            </w:r>
          </w:p>
        </w:tc>
        <w:tc>
          <w:tcPr>
            <w:tcW w:w="147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2015</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Sagar Gupta</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2024</w:t>
            </w:r>
          </w:p>
        </w:tc>
      </w:tr>
      <w:tr>
        <w:trPr/>
        <w:tc>
          <w:tcPr>
            <w:tcW w:w="172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Julie Iskow</w:t>
            </w:r>
          </w:p>
        </w:tc>
        <w:tc>
          <w:tcPr>
            <w:tcW w:w="147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2023</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Jonathan Mariner</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2023</w:t>
            </w:r>
          </w:p>
        </w:tc>
      </w:tr>
      <w:tr>
        <w:trPr/>
        <w:tc>
          <w:tcPr>
            <w:tcW w:w="172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Maria Walker</w:t>
            </w:r>
          </w:p>
        </w:tc>
        <w:tc>
          <w:tcPr>
            <w:tcW w:w="147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2024</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David Welsh</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2011</w:t>
            </w:r>
          </w:p>
        </w:tc>
      </w:tr>
      <w:tr>
        <w:trPr/>
        <w:tc>
          <w:tcPr>
            <w:tcW w:w="1725" w:type="dxa"/>
            <w:gridSpan w:val="3"/>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Robert Zollars</w:t>
            </w:r>
          </w:p>
        </w:tc>
        <w:tc>
          <w:tcPr>
            <w:tcW w:w="1470" w:type="dxa"/>
            <w:gridSpan w:val="3"/>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2013</w:t>
            </w:r>
          </w:p>
        </w:tc>
      </w:tr>
    </w:tbl>
    <w:p>
      <w:pPr>
        <w:pStyle w:val="TextBody"/>
        <w:bidi w:val="0"/>
        <w:spacing w:lineRule="auto" w:line="360" w:before="0" w:after="300"/>
        <w:jc w:val="left"/>
        <w:rPr/>
      </w:pPr>
      <w:r>
        <w:rPr>
          <w:rFonts w:ascii="Tenorite;sans-serif" w:hAnsi="Tenorite;sans-serif"/>
          <w:b w:val="false"/>
          <w:color w:val="2D3243"/>
          <w:sz w:val="10"/>
        </w:rPr>
        <w:t xml:space="preserve">(1) </w:t>
      </w:r>
      <w:r>
        <w:rPr>
          <w:rFonts w:ascii="Tenorite;sans-serif" w:hAnsi="Tenorite;sans-serif"/>
          <w:b w:val="false"/>
          <w:color w:val="2D3243"/>
          <w:sz w:val="16"/>
        </w:rPr>
        <w:t>Mr. Acosta, a current Class II director, will serve the remainder of his term, which will end at the Annual Meeting.</w:t>
      </w:r>
    </w:p>
    <w:p>
      <w:pPr>
        <w:pStyle w:val="TextBody"/>
        <w:bidi w:val="0"/>
        <w:spacing w:lineRule="auto" w:line="384" w:before="120" w:after="180"/>
        <w:jc w:val="left"/>
        <w:rPr>
          <w:rFonts w:ascii="Tenorite;sans-serif" w:hAnsi="Tenorite;sans-serif"/>
          <w:b w:val="false"/>
          <w:color w:val="2D3243"/>
          <w:sz w:val="18"/>
        </w:rPr>
      </w:pPr>
      <w:r>
        <w:rPr>
          <w:rFonts w:ascii="Tenorite;sans-serif" w:hAnsi="Tenorite;sans-serif"/>
          <w:b w:val="false"/>
          <w:color w:val="2D3243"/>
          <w:sz w:val="18"/>
        </w:rPr>
        <w:t>We believe our Board of Directors strikes an appropriate balance between directors with long-term institutional knowledge of the Company and new directors with fresh perspectives. Five of our ten current directors were initially appointed from 2021 through 2024. De-classifying our Board of Directors would make it possible to lose the accumulated knowledge and experience of our Board of Directors in a single election cycle.</w:t>
      </w:r>
    </w:p>
    <w:p>
      <w:pPr>
        <w:pStyle w:val="TextBody"/>
        <w:bidi w:val="0"/>
        <w:spacing w:lineRule="auto" w:line="384" w:before="0" w:after="180"/>
        <w:jc w:val="left"/>
        <w:rPr/>
      </w:pPr>
      <w:r>
        <w:rPr>
          <w:rFonts w:ascii="Tenorite;sans-serif" w:hAnsi="Tenorite;sans-serif"/>
          <w:b w:val="false"/>
          <w:color w:val="2D3243"/>
          <w:sz w:val="18"/>
        </w:rPr>
        <w:t xml:space="preserve">In addition, electing directors to three-year terms, rather than one-year terms, enhances the independence of our non-management directors by helping ensure that directors do not make short-term decisions that may be detrimental to our long-term interests, simply out of fear of being replaced each year. </w:t>
      </w:r>
      <w:r>
        <w:rPr>
          <w:rFonts w:ascii="Lato;sans-serif" w:hAnsi="Lato;sans-serif"/>
          <w:b w:val="false"/>
          <w:color w:val="2D3243"/>
          <w:sz w:val="18"/>
        </w:rPr>
        <w:t>This reduces the potential influence of certain investors and special interest groups with short-term agendas that may be harmful to the long-term interests of our company and stockholders. If our Board of Directors were declassified, in a single election cycle it could be wh</w:t>
      </w:r>
      <w:r>
        <w:rPr>
          <w:rFonts w:ascii="Tenorite;sans-serif" w:hAnsi="Tenorite;sans-serif"/>
          <w:b w:val="false"/>
          <w:color w:val="2D3243"/>
          <w:sz w:val="18"/>
        </w:rPr>
        <w:t>olly replaced by directors unfamiliar with our history, business and strategies, resulting in a significant loss of critical institutional knowledge. Our classified board structure allows for orderly change, with new directors with fresh perspectives benefitting from serving with directors with longer tenures.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The Classified Board Structure Helps Attract and Retain Director Candidates.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Competition for qualified directors in our industry is intense and increases each year. Our classified board structure assists us in attracting and retaining highly qualified directors by increasing the likelihood that they will have sufficient time to immerse themselves in our business and operations and execute on important long-term initiatives. We believe that our classified board structure benefits our company and stockholders because the longer terms of office help us attract and retain qualified director candidates who are willing to make long-term commitments of their time and expertise.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40410"/>
                <wp:effectExtent l="0" t="0" r="0" b="0"/>
                <wp:wrapNone/>
                <wp:docPr id="67" name="Frame2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The Classified Board Structure Reduces our Vulnerability to Coercive Takeovers.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classified board structure reduces our vulnerability to coercive takeover tactics and inadequate takeover bids by encouraging persons seeking control of our company to negotiate with our Board of Directors and thereby better positions our Board of Directors to negotiate effectively on behalf of all our stockholders. The classified board structure is designed to safeguard against an insurgent stockholder replacing a majority of our directors with its own nominees at a single annual meeting, thereby gaining control of our company and assets without paying fair value to our stockholders. In particular, in recent years, hedge funds and other activist investors have increasingly used the threat of a proxy fight to pressure boards to take actions that produce short-term gains at the expense of strategies designed to achieve meaningful long-term stockholder value. Because only approximately one-third of the directors are elected at any annual meeting of stockholders, at least two annual stockholder meetings would be required to effect a change in a majority of the directors serving on our Board, providing incumbent directors substantial leverage to negotiate the best results for our stockholders.</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Our classified board structure does not preclude a takeover, but rather provides our Board of Directors the time and flexibility necessary to be in the best position to evaluate the adequacy and fairness of proposed offers, consider alternative methods of maximizing stockholder value, protect all stockholders against abusive tactics during a takeover process and, as appropriate, negotiate the best possible return for all stockholders, without the threat of imminent removal of a majority of the members of our Board of Directors. We believe this is particularly important in the current environment of stock market volatility, in which persons seeking to gain control of a company may pursue coercive takeover tactics during a period of depressed stock prices, even where the decline in the Company’s stock price is due to factors outside of its control. In fact, during 2024, the closing price of our Common Stock ranged from $26.60 to $81.24 per share, which indicates how attractive and vulnerable we might be to an opportunistic acquirer seeking to acquire our Common Stock at a time when our intrinsic value may not be fully reflected in our stock. Our Board of Directors takes seriously its fiduciary duties to act in a manner that it believes to be in the best interests of our company and all of our stockholders. Elimination of the classified board structure would make it more difficult for our stockholder-elected Board of Directors to preserve and maximize value for all stockholders in the event of an unsolicited takeover bid.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Meetings of the Board of Directors</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The Board of Directors met 20 times during the fiscal year ending December 31, 2024. During the year, each director then in office, attended 75% or more of the aggregate of the meetings of the Board of Directors and of the committees on which he or she served, held during the period for which he or she was a director or committee member, with the exception of Ms. Iskow, who attended 72% of the aggregate meetings of the Board and each committee on which she 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40410"/>
                <wp:effectExtent l="0" t="0" r="0" b="0"/>
                <wp:wrapNone/>
                <wp:docPr id="68" name="Frame2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Executive Leadership Team and Board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Building an organization that is inclusive and welcoming is a priority for Five9. Our Board of Directors, executive leadership team and employees are invested in making Five9 an engaged and inclusive company where everyone can bring their best selves to work with a sense of belonging. 55% of our executive leadership team identifies with an under-represented community, including gender. Of our ten current Board members, three members are women and four identify with an under-represented community. We are proud to have both an executive leadership team and a Board of Directors that represents our customers and employees by bringing a broad base of skills, perspectives and experiences to the table.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following matrix sets forth statistics regarding our current Board of Directors. </w:t>
      </w:r>
    </w:p>
    <w:p>
      <w:pPr>
        <w:pStyle w:val="TextBody"/>
        <w:bidi w:val="0"/>
        <w:spacing w:lineRule="auto" w:line="288" w:before="0" w:after="180"/>
        <w:jc w:val="left"/>
        <w:rPr/>
      </w:pPr>
      <w:r>
        <w:rPr>
          <w:rFonts w:ascii="Tenorite;sans-serif" w:hAnsi="Tenorite;sans-serif"/>
          <w:b/>
          <w:color w:val="2D3243"/>
          <w:sz w:val="20"/>
        </w:rPr>
        <w:t>Board Matrix</w:t>
      </w:r>
      <w:r>
        <w:rPr>
          <w:rFonts w:ascii="Tenorite;sans-serif" w:hAnsi="Tenorite;sans-serif"/>
          <w:b/>
          <w:color w:val="2D3243"/>
          <w:sz w:val="13"/>
        </w:rPr>
        <w:t>(1)</w:t>
      </w:r>
    </w:p>
    <w:tbl>
      <w:tblPr>
        <w:tblW w:w="8552" w:type="dxa"/>
        <w:jc w:val="left"/>
        <w:tblInd w:w="0" w:type="dxa"/>
        <w:tblLayout w:type="fixed"/>
        <w:tblCellMar>
          <w:top w:w="28" w:type="dxa"/>
          <w:left w:w="28" w:type="dxa"/>
          <w:bottom w:w="28" w:type="dxa"/>
          <w:right w:w="28" w:type="dxa"/>
        </w:tblCellMar>
      </w:tblPr>
      <w:tblGrid>
        <w:gridCol w:w="1329"/>
        <w:gridCol w:w="1171"/>
        <w:gridCol w:w="1175"/>
        <w:gridCol w:w="255"/>
        <w:gridCol w:w="255"/>
        <w:gridCol w:w="256"/>
        <w:gridCol w:w="180"/>
        <w:gridCol w:w="180"/>
        <w:gridCol w:w="181"/>
        <w:gridCol w:w="380"/>
        <w:gridCol w:w="380"/>
        <w:gridCol w:w="381"/>
        <w:gridCol w:w="711"/>
        <w:gridCol w:w="711"/>
        <w:gridCol w:w="1007"/>
      </w:tblGrid>
      <w:tr>
        <w:trP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Total Number of Directors - 10</w:t>
            </w:r>
          </w:p>
        </w:tc>
        <w:tc>
          <w:tcPr>
            <w:tcW w:w="76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Female</w:t>
            </w:r>
          </w:p>
        </w:tc>
        <w:tc>
          <w:tcPr>
            <w:tcW w:w="54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Male</w:t>
            </w:r>
          </w:p>
        </w:tc>
        <w:tc>
          <w:tcPr>
            <w:tcW w:w="114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Non-Binary</w:t>
            </w:r>
          </w:p>
        </w:tc>
        <w:tc>
          <w:tcPr>
            <w:tcW w:w="242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Did Not Disclose Gender</w:t>
            </w:r>
          </w:p>
        </w:tc>
      </w:tr>
      <w:tr>
        <w:trPr/>
        <w:tc>
          <w:tcPr>
            <w:tcW w:w="367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Part I: Gender Identity</w:t>
            </w:r>
          </w:p>
        </w:tc>
        <w:tc>
          <w:tcPr>
            <w:tcW w:w="76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Directors</w:t>
            </w:r>
          </w:p>
        </w:tc>
        <w:tc>
          <w:tcPr>
            <w:tcW w:w="766"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3</w:t>
            </w:r>
          </w:p>
        </w:tc>
        <w:tc>
          <w:tcPr>
            <w:tcW w:w="541"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7</w:t>
            </w:r>
          </w:p>
        </w:tc>
        <w:tc>
          <w:tcPr>
            <w:tcW w:w="1141"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Part II: Demographic Background</w:t>
            </w:r>
          </w:p>
        </w:tc>
        <w:tc>
          <w:tcPr>
            <w:tcW w:w="76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African American or Black</w:t>
            </w:r>
          </w:p>
        </w:tc>
        <w:tc>
          <w:tcPr>
            <w:tcW w:w="766"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w:t>
            </w:r>
          </w:p>
        </w:tc>
        <w:tc>
          <w:tcPr>
            <w:tcW w:w="1141"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Alaskan Native or Native American</w:t>
            </w:r>
          </w:p>
        </w:tc>
        <w:tc>
          <w:tcPr>
            <w:tcW w:w="76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Asian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Hispanic or Latinx</w:t>
            </w:r>
          </w:p>
        </w:tc>
        <w:tc>
          <w:tcPr>
            <w:tcW w:w="76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Native Hawaiian or Pacific Islander</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White</w:t>
            </w:r>
          </w:p>
        </w:tc>
        <w:tc>
          <w:tcPr>
            <w:tcW w:w="766"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w:t>
            </w:r>
          </w:p>
        </w:tc>
        <w:tc>
          <w:tcPr>
            <w:tcW w:w="541"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5</w:t>
            </w:r>
          </w:p>
        </w:tc>
        <w:tc>
          <w:tcPr>
            <w:tcW w:w="11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Two or More Races or Ethnicities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E5E6E7"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LGBTQ+</w:t>
            </w:r>
          </w:p>
        </w:tc>
        <w:tc>
          <w:tcPr>
            <w:tcW w:w="766"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5E6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Did Not Disclose Demographic Background</w:t>
            </w:r>
          </w:p>
        </w:tc>
        <w:tc>
          <w:tcPr>
            <w:tcW w:w="766"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pPr>
      <w:r>
        <w:rPr>
          <w:rFonts w:ascii="Tenorite;sans-serif" w:hAnsi="Tenorite;sans-serif"/>
          <w:b w:val="false"/>
          <w:color w:val="2D3243"/>
          <w:sz w:val="12"/>
        </w:rPr>
        <w:t xml:space="preserve">(1) </w:t>
      </w:r>
      <w:r>
        <w:rPr>
          <w:rFonts w:ascii="Tenorite;sans-serif" w:hAnsi="Tenorite;sans-serif"/>
          <w:b w:val="false"/>
          <w:color w:val="2D3243"/>
          <w:sz w:val="16"/>
        </w:rPr>
        <w:t xml:space="preserve">As of the date 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40410"/>
                <wp:effectExtent l="0" t="0" r="0" b="0"/>
                <wp:wrapNone/>
                <wp:docPr id="69" name="Frame3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Supermajority Vote Requirement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believe that the supermajority vote requirements in our governance documents are consistent with our peer group, and protect the best interests of our company and stockholders for the following reasons: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Our Supermajority Voting Provisions are Designed to Protect our Stockholders.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supermajority voting provisions are designed to encourage any potential acquirer to negotiate directly with our Board of Directors and protect our stockholders against the potentially self-interested actions of short-term investors. This is desirable because we believe our Board of Directors is in the best position to evaluate the adequacy and fairness of proposed offers based on the long-term interests of all stockholders, to negotiate on behalf of all stockholders and to protect stockholders against abusive tactics during a takeover process. These provisions are also designed to protect all of our stockholders against self-interested actions by one or a few large stockholders. A simple majority vote would eliminate these protections.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Our Supermajority Voting is consistent with Delaware Law.</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While Delaware law provides that most proposals submitted to a vote of a company’s stockholders require a vote of the majority of the shares present and eligible to vote at the meeting, Delaware law also provides that certain matters presented to stockholders may be subject to a greater percentage vote standard if that standard is set forth in a company’s certificate of incorporation. Our Certificate of Incorporation, which was approved by stockholder vote, provides that the vote of holders of at least 66 2/3% of its outstanding stock must approve amendments to the Bylaws and certain provisions of our Certificate of Incorporation.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Code of Business Conduct </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The Board of Directors has adopted a code of business conduct and ethics that is applicable to all of our employees, officers and directors, including our chief executive and senior financial officers. The full text of our code of business conduct is, and any amendment to or waiver from a provision of our code of business conduct will be, posted on our website at http://investors.five9.com under the “Governance”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 xml:space="preserve">Insider Trading Policy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have adopted an insider trading policy that governs the purchase, sale, and/or other transactions of our securities by our directors, officers and employees, and have implemented processes that we believe are reasonably designed to promote compliance with insider trading laws, rules and regulations, and applicable Nasdaq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Stockholder Communications with the Board of Directors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Stockholders may communicate with our Board of Directors, either generally or with a particular director, by email at stockholdercommunication@five9.com or by writing to the following address:</w:t>
      </w:r>
    </w:p>
    <w:p>
      <w:pPr>
        <w:pStyle w:val="TextBody"/>
        <w:bidi w:val="0"/>
        <w:spacing w:lineRule="auto" w:line="384" w:before="0" w:after="60"/>
        <w:jc w:val="left"/>
        <w:rPr>
          <w:rFonts w:ascii="Tenorite;sans-serif" w:hAnsi="Tenorite;sans-serif"/>
          <w:b/>
          <w:color w:val="2D3243"/>
          <w:sz w:val="18"/>
        </w:rPr>
      </w:pPr>
      <w:r>
        <w:rPr>
          <w:rFonts w:ascii="Tenorite;sans-serif" w:hAnsi="Tenorite;sans-serif"/>
          <w:b/>
          <w:color w:val="2D3243"/>
          <w:sz w:val="18"/>
        </w:rPr>
        <w:t>The Board of Directors</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c/o Secretary</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Five9, Inc.</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3001 Bishop Drive, Suite 350</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San Ramon, CA 94583</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Each such communication should set forth (i) the nature of the stockholder’s interest in Five9 (including share ownership) and (ii) contact information for the individual submitting the communication (including name, address, telephone and email address, as applicable). Communications that are intended specifically for non-employee directors should be sent to the postal or email address above to the attention of the Chair of the Nominating and Governance Committee with a note that the communication is intended specifically for non-employee directors. The Secretary of Five9 will receive and review communications addressed to the Board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40410"/>
                <wp:effectExtent l="0" t="0" r="0" b="0"/>
                <wp:wrapNone/>
                <wp:docPr id="70" name="Frame3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Directors, any committee of the Board of Directors or any director, except for those communications intended specifically for non-employee directors that are directed to the Chair of the Nominating and Governance Committee. The Secretary may communicate with the sender for necessary clarification. </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The Secretary will not forward to the Board of Directors, any committee of the Board of Directors or any director communications that are not related to the duties and responsibilities of the Board of Directors, including, without limitation, spam, junk mail, advertisements, mass mailings, solicitations, job inquiries and opinion survey polls and only non-employee directors will be permitted to review any communications intended only for non-employee directors. Further, the Secretary will not communicate any offensive, inappropriate or otherwise irrelevant communications to the Board of Directors, any Board committee or any director. The Secretary will maintain a log of any such communications not shared with the Board of Directors, which any director may review upon request, except that such log will not contain any spam, junk mail, advertisements, mass mailings, solicitations, job inquiries, opinion survey polls, or similar information. The Secretary will share all proper communications with the Board of Directors, the appropriate committee of the Board of Directors or the appropriate director(s) on at least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Attendance at Annual Meeting of Stockholders by the Board of Directors</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 xml:space="preserve">Pursuant to our Corporate Governance Guidelines, our directors are encouraged, but not required, to attend our annual meeting of stockholders. Ms. Barsamian, and Messrs. Acosta, Burdiek, Michael Burkland, Mariner, Welsh and Zollars attended our 2024 annual meeting of stockholders on May 14, 2024. Ms. Walker and Mr. Gupta joined our Board of Directors on May 21, 2024 and December 8, 2024, respectively, and, therefore, were not directors at the time of our 2024 annual meeting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Director Compensation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Consistent with our non-employee director compensation policy, in 2024 each non-employee director was eligible to earn an annual cash retainer, additional fees based on committee service, and receive an annual equity award under our 2014 Equity Incentive Plan (the “2014 Plan”).</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 xml:space="preserve">Cash Compensation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annual cash retainer amounts are payable in equal quarterly installments. Set forth below are the cash retainer amounts for our non-employee directors in 2024.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Annual Board of Directors Service Retainer:</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All Non-Employee Directors: $35,000</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Annual Chair Service Fee (in addition to the Annual Board of Directors Service Retainer):</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Chair of the Board of Directors: $20,000</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Lead Independent Director: $20,000</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Chair of the Audit Committee: $20,000</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Chair of the Compensation Committee: $15,000</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Chair of the Nominating and Governance Committee: $9,000</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Annual Committee Member (non-Chair) Service Fee (in addition to the Annual Board of Directors Service Retainer):</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Audit Committee: $10,000</w:t>
      </w:r>
    </w:p>
    <w:p>
      <w:pPr>
        <w:pStyle w:val="TextBody"/>
        <w:bidi w:val="0"/>
        <w:spacing w:lineRule="auto" w:line="384" w:before="0" w:after="60"/>
        <w:ind w:left="0" w:right="0" w:hanging="270"/>
        <w:jc w:val="left"/>
        <w:rPr/>
      </w:pPr>
      <w:r>
        <w:rPr>
          <w:color w:val="2D3243"/>
        </w:rPr>
        <w:t>◦</w:t>
      </w:r>
      <w:r>
        <w:rPr>
          <w:rFonts w:ascii="Tenorite;sans-serif" w:hAnsi="Tenorite;sans-serif"/>
          <w:b w:val="false"/>
          <w:color w:val="2D3243"/>
          <w:sz w:val="18"/>
        </w:rPr>
        <w:t>Compensation Committee: $7,500</w:t>
      </w:r>
    </w:p>
    <w:p>
      <w:pPr>
        <w:pStyle w:val="TextBody"/>
        <w:bidi w:val="0"/>
        <w:spacing w:lineRule="auto" w:line="384" w:before="0" w:after="180"/>
        <w:ind w:left="0" w:right="0" w:hanging="270"/>
        <w:jc w:val="left"/>
        <w:rPr/>
      </w:pPr>
      <w:r>
        <w:rPr>
          <w:color w:val="2D3243"/>
        </w:rPr>
        <w:t>◦</w:t>
      </w:r>
      <w:r>
        <w:rPr>
          <w:rFonts w:ascii="Tenorite;sans-serif" w:hAnsi="Tenorite;sans-serif"/>
          <w:b w:val="false"/>
          <w:color w:val="2D3243"/>
          <w:sz w:val="18"/>
        </w:rPr>
        <w:t>Nominating and Governance Committee: $4,500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40410"/>
                <wp:effectExtent l="0" t="0" r="0" b="0"/>
                <wp:wrapNone/>
                <wp:docPr id="71" name="Frame3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0" w:after="180"/>
        <w:jc w:val="left"/>
        <w:rPr>
          <w:rFonts w:ascii="Tenorite;sans-serif" w:hAnsi="Tenorite;sans-serif"/>
          <w:b/>
          <w:i/>
          <w:color w:val="2D3243"/>
          <w:sz w:val="20"/>
        </w:rPr>
      </w:pPr>
      <w:r>
        <w:rPr>
          <w:rFonts w:ascii="Tenorite;sans-serif" w:hAnsi="Tenorite;sans-serif"/>
          <w:b/>
          <w:i/>
          <w:color w:val="2D3243"/>
          <w:sz w:val="20"/>
        </w:rPr>
        <w:t>Equity Compensation</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New Non-Employee Director RSU Grant: Under our non-employee director compensation policy, any individual who first becomes a non-employee director (other than as a result of an employee director transitioning to become a non-employee director), is entitled to (i) a restricted stock unit ("RSU") award with an aggregate grant date fair value of $400,000, which will vest in three equal annual installments on the first, second and third anniversaries of the date of grant, subject to the director's continued service through each such vesting date and (ii) an RSU award with an aggregate grant date fair value of $200,000, reduced by a pro-rated amount (1/12) for each month that elapsed since the last annual stockholders' meeting to the date of the director's appointment, which will vest on the first anniversary of the date of grant. These RSU awards will vest in full upon a change in control (as defined in our 2014 Plan) of the Company, subject to the director’s continued service through such date. A new non-employee director will not be eligible to receive the annual RSU grant described below until the second annual meeting following their appointment.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Annual RSU Grant: Under our non-employee director compensation policy, on the date of each annual stockholders meeting, each non-employee director is automatically granted an RSU award with an aggregate grant date fair value of $200,000 (based on the per share closing price of our Common Stock on the date of the annual stockholders meeting). The RSU award vests in full on the earliest to occur of (i) the first anniversary of the grant date, (ii) immediately prior to the next succeeding annual stockholders meeting after the date of grant, and (iii) a change in control (as defined in our 2014 Plan) of the Company, subject to the director’s continued service through such earliest date.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following table sets forth the total compensation earned by our non-employee directors during the year ended December 31, 2024. Mr. Michael Burkland, our Chairman and Chief Executive Officer, does not receive additional compensation for his service on the Board of Directors. The 2024 compensation received by Mr. Michael Burkland as our Chief Executive Officer is presented in the section below entitled “Executive Compensation - 2024 Summary Compensation Table.” </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2024 Director Compensation Table</w:t>
      </w:r>
    </w:p>
    <w:tbl>
      <w:tblPr>
        <w:tblW w:w="9740" w:type="dxa"/>
        <w:jc w:val="left"/>
        <w:tblInd w:w="0" w:type="dxa"/>
        <w:tblLayout w:type="fixed"/>
        <w:tblCellMar>
          <w:top w:w="28" w:type="dxa"/>
          <w:left w:w="28" w:type="dxa"/>
          <w:bottom w:w="28" w:type="dxa"/>
          <w:right w:w="28" w:type="dxa"/>
        </w:tblCellMar>
      </w:tblPr>
      <w:tblGrid>
        <w:gridCol w:w="670"/>
        <w:gridCol w:w="593"/>
        <w:gridCol w:w="597"/>
        <w:gridCol w:w="959"/>
        <w:gridCol w:w="959"/>
        <w:gridCol w:w="962"/>
        <w:gridCol w:w="413"/>
        <w:gridCol w:w="413"/>
        <w:gridCol w:w="376"/>
        <w:gridCol w:w="794"/>
        <w:gridCol w:w="794"/>
        <w:gridCol w:w="796"/>
        <w:gridCol w:w="413"/>
        <w:gridCol w:w="413"/>
        <w:gridCol w:w="216"/>
        <w:gridCol w:w="109"/>
        <w:gridCol w:w="109"/>
        <w:gridCol w:w="154"/>
      </w:tblGrid>
      <w:tr>
        <w:trPr/>
        <w:tc>
          <w:tcPr>
            <w:tcW w:w="67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2880"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Fees Earned or Paid in Cash</w:t>
            </w:r>
            <w:r>
              <w:rPr>
                <w:rFonts w:ascii="Tenorite;sans-serif" w:hAnsi="Tenorite;sans-serif"/>
                <w:b/>
                <w:color w:val="FFFFFF"/>
                <w:sz w:val="10"/>
              </w:rPr>
              <w:t>(1)</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 xml:space="preserve">($) </w:t>
            </w:r>
          </w:p>
        </w:tc>
        <w:tc>
          <w:tcPr>
            <w:tcW w:w="1202"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 xml:space="preserve">Stock </w:t>
            </w:r>
          </w:p>
          <w:p>
            <w:pPr>
              <w:pStyle w:val="TableContents"/>
              <w:bidi w:val="0"/>
              <w:spacing w:lineRule="auto" w:line="288" w:before="0" w:after="0"/>
              <w:jc w:val="right"/>
              <w:rPr/>
            </w:pPr>
            <w:r>
              <w:rPr>
                <w:rFonts w:ascii="Tenorite;sans-serif" w:hAnsi="Tenorite;sans-serif"/>
                <w:b/>
                <w:color w:val="FFFFFF"/>
                <w:sz w:val="16"/>
              </w:rPr>
              <w:t>Awards</w:t>
            </w:r>
            <w:r>
              <w:rPr>
                <w:rFonts w:ascii="Tenorite;sans-serif" w:hAnsi="Tenorite;sans-serif"/>
                <w:b/>
                <w:color w:val="FFFFFF"/>
                <w:sz w:val="10"/>
              </w:rPr>
              <w:t>(2)(3)</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2384"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All Other Compensation </w:t>
              <w:br/>
              <w:t>($)</w:t>
            </w:r>
          </w:p>
        </w:tc>
        <w:tc>
          <w:tcPr>
            <w:tcW w:w="104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Total </w:t>
              <w:br/>
              <w:t>($)</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Jack Acosta</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55,000 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199,991 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254,991 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Susan Barsamian</w:t>
            </w:r>
          </w:p>
        </w:tc>
        <w:tc>
          <w:tcPr>
            <w:tcW w:w="191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52,500 </w:t>
            </w:r>
          </w:p>
        </w:tc>
        <w:tc>
          <w:tcPr>
            <w:tcW w:w="96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199,991 </w:t>
            </w:r>
          </w:p>
        </w:tc>
        <w:tc>
          <w:tcPr>
            <w:tcW w:w="3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252,491 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Burdiek</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52,500 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199,991 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252,491 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0F1F2"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David DeWalt</w:t>
            </w:r>
            <w:r>
              <w:rPr>
                <w:rFonts w:ascii="Tenorite;sans-serif" w:hAnsi="Tenorite;sans-serif"/>
                <w:b w:val="false"/>
                <w:color w:val="2D3243"/>
                <w:sz w:val="10"/>
              </w:rPr>
              <w:t>(4)</w:t>
            </w:r>
          </w:p>
        </w:tc>
        <w:tc>
          <w:tcPr>
            <w:tcW w:w="191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14,703 </w:t>
            </w:r>
          </w:p>
        </w:tc>
        <w:tc>
          <w:tcPr>
            <w:tcW w:w="96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14,703 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Sagar Gupta</w:t>
            </w:r>
            <w:r>
              <w:rPr>
                <w:rFonts w:ascii="Tenorite;sans-serif" w:hAnsi="Tenorite;sans-serif"/>
                <w:b w:val="false"/>
                <w:color w:val="2D3243"/>
                <w:sz w:val="10"/>
              </w:rPr>
              <w:t>(5)</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2,283 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483,295 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485,578 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Julie Iskow</w:t>
            </w:r>
          </w:p>
        </w:tc>
        <w:tc>
          <w:tcPr>
            <w:tcW w:w="191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43,750 </w:t>
            </w:r>
          </w:p>
        </w:tc>
        <w:tc>
          <w:tcPr>
            <w:tcW w:w="96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199,991 </w:t>
            </w:r>
          </w:p>
        </w:tc>
        <w:tc>
          <w:tcPr>
            <w:tcW w:w="3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243,741 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Jonathan Mariner</w:t>
            </w:r>
            <w:r>
              <w:rPr>
                <w:rFonts w:ascii="Tenorite;sans-serif" w:hAnsi="Tenorite;sans-serif"/>
                <w:b w:val="false"/>
                <w:color w:val="2D3243"/>
                <w:sz w:val="10"/>
              </w:rPr>
              <w:t>(6)</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45,000 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0F1F2"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Maria Walker</w:t>
            </w:r>
            <w:r>
              <w:rPr>
                <w:rFonts w:ascii="Tenorite;sans-serif" w:hAnsi="Tenorite;sans-serif"/>
                <w:b w:val="false"/>
                <w:color w:val="2D3243"/>
                <w:sz w:val="10"/>
              </w:rPr>
              <w:t>(7)</w:t>
            </w:r>
          </w:p>
        </w:tc>
        <w:tc>
          <w:tcPr>
            <w:tcW w:w="191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27,625 </w:t>
            </w:r>
          </w:p>
        </w:tc>
        <w:tc>
          <w:tcPr>
            <w:tcW w:w="96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599,976 </w:t>
            </w:r>
          </w:p>
        </w:tc>
        <w:tc>
          <w:tcPr>
            <w:tcW w:w="3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627,601 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David Welsh</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64,000 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199,991 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263,991 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Robert Zollars</w:t>
            </w:r>
          </w:p>
        </w:tc>
        <w:tc>
          <w:tcPr>
            <w:tcW w:w="1918" w:type="dxa"/>
            <w:gridSpan w:val="2"/>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54,500 </w:t>
            </w:r>
          </w:p>
        </w:tc>
        <w:tc>
          <w:tcPr>
            <w:tcW w:w="962"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199,991 </w:t>
            </w:r>
          </w:p>
        </w:tc>
        <w:tc>
          <w:tcPr>
            <w:tcW w:w="376"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796"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254,491 </w:t>
            </w:r>
          </w:p>
        </w:tc>
        <w:tc>
          <w:tcPr>
            <w:tcW w:w="216"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2A4CF9"/>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1.Amounts reported in this column represent the fees earned by or paid in cash to our non-employee directors in 2024 based on our non-employee director compensation policy set forth above.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2.The aggregate grant date fair values of equity awards reported in this column have been calculated in accordance with FASB ASC Topic 718. See Note 7 of the notes to our consolidated financial statements in our Annual Report on Form 10-K for the year ended December 31, 2024 filed with the Securities and Exchange Commission on February 21, 2025 for a discussion of assumptions made in determining the grant date fair value of these equity awards. All unvested and outstanding stock awards granted to our non-employee directors will become fully vested upon a change in control (as defined in our 2014 Plan)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40410"/>
                <wp:effectExtent l="0" t="0" r="0" b="0"/>
                <wp:wrapNone/>
                <wp:docPr id="72" name="Frame3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3.As of December 31, 2024, the number of shares of our Common Stock subject to outstanding stock options and unvested RSUs held by our non-employee directors were as follows:</w:t>
      </w:r>
    </w:p>
    <w:tbl>
      <w:tblPr>
        <w:tblW w:w="7391" w:type="dxa"/>
        <w:jc w:val="left"/>
        <w:tblInd w:w="0" w:type="dxa"/>
        <w:tblLayout w:type="fixed"/>
        <w:tblCellMar>
          <w:top w:w="28" w:type="dxa"/>
          <w:left w:w="28" w:type="dxa"/>
          <w:bottom w:w="28" w:type="dxa"/>
          <w:right w:w="28" w:type="dxa"/>
        </w:tblCellMar>
      </w:tblPr>
      <w:tblGrid>
        <w:gridCol w:w="616"/>
        <w:gridCol w:w="545"/>
        <w:gridCol w:w="549"/>
        <w:gridCol w:w="879"/>
        <w:gridCol w:w="879"/>
        <w:gridCol w:w="881"/>
        <w:gridCol w:w="889"/>
        <w:gridCol w:w="889"/>
        <w:gridCol w:w="892"/>
        <w:gridCol w:w="109"/>
        <w:gridCol w:w="109"/>
        <w:gridCol w:w="154"/>
      </w:tblGrid>
      <w:tr>
        <w:trPr/>
        <w:tc>
          <w:tcPr>
            <w:tcW w:w="6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263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Stock Options Outstanding</w:t>
              <w:br/>
              <w:t>(#)</w:t>
            </w:r>
          </w:p>
        </w:tc>
        <w:tc>
          <w:tcPr>
            <w:tcW w:w="2670"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RSUs That Have Not Vested</w:t>
              <w:br/>
              <w:t>(#)</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Jack Acosta</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Susan Barsamian</w:t>
            </w:r>
          </w:p>
        </w:tc>
        <w:tc>
          <w:tcPr>
            <w:tcW w:w="175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89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Burdiek</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Sagar Gupta</w:t>
            </w:r>
          </w:p>
        </w:tc>
        <w:tc>
          <w:tcPr>
            <w:tcW w:w="175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11,377 </w:t>
            </w:r>
          </w:p>
        </w:tc>
        <w:tc>
          <w:tcPr>
            <w:tcW w:w="89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Julie Iskow</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7,045 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Jonathan Mariner</w:t>
            </w:r>
          </w:p>
        </w:tc>
        <w:tc>
          <w:tcPr>
            <w:tcW w:w="175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4,594 </w:t>
            </w:r>
          </w:p>
        </w:tc>
        <w:tc>
          <w:tcPr>
            <w:tcW w:w="89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Maria Walker</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11,439 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David Welsh</w:t>
            </w:r>
          </w:p>
        </w:tc>
        <w:tc>
          <w:tcPr>
            <w:tcW w:w="175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89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Robert Zollars</w:t>
            </w:r>
          </w:p>
        </w:tc>
        <w:tc>
          <w:tcPr>
            <w:tcW w:w="175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881"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892"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4.Amounts reported for Mr. DeWalt were through his term as a director, which ended at the 2024 Annual Meeting.</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5.Upon Mr. Gupta's appointment to the Board of Directors on December 8, 2024, his initial equity grants consisted of (i) an RSU award with an award value of $400,000, which will vest in three equal annual installments on the first, second and third anniversaries of the date of grant, subject to his continued service through each such vesting date; and (ii) a prorated RSU award with an award value of $83,333, which will vest in full in one installment on the first anniversary of the grant date, subject to his continued service through such date. Mr. Gupta will not be eligible for the regular 2025 automatic annual grant of RSUs to non-employee directors scheduled to occur on the date of the 2025 Annual Meeting, but will be eligible for regular automatic grants thereafter assuming his continued service on the Board of Directors.</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6.Mr. Mariner's fees for his membership on the Nominating and Governance Committee were earned during 2024, but were paid in March 2025 due to administrative error. </w:t>
      </w:r>
    </w:p>
    <w:p>
      <w:pPr>
        <w:pStyle w:val="TextBody"/>
        <w:bidi w:val="0"/>
        <w:spacing w:lineRule="auto" w:line="360" w:before="0" w:after="300"/>
        <w:ind w:left="0" w:right="0" w:hanging="360"/>
        <w:jc w:val="left"/>
        <w:rPr>
          <w:rFonts w:ascii="Tenorite;sans-serif" w:hAnsi="Tenorite;sans-serif"/>
          <w:b w:val="false"/>
          <w:color w:val="2D3243"/>
          <w:sz w:val="16"/>
        </w:rPr>
      </w:pPr>
      <w:r>
        <w:rPr>
          <w:rFonts w:ascii="Tenorite;sans-serif" w:hAnsi="Tenorite;sans-serif"/>
          <w:b w:val="false"/>
          <w:color w:val="2D3243"/>
          <w:sz w:val="16"/>
        </w:rPr>
        <w:t>7.Upon Ms. Walker's appointment to the Board of Directors on May 21, 2024, her initial equity grants consisted of (i) an RSU award with an award value of $400,000, which will vest in three equal annual installments on the first, second and third anniversaries of the date of grant, subject to her continued service through each such vesting date; and (ii) a pro-rated RSU award (with a pro-ration factor equal to 100%) with an award value of $200,000, which will vest in full in one installment on the first anniversary of the grant date, subject to her continued service through such date. Vesting of these awards will accelerate upon (A) a change of control of the Company or (B) the termination of Ms. Walker's continuous service due to her death or disability. 100% of the remaining unvested portion of the awards, if any, will immediately vest in full in the case of a change of control or Ms. Walker's death. 50% of the remaining unvested portion of the awards will immediately vest in the case of termination of Ms. Walker's continuous service due to her disability. Ms. Walker will not be eligible for the regular 2025 automatic annual grant of RSUs to non-employee directors scheduled to occur on the date of the 2025 Annual Meeting, but will be eligible for regular automatic grants thereafter assuming her continued service on the Board of Directors.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2025 Director Compensation</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No changes were made to the non-employee director compensation policy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Employees and Human Capital Resources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Our employees and the culture we have established are the key to our success. As of December 31, 2024, we had 3,073 full-time employees. 43% of our employees are in various cost of revenue functions, 25% in research and development, 20% in sales and marketing and 12% in general and administrative. Our employee turnover for the last three years has averaged 14.7%.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key human capital measures and objectives that we focus on in managing our business, and creating an environment where all of our employees can thrive, are maintaining our company values, creating an inclusive environment with a broad base of skillsets and experiences, our total rewards philosophy, our talent development, and our employees’ safety and wellness.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40410"/>
                <wp:effectExtent l="0" t="0" r="0" b="0"/>
                <wp:wrapNone/>
                <wp:docPr id="73" name="Frame3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Five9 Values - Bringing Passion and Purpose</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At Five9 we are focused on delivering success for our customers, partners and employees. Living our values everyday results in a unique and powerful “winning culture” in which every member on our team is passionately committed to achieve collective success. This powerful team-first culture enables us to overcome obstacles and win year after year, while enjoying the journey together.</w:t>
      </w:r>
    </w:p>
    <w:p>
      <w:pPr>
        <w:pStyle w:val="TextBody"/>
        <w:bidi w:val="0"/>
        <w:spacing w:before="120" w:after="180"/>
        <w:jc w:val="left"/>
        <w:rPr/>
      </w:pPr>
      <w:r>
        <w:rPr/>
        <w:drawing>
          <wp:inline distT="0" distB="0" distL="0" distR="0">
            <wp:extent cx="5943600" cy="3190875"/>
            <wp:effectExtent l="0" t="0" r="0" b="0"/>
            <wp:docPr id="7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0" descr=""/>
                    <pic:cNvPicPr>
                      <a:picLocks noChangeAspect="1" noChangeArrowheads="1"/>
                    </pic:cNvPicPr>
                  </pic:nvPicPr>
                  <pic:blipFill>
                    <a:blip r:embed="rId41"/>
                    <a:stretch>
                      <a:fillRect/>
                    </a:stretch>
                  </pic:blipFill>
                  <pic:spPr bwMode="auto">
                    <a:xfrm>
                      <a:off x="0" y="0"/>
                      <a:ext cx="5943600" cy="3190875"/>
                    </a:xfrm>
                    <a:prstGeom prst="rect">
                      <a:avLst/>
                    </a:prstGeom>
                  </pic:spPr>
                </pic:pic>
              </a:graphicData>
            </a:graphic>
          </wp:inline>
        </w:drawing>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values are woven throughout the entire employee lifecycle and used in the interview process to ensure we hire candidates that have personal values that align with ours. Our values are instrumental in the semi-annual employee performance self-reflection cycle, and we request that employees share how they have lived our values. In addition, we regularly celebrate employees that live our values through recognition and rewards. We introduce new employees to our values during new hire orientation and our values are visible in the offer package as well as company employee resource pages. Our CEO also weaves these values into quarterly company meetings and regular smaller meetings, where one of the values may be highlighted through a story and employee example.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regularly collect feedback to better understand and improve the employee experience and identify opportunities to continually strengthen our culture. 82% of our employees participated in our most recent employee survey in 2024. Last year we maintained the highest level of employee engagement according to our vendor, Culture Amp, as noted in its Engagement and Inclusion benchmark (top quartile) based upon responses from approximately 2,000 companies. The areas rated highest by our employees were: growth and development (77%) and collaboration and communication (70%). </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 xml:space="preserve">Inclusion and Culture at Five9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At Five9, we foster an inclusive environment by creating a culture where our employees can be their authentic selves. We integrate our core values of honesty and respect and lead with transparency and inclusivity. We are committed to building belonging in our workplace and society at large. Our goal is to empower our employees to have a voice that’s heard and foster a community where they feel they belong. In our recruiting, we seek candidates from a broad array of sources to enable us to access the best candidates and build a broad base of skill sets and experience. Additionally, we have various employee-led affinity groups that are open to all of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40410"/>
                <wp:effectExtent l="0" t="0" r="0" b="0"/>
                <wp:wrapNone/>
                <wp:docPr id="75" name="Frame3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29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Corporate Governance</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Women represented 31% of our worldwide employees and racial and ethnic minorities represented 36% of our U.S. employees as of April 7, 2025. Women and ethnic minorities represented 27% and 36%, respectively, of our executive leadership team and 30% and 40%, respectively, of our Board of Directors as of April 7, 2025.</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Total Rewards Philosophy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total rewards philosophy is a comprehensive approach designed to attract, engage, and retain the best talent in our industry by providing a total rewards package that is at or above market rates and, in cases where business demands are unique, we may lead the competitive market. This philosophy is rooted in our understanding that our employees are the cornerstone of our success and that their well-being and satisfaction are paramount to our sustained growth and market leadership.</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Central to our philosophy is the principle of equity and inclusivity. We strive to ensure that our rewards system is fair and transparent. This approach fosters a sense of belonging and commitment among our workforce, driving engagement and productivity.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total rewards philosophy reflects our commitment to creating a supportive and empowering environment for our employees, where they can thrive professionally and personally. By investing in our people in this way, we not only enhance individual well-being but also drive organizational performance and stakeholder value, securing our position as a leader in our industry.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total rewards system encompasses not just competitive cash compensation, but a holistic package that addresses the diverse needs of our workforce. This includes healthcare benefits, mental health benefits to employees and their dependents, financial and physical well-being programs, parental leave, fertility reimbursement, retirement plans, performance bonuses, equity awards, and work-life balance initiatives.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total rewards strategy is dynamic and responsive to the changing marketplace and workforce demographics. We regularly benchmark our offerings against prevailing industry practices to ensure we remain competitive and appealing as an employer. Additionally, we embrace a culture of continuous feedback, allowing us to adapt and refine our rewards in alignment with employee needs and business objectives.</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Talent Development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Talent development is a pivotal element of our organizational strategy and is essential for maintaining our competitive advantage in a dynamic global market. We are deeply committed to the growth of our employees, as evidenced by our multifaceted talent development programs.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Leadership Principles guide the cultivation of a forward-thinking and agile leadership pipeline at all levels within our organization. Leadership Principles inform our Talent Acquisition, Learning and Development and Performance Management practices to ensure we identify, grow and develop the right leadership skills for the future. Our talent review process focuses on identifying employees that are high potential and high performing.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believe learning happens at every part of an employee’s tenure at our company. We continuously strengthen our onboarding practices to ensure employees have the skillset to be successful in their jobs. To support ongoing in-role development, we have semi-annual development conversations between employees and managers to ensure employees have individualized career discussions that align both with organizational goals and the employee’s professional development. We also make learning pathways available through a platform where all employees can take courses to grow their skillsets.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By investing in our Leadership Principles, employee onboarding, ongoing development, and talent reviews, we create a dynamic and resilient workforce, poised to drive innovation and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40410"/>
                <wp:effectExtent l="0" t="0" r="0" b="0"/>
                <wp:wrapNone/>
                <wp:docPr id="76" name="Frame3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Workplace Practices and Policies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are committed to providing a workplace free of harassment or discrimination based on race, color, religion, sex, sexual orientation, gender identity, national origin, disability, veteran status, caste or other legally protected characteristic. We are an equal opportunity employer committed to inclusion.</w:t>
      </w:r>
    </w:p>
    <w:p>
      <w:pPr>
        <w:pStyle w:val="TextBody"/>
        <w:bidi w:val="0"/>
        <w:spacing w:lineRule="auto" w:line="288" w:before="0" w:after="180"/>
        <w:jc w:val="left"/>
        <w:rPr>
          <w:rFonts w:ascii="Tenorite;sans-serif" w:hAnsi="Tenorite;sans-serif"/>
          <w:b/>
          <w:color w:val="2D3243"/>
          <w:sz w:val="20"/>
        </w:rPr>
      </w:pPr>
      <w:r>
        <w:rPr>
          <w:rFonts w:ascii="Tenorite;sans-serif" w:hAnsi="Tenorite;sans-serif"/>
          <w:b/>
          <w:color w:val="2D3243"/>
          <w:sz w:val="20"/>
        </w:rPr>
        <w:t xml:space="preserve">Environmental Sustainability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are committed to reducing workplace-related resource consumption through our site selection, facilities design and energy procurement practices through our landlords, to ensure our corporate responsibility goals are achieved. We participate in building sustainability by occupying LEED certified and 5-Star NABERS Energy Rated multi-tenant buildings. Our corporate headquarters offers a transportation program to cut down on emissions. We have made strides in reducing energy consumption by upgrading our lighting system and installing motion sensors for lighting and convenience electrical outlets. To reduce waste, we use source compostable/recyclable kitchen products, centralized waste collection with an emphasis on recycling, established an E-waste program, implemented software tools to minimize printing waste and reduce equipment and toner purchases, and expanded our battery recycling program to include work-related and personal battery recycling.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are also committed to complying with California’s climate legislation, SB-253 and SB-261. This commitment involves the reporting of Scope 1, 2, and 3 emissions within the mandated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40410"/>
                <wp:effectExtent l="0" t="0" r="0" b="0"/>
                <wp:wrapNone/>
                <wp:docPr id="77" name="Frame3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64" w:before="0" w:after="0"/>
        <w:jc w:val="left"/>
        <w:rPr>
          <w:rFonts w:ascii="Tenorite;sans-serif" w:hAnsi="Tenorite;sans-serif"/>
          <w:b w:val="false"/>
          <w:color w:val="2D3243"/>
          <w:sz w:val="64"/>
        </w:rPr>
      </w:pPr>
      <w:r>
        <w:rPr>
          <w:rFonts w:ascii="Tenorite;sans-serif" w:hAnsi="Tenorite;sans-serif"/>
          <w:b w:val="false"/>
          <w:color w:val="2D3243"/>
          <w:sz w:val="64"/>
        </w:rPr>
        <w:t xml:space="preserve">Proposal No. 2 </w:t>
      </w:r>
    </w:p>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Advisory Vote to Approve Named Executive Officer Compensation</w:t>
      </w:r>
    </w:p>
    <w:p>
      <w:pPr>
        <w:pStyle w:val="TextBody"/>
        <w:bidi w:val="0"/>
        <w:spacing w:lineRule="auto" w:line="384" w:before="120" w:after="180"/>
        <w:jc w:val="left"/>
        <w:rPr>
          <w:rFonts w:ascii="Tenorite;sans-serif" w:hAnsi="Tenorite;sans-serif"/>
          <w:b w:val="false"/>
          <w:color w:val="2D3243"/>
          <w:sz w:val="18"/>
        </w:rPr>
      </w:pPr>
      <w:r>
        <w:rPr>
          <w:rFonts w:ascii="Tenorite;sans-serif" w:hAnsi="Tenorite;sans-serif"/>
          <w:b w:val="false"/>
          <w:color w:val="2D3243"/>
          <w:sz w:val="18"/>
        </w:rPr>
        <w:t xml:space="preserve">Pursuant to Section 14A of the Securities Exchange Act, we are providing our stockholders with the opportunity to vote to approve, on a non-binding, advisory basis, the compensation of our named executive officers (“NEOs”) as disclosed in this Proxy Statement. In accordance with the frequency approved by stockholders at our 2024 annual stockholders meeting and consistent with the Board of Directors’ recommendation, we are submitting this proposal for a non-binding advisory vote on an annual basis.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 described in detail in the “Compensation Discussion and Analysis” section in this Proxy Statement, our executive compensation program is designed to attract, motivate and retain our executive officers, who are critical to our success. Under this program, our executive officers are rewarded for the achievement of specific short-term, long-term and strategic goals, as well as increasing stockholder value. The Board of Directors believes our executive compensation program achieves the important goal of attracting and retaining talented professionals, while at the same time tying a substantial portion of the potential compensation for such executive officers to the achievement of Company goals. In addition, the Board of Directors believes that through the use of a blend of different elements of compensation, such as a performance bonus and performance-based and service-based equity awards, our executive compensation program balances incentives for both short-term and long-term Company performance. Overall, the Board of Directors believes our executive compensation program is fair to both the Company and our executive officers, appropriate for our industry and competitive with what our executive officers could receive elsewhere. Please read the “Compensation Discussion and Analysis” section in this Proxy Statement for additional details about our executive compensation program, including “Key Elements of Our 2024 Executive Compensation Program.”</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Board of Directors is asking our stockholders to indicate their support for the compensation of our NEOs as described in this Proxy Statement. This proposal, commonly known as a “say-on-pay” proposal, gives our stockholders the opportunity to express their views on our NEOs’ compensation. This vote is not intended to address any specific item of compensation or any single compensation philosophy, policy or practice, but rather the overall compensation of our NEOs as described in this Proxy Statement. Accordingly, we are asking our stockholders to vote “FOR” the following resolution at the Annual Meeting:</w:t>
      </w:r>
    </w:p>
    <w:p>
      <w:pPr>
        <w:pStyle w:val="TextBody"/>
        <w:bidi w:val="0"/>
        <w:spacing w:lineRule="auto" w:line="384" w:before="0" w:after="180"/>
        <w:jc w:val="left"/>
        <w:rPr>
          <w:color w:val="2D3243"/>
        </w:rPr>
      </w:pPr>
      <w:r>
        <w:rPr>
          <w:color w:val="2D3243"/>
        </w:rPr>
        <w:t>“</w:t>
      </w:r>
      <w:r>
        <w:rPr>
          <w:rFonts w:ascii="Tenorite;sans-serif" w:hAnsi="Tenorite;sans-serif"/>
          <w:b w:val="false"/>
          <w:color w:val="2D3243"/>
          <w:sz w:val="18"/>
        </w:rPr>
        <w:t>RESOLVED, that the Company’s stockholders approve, on a non-binding, advisory basis, the compensation of the Company’s NEOs, as disclosed in the Company’s proxy statement for the 2025 Annual Meeting of Stockholders pursuant to Item 402 of Regulation S-K, including the Compensation Discussion and Analysis, the Summary Compensation Table and the other related compensation tables and accompanying narrative disclosure.”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say-on-pay vote is advisory and, therefore, not binding on Five9, the Compensation Committee or the Board of Directors. The Board of Directors and Compensation Committee value the opinions of our stockholders and to the extent there is any significant vote against the NEO compensation as disclosed in this Proxy Statement, the Board of Directors and the Compensation Committee will consider our stockholders’ concerns and will evaluate whether any actions are necessary to address those concerns.</w:t>
      </w:r>
    </w:p>
    <w:tbl>
      <w:tblPr>
        <w:tblW w:w="10205" w:type="dxa"/>
        <w:jc w:val="left"/>
        <w:tblInd w:w="0" w:type="dxa"/>
        <w:tblLayout w:type="fixed"/>
        <w:tblCellMar>
          <w:top w:w="28" w:type="dxa"/>
          <w:left w:w="28" w:type="dxa"/>
          <w:bottom w:w="28" w:type="dxa"/>
          <w:right w:w="28" w:type="dxa"/>
        </w:tblCellMar>
      </w:tblPr>
      <w:tblGrid>
        <w:gridCol w:w="1303"/>
        <w:gridCol w:w="1148"/>
        <w:gridCol w:w="1148"/>
        <w:gridCol w:w="1148"/>
        <w:gridCol w:w="1148"/>
        <w:gridCol w:w="1158"/>
        <w:gridCol w:w="916"/>
        <w:gridCol w:w="916"/>
        <w:gridCol w:w="1320"/>
      </w:tblGrid>
      <w:tr>
        <w:trPr/>
        <w:tc>
          <w:tcPr>
            <w:tcW w:w="130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6"/>
            <w:tcBorders/>
            <w:tcMar>
              <w:top w:w="0" w:type="dxa"/>
              <w:left w:w="0" w:type="dxa"/>
              <w:bottom w:w="0" w:type="dxa"/>
              <w:right w:w="0" w:type="dxa"/>
            </w:tcMar>
            <w:vAlign w:val="center"/>
          </w:tcPr>
          <w:p>
            <w:pPr>
              <w:pStyle w:val="TableContents"/>
              <w:bidi w:val="0"/>
              <w:spacing w:lineRule="auto" w:line="336" w:before="0" w:after="283"/>
              <w:jc w:val="left"/>
              <w:rPr>
                <w:rFonts w:ascii="Tenorite;sans-serif" w:hAnsi="Tenorite;sans-serif"/>
                <w:b/>
                <w:color w:val="2A4CF9"/>
                <w:sz w:val="24"/>
              </w:rPr>
            </w:pPr>
            <w:r>
              <w:rPr>
                <w:rFonts w:ascii="Tenorite;sans-serif" w:hAnsi="Tenorite;sans-serif"/>
                <w:b/>
                <w:color w:val="2A4CF9"/>
                <w:sz w:val="24"/>
              </w:rPr>
              <w:t>VOTE</w:t>
            </w:r>
          </w:p>
        </w:tc>
        <w:tc>
          <w:tcPr>
            <w:tcW w:w="3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36" w:before="0" w:after="240"/>
              <w:jc w:val="left"/>
              <w:rPr/>
            </w:pPr>
            <w:r>
              <w:rPr>
                <w:rFonts w:ascii="Tenorite;sans-serif" w:hAnsi="Tenorite;sans-serif"/>
                <w:b/>
                <w:color w:val="2D3243"/>
                <w:sz w:val="22"/>
              </w:rPr>
              <w:t>The Board of Directors Recommends a Vote</w:t>
            </w:r>
            <w:r>
              <w:rPr>
                <w:color w:val="2A4CF9"/>
              </w:rPr>
              <w:t xml:space="preserve"> “</w:t>
            </w:r>
            <w:r>
              <w:rPr>
                <w:rFonts w:ascii="Tenorite;sans-serif" w:hAnsi="Tenorite;sans-serif"/>
                <w:b/>
                <w:color w:val="2A4CF9"/>
                <w:sz w:val="24"/>
              </w:rPr>
              <w:t>FOR”</w:t>
            </w:r>
            <w:r>
              <w:rPr>
                <w:color w:val="2D3243"/>
              </w:rPr>
              <w:t xml:space="preserve"> </w:t>
            </w:r>
            <w:r>
              <w:rPr>
                <w:rFonts w:ascii="Tenorite;sans-serif" w:hAnsi="Tenorite;sans-serif"/>
                <w:b/>
                <w:color w:val="2D3243"/>
                <w:sz w:val="22"/>
              </w:rPr>
              <w:t>the Advisory Approval of the Compensation of Our Named Executive Officers as disclosed in this Proxy Statement.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40410"/>
                <wp:effectExtent l="0" t="0" r="0" b="0"/>
                <wp:wrapNone/>
                <wp:docPr id="78" name="Frame3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300" w:after="283"/>
        <w:jc w:val="left"/>
        <w:rPr>
          <w:rFonts w:ascii="Tenorite;sans-serif" w:hAnsi="Tenorite;sans-serif"/>
          <w:b w:val="false"/>
          <w:color w:val="2D3243"/>
          <w:sz w:val="64"/>
        </w:rPr>
      </w:pPr>
      <w:r>
        <w:rPr>
          <w:rFonts w:ascii="Tenorite;sans-serif" w:hAnsi="Tenorite;sans-serif"/>
          <w:b w:val="false"/>
          <w:color w:val="2D3243"/>
          <w:sz w:val="64"/>
        </w:rPr>
        <w:t>Proposal No. 3</w:t>
      </w:r>
    </w:p>
    <w:p>
      <w:pPr>
        <w:pStyle w:val="TextBody"/>
        <w:bidi w:val="0"/>
        <w:spacing w:lineRule="auto" w:line="264" w:before="0" w:after="240"/>
        <w:jc w:val="left"/>
        <w:rPr>
          <w:rFonts w:ascii="Tenorite;sans-serif" w:hAnsi="Tenorite;sans-serif"/>
          <w:b w:val="false"/>
          <w:color w:val="2D3243"/>
          <w:sz w:val="64"/>
        </w:rPr>
      </w:pPr>
      <w:r>
        <w:rPr>
          <w:rFonts w:ascii="Tenorite;sans-serif" w:hAnsi="Tenorite;sans-serif"/>
          <w:b w:val="false"/>
          <w:color w:val="2D3243"/>
          <w:sz w:val="64"/>
        </w:rPr>
        <w:t>Ratification Of Appointment Of Independent Registered Public Accounting Firm</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Audit Committee of the Board of Directors has selected KPMG LLP as our independent registered public accounting firm for the fiscal year ending December 31, 2025. KPMG LLP has audited our financial statements since their appointment in 2012. Representatives of KPMG LLP are expected to be present at the Annual Meeting. They will have an opportunity to make a statement if they so desire and will be available to respond to appropriate questions.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Neither our Bylaws nor other governing documents or law require stockholder ratification of the appointment of KPMG LLP as our independent registered public accounting firm. However, the Board of Directors is submitting the appointment of KPMG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Independent Registered Public Accounting Firm’s Fees</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 following table summarizes the aggregate fees billed by KPMG LLP, our independent registered public accounting firm, for professional services provided for fiscal years 2024 and 2023:</w:t>
      </w:r>
    </w:p>
    <w:tbl>
      <w:tblPr>
        <w:tblW w:w="3950" w:type="dxa"/>
        <w:jc w:val="left"/>
        <w:tblInd w:w="0" w:type="dxa"/>
        <w:tblLayout w:type="fixed"/>
        <w:tblCellMar>
          <w:top w:w="28" w:type="dxa"/>
          <w:left w:w="28" w:type="dxa"/>
          <w:bottom w:w="28" w:type="dxa"/>
          <w:right w:w="28" w:type="dxa"/>
        </w:tblCellMar>
      </w:tblPr>
      <w:tblGrid>
        <w:gridCol w:w="499"/>
        <w:gridCol w:w="439"/>
        <w:gridCol w:w="441"/>
        <w:gridCol w:w="211"/>
        <w:gridCol w:w="616"/>
        <w:gridCol w:w="109"/>
        <w:gridCol w:w="109"/>
        <w:gridCol w:w="109"/>
        <w:gridCol w:w="109"/>
        <w:gridCol w:w="211"/>
        <w:gridCol w:w="616"/>
        <w:gridCol w:w="109"/>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2024</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FFFFFF"/>
            </w:tcBorders>
            <w:shd w:fill="2A4CF9" w:val="clear"/>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2023</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(In thousands)</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Audit fees</w:t>
            </w:r>
            <w:r>
              <w:rPr>
                <w:rFonts w:ascii="Tenorite;sans-serif" w:hAnsi="Tenorite;sans-serif"/>
                <w:b/>
                <w:color w:val="2D3243"/>
                <w:sz w:val="10"/>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0F1F2"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Tax fees</w:t>
            </w:r>
            <w:r>
              <w:rPr>
                <w:rFonts w:ascii="Tenorite;sans-serif" w:hAnsi="Tenorite;sans-serif"/>
                <w:b/>
                <w:color w:val="2D3243"/>
                <w:sz w:val="10"/>
              </w:rPr>
              <w:t>(2)</w:t>
            </w:r>
          </w:p>
        </w:tc>
        <w:tc>
          <w:tcPr>
            <w:tcW w:w="827"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69 </w:t>
            </w:r>
          </w:p>
        </w:tc>
        <w:tc>
          <w:tcPr>
            <w:tcW w:w="109"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18 </w:t>
            </w:r>
          </w:p>
        </w:tc>
        <w:tc>
          <w:tcPr>
            <w:tcW w:w="109"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All other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Total fees</w:t>
            </w:r>
          </w:p>
        </w:tc>
        <w:tc>
          <w:tcPr>
            <w:tcW w:w="211"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616"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3,516 </w:t>
            </w:r>
          </w:p>
        </w:tc>
        <w:tc>
          <w:tcPr>
            <w:tcW w:w="109" w:type="dxa"/>
            <w:tcBorders>
              <w:top w:val="single" w:sz="8" w:space="0" w:color="000000"/>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616"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2,697 </w:t>
            </w:r>
          </w:p>
        </w:tc>
        <w:tc>
          <w:tcPr>
            <w:tcW w:w="109" w:type="dxa"/>
            <w:tcBorders>
              <w:top w:val="single" w:sz="8" w:space="0" w:color="000000"/>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0F1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bottom w:val="single" w:sz="8" w:space="0" w:color="2A4CF9"/>
            </w:tcBorders>
            <w:shd w:fill="F1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2A4CF9"/>
            </w:tcBorders>
            <w:shd w:fill="F1F2F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1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2A4CF9"/>
            </w:tcBorders>
            <w:shd w:fill="F1F2F2"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bottom w:val="single" w:sz="8" w:space="0" w:color="2A4CF9"/>
            </w:tcBorders>
            <w:shd w:fill="F1F2F2"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1.Represents fees for professional services rendered for the audit of our annual financial statements, review of our quarterly financial statements, international statutory audits, and work performed in connection with registration statements.</w:t>
      </w:r>
    </w:p>
    <w:p>
      <w:pPr>
        <w:pStyle w:val="TextBody"/>
        <w:bidi w:val="0"/>
        <w:spacing w:lineRule="auto" w:line="360" w:before="0" w:after="300"/>
        <w:ind w:left="0" w:right="0" w:hanging="360"/>
        <w:jc w:val="left"/>
        <w:rPr>
          <w:rFonts w:ascii="Tenorite;sans-serif" w:hAnsi="Tenorite;sans-serif"/>
          <w:b w:val="false"/>
          <w:color w:val="2D3243"/>
          <w:sz w:val="16"/>
        </w:rPr>
      </w:pPr>
      <w:r>
        <w:rPr>
          <w:rFonts w:ascii="Tenorite;sans-serif" w:hAnsi="Tenorite;sans-serif"/>
          <w:b w:val="false"/>
          <w:color w:val="2D3243"/>
          <w:sz w:val="16"/>
        </w:rPr>
        <w:t>2.Represents fees for tax compliance and consulting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Pre-Approval Policies and Procedures</w:t>
      </w:r>
    </w:p>
    <w:p>
      <w:pPr>
        <w:pStyle w:val="TextBody"/>
        <w:bidi w:val="0"/>
        <w:spacing w:lineRule="auto" w:line="384" w:before="0" w:after="120"/>
        <w:jc w:val="left"/>
        <w:rPr>
          <w:rFonts w:ascii="Tenorite;sans-serif" w:hAnsi="Tenorite;sans-serif"/>
          <w:b w:val="false"/>
          <w:color w:val="2D3243"/>
          <w:sz w:val="18"/>
        </w:rPr>
      </w:pPr>
      <w:r>
        <w:rPr>
          <w:rFonts w:ascii="Tenorite;sans-serif" w:hAnsi="Tenorite;sans-serif"/>
          <w:b w:val="false"/>
          <w:color w:val="2D3243"/>
          <w:sz w:val="18"/>
        </w:rPr>
        <w:t xml:space="preserve">The Audit Committee’s policy is to pre-approve all audit and permissible non-audit services rendered by KPMG LLP, our independent registered public accounting firm, and related fees. The Audit Committee can pre-approve specified services in defined categories of audit services, audit-related services, tax services and related fees up to specified amounts, as part of the Audit Committee’s approval of the scope of the engagement of KPMG LLP or on an individual case-by-case basis before KPMG LLP is engaged to provide a service. Additionally, the Audit Committee Chair is authorized to pre-approve audit and non-audit services and the fees therefor if (i) they are individually less than or equal to $50,000, (ii) the Audit Committee Chair reports such approvals to the Audit Committee at its next regular meeting thereafter and (iii) KPMG LLP confirms that such services will not impact KPMG LLP’s independence. All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40410"/>
                <wp:effectExtent l="0" t="0" r="0" b="0"/>
                <wp:wrapNone/>
                <wp:docPr id="79" name="Frame3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951" w:type="dxa"/>
        <w:jc w:val="left"/>
        <w:tblInd w:w="0" w:type="dxa"/>
        <w:tblLayout w:type="fixed"/>
        <w:tblCellMar>
          <w:top w:w="28" w:type="dxa"/>
          <w:left w:w="28" w:type="dxa"/>
          <w:bottom w:w="28" w:type="dxa"/>
          <w:right w:w="28" w:type="dxa"/>
        </w:tblCellMar>
      </w:tblPr>
      <w:tblGrid>
        <w:gridCol w:w="364"/>
        <w:gridCol w:w="319"/>
        <w:gridCol w:w="322"/>
        <w:gridCol w:w="109"/>
        <w:gridCol w:w="109"/>
        <w:gridCol w:w="109"/>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Proposal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r>
    </w:tbl>
    <w:p>
      <w:pPr>
        <w:pStyle w:val="TextBody"/>
        <w:bidi w:val="0"/>
        <w:spacing w:lineRule="auto" w:line="384" w:before="0" w:after="120"/>
        <w:jc w:val="left"/>
        <w:rPr>
          <w:rFonts w:ascii="Tenorite;sans-serif" w:hAnsi="Tenorite;sans-serif"/>
          <w:b w:val="false"/>
          <w:color w:val="2D3243"/>
          <w:sz w:val="18"/>
        </w:rPr>
      </w:pPr>
      <w:r>
        <w:rPr>
          <w:rFonts w:ascii="Tenorite;sans-serif" w:hAnsi="Tenorite;sans-serif"/>
          <w:b w:val="false"/>
          <w:color w:val="2D3243"/>
          <w:sz w:val="18"/>
        </w:rPr>
        <w:t>audit-related and tax services were pre-approved by the Audit Committee or Audit Committee Chair (as set forth above). The Audit Committee has determined that, subject to reasonable limits, the rendering of the services other than audit services by KPMG LLP is compatible with maintaining the independent registered public accounting firm’s independence.</w:t>
      </w:r>
    </w:p>
    <w:tbl>
      <w:tblPr>
        <w:tblW w:w="10205" w:type="dxa"/>
        <w:jc w:val="center"/>
        <w:tblInd w:w="0" w:type="dxa"/>
        <w:tblLayout w:type="fixed"/>
        <w:tblCellMar>
          <w:top w:w="28" w:type="dxa"/>
          <w:left w:w="28" w:type="dxa"/>
          <w:bottom w:w="28" w:type="dxa"/>
          <w:right w:w="28" w:type="dxa"/>
        </w:tblCellMar>
      </w:tblPr>
      <w:tblGrid>
        <w:gridCol w:w="1300"/>
        <w:gridCol w:w="1147"/>
        <w:gridCol w:w="1147"/>
        <w:gridCol w:w="1147"/>
        <w:gridCol w:w="1147"/>
        <w:gridCol w:w="1158"/>
        <w:gridCol w:w="913"/>
        <w:gridCol w:w="913"/>
        <w:gridCol w:w="1333"/>
      </w:tblGrid>
      <w:tr>
        <w:trPr/>
        <w:tc>
          <w:tcPr>
            <w:tcW w:w="130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6"/>
            <w:tcBorders/>
            <w:tcMar>
              <w:top w:w="0" w:type="dxa"/>
              <w:left w:w="0" w:type="dxa"/>
              <w:bottom w:w="0" w:type="dxa"/>
              <w:right w:w="0" w:type="dxa"/>
            </w:tcMar>
            <w:vAlign w:val="center"/>
          </w:tcPr>
          <w:p>
            <w:pPr>
              <w:pStyle w:val="TableContents"/>
              <w:bidi w:val="0"/>
              <w:spacing w:lineRule="auto" w:line="336" w:before="0" w:after="283"/>
              <w:jc w:val="left"/>
              <w:rPr>
                <w:rFonts w:ascii="Tenorite;sans-serif" w:hAnsi="Tenorite;sans-serif"/>
                <w:b/>
                <w:color w:val="2A4CF9"/>
                <w:sz w:val="24"/>
              </w:rPr>
            </w:pPr>
            <w:r>
              <w:rPr>
                <w:rFonts w:ascii="Tenorite;sans-serif" w:hAnsi="Tenorite;sans-serif"/>
                <w:b/>
                <w:color w:val="2A4CF9"/>
                <w:sz w:val="24"/>
              </w:rPr>
              <w:t>VOTE</w:t>
            </w:r>
          </w:p>
        </w:tc>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36" w:before="0" w:after="240"/>
              <w:jc w:val="left"/>
              <w:rPr/>
            </w:pPr>
            <w:r>
              <w:rPr>
                <w:rFonts w:ascii="Tenorite;sans-serif" w:hAnsi="Tenorite;sans-serif"/>
                <w:b/>
                <w:color w:val="2D3243"/>
                <w:sz w:val="22"/>
              </w:rPr>
              <w:t xml:space="preserve">The Board of Directors Recommends a Vote </w:t>
            </w:r>
            <w:r>
              <w:rPr>
                <w:color w:val="2A4CF9"/>
              </w:rPr>
              <w:t>“</w:t>
            </w:r>
            <w:r>
              <w:rPr>
                <w:rFonts w:ascii="Tenorite;sans-serif" w:hAnsi="Tenorite;sans-serif"/>
                <w:b/>
                <w:color w:val="2A4CF9"/>
                <w:sz w:val="24"/>
              </w:rPr>
              <w:t>FOR”</w:t>
            </w:r>
            <w:r>
              <w:rPr>
                <w:color w:val="2D3243"/>
              </w:rPr>
              <w:t xml:space="preserve"> </w:t>
            </w:r>
            <w:r>
              <w:rPr>
                <w:rFonts w:ascii="Tenorite;sans-serif" w:hAnsi="Tenorite;sans-serif"/>
                <w:b/>
                <w:color w:val="2D3243"/>
                <w:sz w:val="22"/>
              </w:rPr>
              <w:t>the Ratification of the Appointment of KPMG LLP As Five9’s Independent Registered Public Accounting Firm for Its Fiscal Year Ending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enorite;sans-serif" w:hAnsi="Tenorite;sans-serif"/>
          <w:b/>
          <w:color w:val="2A4CF9"/>
          <w:sz w:val="24"/>
        </w:rPr>
      </w:pPr>
      <w:r>
        <w:rPr>
          <w:rFonts w:ascii="Tenorite;sans-serif" w:hAnsi="Tenorite;sans-serif"/>
          <w:b/>
          <w:color w:val="2A4CF9"/>
          <w:sz w:val="24"/>
        </w:rPr>
        <w:t>Audit Committee Report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Audit Committee of the Board of Directors currently consists of the five non-employee directors named below. The Board of Directors annually reviews the NASDAQ listing standards’ and Exchange Act definitions of independence for Audit Committee members and has determined that each member of the Audit Committee meets that standard. The Board of Directors has also determined that each of Mr. Acosta and Ms. Walker are audit committee financial experts as described in applicable rules and regulations of the SEC.</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principal purpose of the Audit Committee is to assist the Board of Directors in its general oversight of the Company’s accounting practices, system of internal controls, audit processes and financial reporting processes. The Audit Committee is responsible for appointing and retaining our independent registered public accounting firm and approving the audit and non-audit services to be provided by the independent registered public accounting firm. The Audit Committee’s function is more fully described in the Audit Committee Charter, which the Board of Directors has adopted and which the Audit Committee reviews on an annual basis.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Company’s management is responsible for preparing our consolidated financial statements in accordance with generally accepted accounting principles in the United States (“U.S. GAAP”). KPMG LLP, our independent registered public accounting firm, is responsible for performing an independent audit of our consolidated financial statements and internal control over financial reporting and expressing an opinion as to whether those consolidated financial statements fairly present, in all material respects, the financial position, results of operations and cash flows of the Company in conformity with U.S. GAAP.</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Audit Committee has reviewed and discussed with our management the audited consolidated financial statements of the Company included in our Annual Report on Form 10-K for the fiscal year ended December 31, 2024 (the “10-K”).</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Audit Committee has also reviewed and discussed with KPMG LLP the audited consolidated financial statements in the 10-K and the audit results. In addition, the Audit Committee discussed with KPMG LLP the matters required to be discussed by Public Company Accounting Oversight Board (“PCAOB”) Auditing Standard No. 1301 “Communication with Audit Committees”, Rule 2-07 “Communication with Audit Committees” of Regulation S-X, and other PCAOB Rules and Standards. The Audit Committee also received from and discussed with KPMG LLP the written disclosures, as required by PCAOB Ethics and Independence Rule 3526 “Communication with Audit Committees Concerning Independence,” and discussed KPMG LLP’s independence with them. Upon completing these activities, the Audit Committee concluded that KPMG LLP is independent from the Company and its management.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Based upon the review and discussions described above, the Audit Committee recommended to the Board of Directors that the audited consolidated financial statements be included in the Company’s 10-K and filed with the Securities and Exchange Commission.</w:t>
      </w:r>
    </w:p>
    <w:p>
      <w:pPr>
        <w:pStyle w:val="TextBody"/>
        <w:bidi w:val="0"/>
        <w:spacing w:lineRule="auto" w:line="384" w:before="0" w:after="60"/>
        <w:jc w:val="left"/>
        <w:rPr>
          <w:rFonts w:ascii="Tenorite;sans-serif" w:hAnsi="Tenorite;sans-serif"/>
          <w:b w:val="false"/>
          <w:i/>
          <w:color w:val="2D3243"/>
          <w:sz w:val="18"/>
        </w:rPr>
      </w:pPr>
      <w:r>
        <w:rPr>
          <w:rFonts w:ascii="Tenorite;sans-serif" w:hAnsi="Tenorite;sans-serif"/>
          <w:b w:val="false"/>
          <w:i/>
          <w:color w:val="2D3243"/>
          <w:sz w:val="18"/>
        </w:rPr>
        <w:t>Submitted by the Audit Committee of the Board of Directors:</w:t>
      </w:r>
    </w:p>
    <w:p>
      <w:pPr>
        <w:pStyle w:val="TextBody"/>
        <w:bidi w:val="0"/>
        <w:spacing w:lineRule="auto" w:line="288" w:before="0" w:after="0"/>
        <w:jc w:val="left"/>
        <w:rPr>
          <w:rFonts w:ascii="Tenorite;sans-serif" w:hAnsi="Tenorite;sans-serif"/>
          <w:b w:val="false"/>
          <w:color w:val="2D3243"/>
          <w:sz w:val="18"/>
        </w:rPr>
      </w:pPr>
      <w:r>
        <w:rPr>
          <w:rFonts w:ascii="Tenorite;sans-serif" w:hAnsi="Tenorite;sans-serif"/>
          <w:b w:val="false"/>
          <w:color w:val="2D3243"/>
          <w:sz w:val="18"/>
        </w:rPr>
        <w:t>Jack Acosta (Chair)</w:t>
      </w:r>
    </w:p>
    <w:p>
      <w:pPr>
        <w:pStyle w:val="TextBody"/>
        <w:bidi w:val="0"/>
        <w:spacing w:lineRule="auto" w:line="288" w:before="0" w:after="0"/>
        <w:jc w:val="left"/>
        <w:rPr>
          <w:rFonts w:ascii="Tenorite;sans-serif" w:hAnsi="Tenorite;sans-serif"/>
          <w:b w:val="false"/>
          <w:color w:val="2D3243"/>
          <w:sz w:val="18"/>
        </w:rPr>
      </w:pPr>
      <w:r>
        <w:rPr>
          <w:rFonts w:ascii="Tenorite;sans-serif" w:hAnsi="Tenorite;sans-serif"/>
          <w:b w:val="false"/>
          <w:color w:val="2D3243"/>
          <w:sz w:val="18"/>
        </w:rPr>
        <w:t>Susan Barsamian</w:t>
      </w:r>
    </w:p>
    <w:p>
      <w:pPr>
        <w:pStyle w:val="TextBody"/>
        <w:bidi w:val="0"/>
        <w:spacing w:lineRule="auto" w:line="288" w:before="0" w:after="0"/>
        <w:jc w:val="left"/>
        <w:rPr>
          <w:rFonts w:ascii="Tenorite;sans-serif" w:hAnsi="Tenorite;sans-serif"/>
          <w:b w:val="false"/>
          <w:color w:val="2D3243"/>
          <w:sz w:val="18"/>
        </w:rPr>
      </w:pPr>
      <w:r>
        <w:rPr>
          <w:rFonts w:ascii="Tenorite;sans-serif" w:hAnsi="Tenorite;sans-serif"/>
          <w:b w:val="false"/>
          <w:color w:val="2D3243"/>
          <w:sz w:val="18"/>
        </w:rPr>
        <w:t>Michael Burdiek</w:t>
      </w:r>
    </w:p>
    <w:p>
      <w:pPr>
        <w:pStyle w:val="TextBody"/>
        <w:bidi w:val="0"/>
        <w:spacing w:lineRule="auto" w:line="288" w:before="0" w:after="0"/>
        <w:jc w:val="left"/>
        <w:rPr>
          <w:rFonts w:ascii="Tenorite;sans-serif" w:hAnsi="Tenorite;sans-serif"/>
          <w:b w:val="false"/>
          <w:color w:val="2D3243"/>
          <w:sz w:val="18"/>
        </w:rPr>
      </w:pPr>
      <w:r>
        <w:rPr>
          <w:rFonts w:ascii="Tenorite;sans-serif" w:hAnsi="Tenorite;sans-serif"/>
          <w:b w:val="false"/>
          <w:color w:val="2D3243"/>
          <w:sz w:val="18"/>
        </w:rPr>
        <w:t>Jonathan Mariner</w:t>
      </w:r>
    </w:p>
    <w:p>
      <w:pPr>
        <w:pStyle w:val="TextBody"/>
        <w:bidi w:val="0"/>
        <w:spacing w:lineRule="auto" w:line="288" w:before="0" w:after="0"/>
        <w:jc w:val="left"/>
        <w:rPr>
          <w:rFonts w:ascii="Tenorite;sans-serif" w:hAnsi="Tenorite;sans-serif"/>
          <w:b w:val="false"/>
          <w:color w:val="2D3243"/>
          <w:sz w:val="18"/>
        </w:rPr>
      </w:pPr>
      <w:r>
        <w:rPr>
          <w:rFonts w:ascii="Tenorite;sans-serif" w:hAnsi="Tenorite;sans-serif"/>
          <w:b w:val="false"/>
          <w:color w:val="2D3243"/>
          <w:sz w:val="18"/>
        </w:rPr>
        <w:t>Maria Walker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40410"/>
                <wp:effectExtent l="0" t="0" r="0" b="0"/>
                <wp:wrapNone/>
                <wp:docPr id="80" name="Frame4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r>
    </w:tbl>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Executive Officers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following table sets forth the names, ages and positions of our executive officers who are not also directors of Five9 as of April 7, 2025, the date of this Proxy Statement.</w:t>
      </w:r>
    </w:p>
    <w:tbl>
      <w:tblPr>
        <w:tblW w:w="7216" w:type="dxa"/>
        <w:jc w:val="left"/>
        <w:tblInd w:w="0" w:type="dxa"/>
        <w:tblLayout w:type="fixed"/>
        <w:tblCellMar>
          <w:top w:w="28" w:type="dxa"/>
          <w:left w:w="28" w:type="dxa"/>
          <w:bottom w:w="28" w:type="dxa"/>
          <w:right w:w="28" w:type="dxa"/>
        </w:tblCellMar>
      </w:tblPr>
      <w:tblGrid>
        <w:gridCol w:w="579"/>
        <w:gridCol w:w="510"/>
        <w:gridCol w:w="516"/>
        <w:gridCol w:w="155"/>
        <w:gridCol w:w="155"/>
        <w:gridCol w:w="156"/>
        <w:gridCol w:w="1505"/>
        <w:gridCol w:w="1505"/>
        <w:gridCol w:w="2135"/>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46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Age</w:t>
            </w:r>
          </w:p>
        </w:tc>
        <w:tc>
          <w:tcPr>
            <w:tcW w:w="5145"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Positions</w:t>
            </w:r>
          </w:p>
        </w:tc>
      </w:tr>
      <w:tr>
        <w:trPr/>
        <w:tc>
          <w:tcPr>
            <w:tcW w:w="160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Bryan Lee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46</w:t>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Interim Chief Financial Officer and Principal Financial Officer</w:t>
            </w:r>
          </w:p>
        </w:tc>
      </w:tr>
      <w:tr>
        <w:trPr/>
        <w:tc>
          <w:tcPr>
            <w:tcW w:w="160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4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47</w:t>
            </w:r>
          </w:p>
        </w:tc>
        <w:tc>
          <w:tcPr>
            <w:tcW w:w="514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President</w:t>
            </w:r>
          </w:p>
        </w:tc>
      </w:tr>
      <w:tr>
        <w:trPr/>
        <w:tc>
          <w:tcPr>
            <w:tcW w:w="1605"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Panos Kozanian</w:t>
            </w:r>
          </w:p>
        </w:tc>
        <w:tc>
          <w:tcPr>
            <w:tcW w:w="466"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45</w:t>
            </w:r>
          </w:p>
        </w:tc>
        <w:tc>
          <w:tcPr>
            <w:tcW w:w="5145"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Vice President, Product Engineering</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pPr>
      <w:r>
        <w:rPr>
          <w:rFonts w:ascii="Tenorite;sans-serif" w:hAnsi="Tenorite;sans-serif"/>
          <w:b/>
          <w:color w:val="2D3243"/>
          <w:sz w:val="18"/>
        </w:rPr>
        <w:t>Bryan Lee</w:t>
      </w:r>
      <w:r>
        <w:rPr>
          <w:rFonts w:ascii="Tenorite;sans-serif" w:hAnsi="Tenorite;sans-serif"/>
          <w:b w:val="false"/>
          <w:color w:val="2D3243"/>
          <w:sz w:val="18"/>
        </w:rPr>
        <w:t>, age 46, was appointed as our Interim Chief Financial Officer, effective as of April 1, 2025. Mr. Lee has served as our Executive Vice President, Finance since December 2024 and our Treasurer since April 2024. Prior to that, Mr. Lee served as our Senior Vice President, FP&amp;A from September 2019 to December 2024, Vice President, FP&amp;A from April 2015 to September 2019 and Senior Director, FP&amp;A from August 2014 to April 2015. In the role of Executive Vice President, Finance and Treasurer of the Company, he was responsible for overseeing our financial planning, analysis and treasury functions, ensuring alignment with our strategic objectives. Previously, Mr. Lee was a Vice President of J.P. Morgan's Technology investment banking group, where he provided strategic advice on mergers and acquisitions, initial public offerings, and other financial transactions for technology clients. Mr. Lee holds a B.A. in Architecture from U.C. Berkeley and an M.B.A. from U.C. Berkeley's Haas School of Business.</w:t>
      </w:r>
    </w:p>
    <w:p>
      <w:pPr>
        <w:pStyle w:val="TextBody"/>
        <w:bidi w:val="0"/>
        <w:spacing w:lineRule="auto" w:line="384" w:before="0" w:after="180"/>
        <w:jc w:val="left"/>
        <w:rPr/>
      </w:pPr>
      <w:r>
        <w:rPr>
          <w:rFonts w:ascii="Tenorite;sans-serif" w:hAnsi="Tenorite;sans-serif"/>
          <w:b/>
          <w:color w:val="2D3243"/>
          <w:sz w:val="18"/>
        </w:rPr>
        <w:t>Andy Dignan</w:t>
      </w:r>
      <w:r>
        <w:rPr>
          <w:rFonts w:ascii="Tenorite;sans-serif" w:hAnsi="Tenorite;sans-serif"/>
          <w:b w:val="false"/>
          <w:color w:val="2D3243"/>
          <w:sz w:val="18"/>
        </w:rPr>
        <w:t>, age 47, has served as our President since March 2025, and prior to that served as our Chief Operating Officer since November 2023. Prior to that, Mr. Dignan served as our Chief Customer Officer from December 2022, and prior to that served in various executive positions with the Company since his initial hire as Senior Vice President, Professional Services in September 2018. Prior to Five9, Mr. Dignan served as the Global Head of Collaboration &amp; Contact Center GTM at Cisco Systems, Inc., a networking, cloud, and cybersecurity solutions company (“Cisco”) from November 2014 to September 2018. Prior to Cisco, Mr. Dignan led the Collaboration &amp; Contact Center at CDW, an information technology solutions and services company from 2007 to 2014. Mr. Dignan earned his B.S. degree in Marketing from Trinity International University.</w:t>
      </w:r>
    </w:p>
    <w:p>
      <w:pPr>
        <w:pStyle w:val="TextBody"/>
        <w:bidi w:val="0"/>
        <w:spacing w:lineRule="auto" w:line="384" w:before="0" w:after="180"/>
        <w:jc w:val="left"/>
        <w:rPr/>
      </w:pPr>
      <w:r>
        <w:rPr>
          <w:rFonts w:ascii="Tenorite;sans-serif" w:hAnsi="Tenorite;sans-serif"/>
          <w:b/>
          <w:color w:val="2D3243"/>
          <w:sz w:val="18"/>
        </w:rPr>
        <w:t>Panos Kozanian</w:t>
      </w:r>
      <w:r>
        <w:rPr>
          <w:rFonts w:ascii="Tenorite;sans-serif" w:hAnsi="Tenorite;sans-serif"/>
          <w:b w:val="false"/>
          <w:color w:val="2D3243"/>
          <w:sz w:val="18"/>
        </w:rPr>
        <w:t>, age 45, has served as our Executive Vice President of Product Engineering since July 2022. Prior to that, Mr. Kozanian served as our Executive Vice President of Cloud Operations from February 2021. Prior to Five9, Mr. Kozanian spent 14 years at Cisco where he led the Webex platform team composed of Development and Operations, Sight Reliability Engineering, Data Center Operations, System Operations and Cloud Engineers with responsibility for the productivity, reliability, and operating budget of over 3,000 developers. Mr. Kozanian holds a B.S. degree in Computer Engineering from Santa Clara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40410"/>
                <wp:effectExtent l="0" t="0" r="0" b="0"/>
                <wp:wrapNone/>
                <wp:docPr id="81" name="Frame4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val="false"/>
                <w:color w:val="2D3243"/>
                <w:sz w:val="16"/>
              </w:rPr>
              <w:t>T</w:t>
            </w:r>
            <w:hyperlink w:anchor="i8bf414a3427b4e569da780bdc4ac5731_13">
              <w:r>
                <w:rPr>
                  <w:rStyle w:val="InternetLink"/>
                  <w:rFonts w:ascii="Tenorite;sans-serif" w:hAnsi="Tenorite;sans-serif"/>
                  <w:b w:val="false"/>
                  <w:strike w:val="false"/>
                  <w:dstrike w:val="false"/>
                  <w:color w:val="2D3243"/>
                  <w:sz w:val="16"/>
                  <w:u w:val="none"/>
                  <w:effect w:val="none"/>
                </w:rPr>
                <w:t>able of Contents</w:t>
              </w:r>
            </w:hyperlink>
          </w:p>
        </w:tc>
      </w:tr>
    </w:tbl>
    <w:p>
      <w:pPr>
        <w:pStyle w:val="TextBody"/>
        <w:bidi w:val="0"/>
        <w:spacing w:lineRule="auto" w:line="240" w:before="0" w:after="180"/>
        <w:jc w:val="left"/>
        <w:rPr>
          <w:rFonts w:ascii="Tenorite;sans-serif" w:hAnsi="Tenorite;sans-serif"/>
          <w:b w:val="false"/>
          <w:color w:val="2D3243"/>
          <w:sz w:val="64"/>
        </w:rPr>
      </w:pPr>
      <w:r>
        <w:rPr>
          <w:rFonts w:ascii="Tenorite;sans-serif" w:hAnsi="Tenorite;sans-serif"/>
          <w:b w:val="false"/>
          <w:color w:val="2D3243"/>
          <w:sz w:val="64"/>
        </w:rPr>
        <w:t>Security Ownership Of Certain</w:t>
        <w:br/>
        <w:t xml:space="preserve">Beneficial Owners And Management </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 xml:space="preserve">The following table sets forth certain information known to us regarding beneficial ownership of our Common Stock as of March 25, 2025 by: </w:t>
      </w:r>
    </w:p>
    <w:p>
      <w:pPr>
        <w:pStyle w:val="TextBody"/>
        <w:bidi w:val="0"/>
        <w:spacing w:lineRule="auto" w:line="336" w:before="0" w:after="0"/>
        <w:ind w:left="0" w:right="0" w:hanging="360"/>
        <w:jc w:val="left"/>
        <w:rPr/>
      </w:pPr>
      <w:r>
        <w:rPr>
          <w:color w:val="2D3243"/>
        </w:rPr>
        <w:t>•</w:t>
      </w:r>
      <w:r>
        <w:rPr>
          <w:rFonts w:ascii="Tenorite;sans-serif" w:hAnsi="Tenorite;sans-serif"/>
          <w:b w:val="false"/>
          <w:color w:val="2D3243"/>
          <w:sz w:val="18"/>
        </w:rPr>
        <w:t>each person known by us to be the beneficial owner of more than 5% of any class of our voting securities;</w:t>
      </w:r>
    </w:p>
    <w:p>
      <w:pPr>
        <w:pStyle w:val="TextBody"/>
        <w:bidi w:val="0"/>
        <w:spacing w:lineRule="auto" w:line="336" w:before="0" w:after="0"/>
        <w:ind w:left="0" w:right="0" w:hanging="360"/>
        <w:jc w:val="left"/>
        <w:rPr/>
      </w:pPr>
      <w:r>
        <w:rPr>
          <w:color w:val="2D3243"/>
        </w:rPr>
        <w:t>•</w:t>
      </w:r>
      <w:r>
        <w:rPr>
          <w:rFonts w:ascii="Tenorite;sans-serif" w:hAnsi="Tenorite;sans-serif"/>
          <w:b w:val="false"/>
          <w:color w:val="2D3243"/>
          <w:sz w:val="18"/>
        </w:rPr>
        <w:t>our named executive officers;</w:t>
      </w:r>
    </w:p>
    <w:p>
      <w:pPr>
        <w:pStyle w:val="TextBody"/>
        <w:bidi w:val="0"/>
        <w:spacing w:lineRule="auto" w:line="336" w:before="0" w:after="0"/>
        <w:ind w:left="0" w:right="0" w:hanging="360"/>
        <w:jc w:val="left"/>
        <w:rPr/>
      </w:pPr>
      <w:r>
        <w:rPr>
          <w:color w:val="2D3243"/>
        </w:rPr>
        <w:t>•</w:t>
      </w:r>
      <w:r>
        <w:rPr>
          <w:rFonts w:ascii="Tenorite;sans-serif" w:hAnsi="Tenorite;sans-serif"/>
          <w:b w:val="false"/>
          <w:color w:val="2D3243"/>
          <w:sz w:val="18"/>
        </w:rPr>
        <w:t>each of our directors; and</w:t>
      </w:r>
    </w:p>
    <w:p>
      <w:pPr>
        <w:pStyle w:val="TextBody"/>
        <w:bidi w:val="0"/>
        <w:spacing w:lineRule="auto" w:line="288" w:before="0" w:after="120"/>
        <w:ind w:left="0" w:right="0" w:hanging="360"/>
        <w:jc w:val="left"/>
        <w:rPr/>
      </w:pPr>
      <w:r>
        <w:rPr>
          <w:color w:val="2D3243"/>
        </w:rPr>
        <w:t>•</w:t>
      </w:r>
      <w:r>
        <w:rPr>
          <w:rFonts w:ascii="Tenorite;sans-serif" w:hAnsi="Tenorite;sans-serif"/>
          <w:b w:val="false"/>
          <w:color w:val="2D3243"/>
          <w:sz w:val="18"/>
        </w:rPr>
        <w:t>all current executive officers and directors as a group.</w:t>
      </w:r>
    </w:p>
    <w:p>
      <w:pPr>
        <w:pStyle w:val="TextBody"/>
        <w:bidi w:val="0"/>
        <w:spacing w:lineRule="auto" w:line="360" w:before="0" w:after="120"/>
        <w:jc w:val="left"/>
        <w:rPr>
          <w:rFonts w:ascii="Tenorite;sans-serif" w:hAnsi="Tenorite;sans-serif"/>
          <w:b w:val="false"/>
          <w:color w:val="2D3243"/>
          <w:sz w:val="18"/>
        </w:rPr>
      </w:pPr>
      <w:r>
        <w:rPr>
          <w:rFonts w:ascii="Tenorite;sans-serif" w:hAnsi="Tenorite;sans-serif"/>
          <w:b w:val="false"/>
          <w:color w:val="2D3243"/>
          <w:sz w:val="18"/>
        </w:rPr>
        <w:t xml:space="preserve">Beneficial ownership is determined in accordance with the rules of the SEC, and generally includes voting power and/or investment power with respect to the securities held. Shares of Common Stock subject to options currently exercisable or exercisable within 60 days of March 25, 2025 and RSUs that vest within 60 days of March 25, 2025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this table and subject to applicable community property laws, to our knowledge the persons or entities named have sole voting and investment power with respect to all shares of our Common Stock shown as beneficially owned by them. Percentage beneficially owned is based on 76,243,231 shares of Common Stock outstanding on March 25, 2025 plus shares of Common Stock otherwise deemed outstanding under applicable SEC rules. The table below is based upon information supplied by officers, directors and principal stockholders and Schedules 13G filed with the SEC. </w:t>
      </w:r>
    </w:p>
    <w:tbl>
      <w:tblPr>
        <w:tblW w:w="10205" w:type="dxa"/>
        <w:jc w:val="left"/>
        <w:tblInd w:w="0" w:type="dxa"/>
        <w:tblLayout w:type="fixed"/>
        <w:tblCellMar>
          <w:top w:w="28" w:type="dxa"/>
          <w:left w:w="28" w:type="dxa"/>
          <w:bottom w:w="28" w:type="dxa"/>
          <w:right w:w="28" w:type="dxa"/>
        </w:tblCellMar>
      </w:tblPr>
      <w:tblGrid>
        <w:gridCol w:w="1079"/>
        <w:gridCol w:w="809"/>
        <w:gridCol w:w="814"/>
        <w:gridCol w:w="435"/>
        <w:gridCol w:w="436"/>
        <w:gridCol w:w="283"/>
        <w:gridCol w:w="109"/>
        <w:gridCol w:w="109"/>
        <w:gridCol w:w="109"/>
        <w:gridCol w:w="509"/>
        <w:gridCol w:w="427"/>
        <w:gridCol w:w="428"/>
        <w:gridCol w:w="610"/>
        <w:gridCol w:w="454"/>
        <w:gridCol w:w="455"/>
        <w:gridCol w:w="643"/>
        <w:gridCol w:w="461"/>
        <w:gridCol w:w="463"/>
        <w:gridCol w:w="109"/>
        <w:gridCol w:w="109"/>
        <w:gridCol w:w="109"/>
        <w:gridCol w:w="288"/>
        <w:gridCol w:w="288"/>
        <w:gridCol w:w="289"/>
        <w:gridCol w:w="109"/>
        <w:gridCol w:w="109"/>
        <w:gridCol w:w="162"/>
      </w:tblGrid>
      <w:tr>
        <w:trPr/>
        <w:tc>
          <w:tcPr>
            <w:tcW w:w="107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21"/>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5"/>
              </w:rPr>
            </w:pPr>
            <w:r>
              <w:rPr>
                <w:rFonts w:ascii="Tenorite;sans-serif" w:hAnsi="Tenorite;sans-serif"/>
                <w:b/>
                <w:color w:val="FFFFFF"/>
                <w:sz w:val="15"/>
              </w:rPr>
              <w:t>Beneficial Ownership</w:t>
            </w:r>
          </w:p>
        </w:tc>
        <w:tc>
          <w:tcPr>
            <w:tcW w:w="38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5"/>
              </w:rPr>
            </w:pPr>
            <w:r>
              <w:rPr>
                <w:rFonts w:ascii="Tenorite;sans-serif" w:hAnsi="Tenorite;sans-serif"/>
                <w:b/>
                <w:color w:val="FFFFFF"/>
                <w:sz w:val="15"/>
              </w:rPr>
              <w:t>Name of Beneficial Owner</w:t>
            </w:r>
          </w:p>
        </w:tc>
        <w:tc>
          <w:tcPr>
            <w:tcW w:w="115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5"/>
              </w:rPr>
            </w:pPr>
            <w:r>
              <w:rPr>
                <w:rFonts w:ascii="Tenorite;sans-serif" w:hAnsi="Tenorite;sans-serif"/>
                <w:b/>
                <w:color w:val="FFFFFF"/>
                <w:sz w:val="15"/>
              </w:rPr>
              <w:t xml:space="preserve">Common </w:t>
              <w:br/>
              <w:t>Stock (#)</w:t>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5"/>
              </w:rPr>
            </w:pPr>
            <w:r>
              <w:rPr>
                <w:rFonts w:ascii="Tenorite;sans-serif" w:hAnsi="Tenorite;sans-serif"/>
                <w:b/>
                <w:color w:val="FFFFFF"/>
                <w:sz w:val="15"/>
              </w:rPr>
              <w:t xml:space="preserve">Options Exercisable </w:t>
              <w:br/>
              <w:t>Within 60 Days (#)</w:t>
            </w:r>
          </w:p>
        </w:tc>
        <w:tc>
          <w:tcPr>
            <w:tcW w:w="1519"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5"/>
              </w:rPr>
            </w:pPr>
            <w:r>
              <w:rPr>
                <w:rFonts w:ascii="Tenorite;sans-serif" w:hAnsi="Tenorite;sans-serif"/>
                <w:b/>
                <w:color w:val="FFFFFF"/>
                <w:sz w:val="15"/>
              </w:rPr>
              <w:t>RSUs Vesting Within 60 Days (#)</w:t>
            </w:r>
          </w:p>
        </w:tc>
        <w:tc>
          <w:tcPr>
            <w:tcW w:w="1567"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5"/>
              </w:rPr>
            </w:pPr>
            <w:r>
              <w:rPr>
                <w:rFonts w:ascii="Tenorite;sans-serif" w:hAnsi="Tenorite;sans-serif"/>
                <w:b/>
                <w:color w:val="FFFFFF"/>
                <w:sz w:val="15"/>
              </w:rPr>
              <w:t xml:space="preserve">Total Number of Shares </w:t>
              <w:br/>
              <w:t>Beneficially Owned (#)</w:t>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5"/>
              </w:rPr>
            </w:pPr>
            <w:r>
              <w:rPr>
                <w:rFonts w:ascii="Tenorite;sans-serif" w:hAnsi="Tenorite;sans-serif"/>
                <w:b/>
                <w:color w:val="FFFFFF"/>
                <w:sz w:val="15"/>
              </w:rPr>
              <w:t>Percent (%)</w:t>
            </w:r>
          </w:p>
        </w:tc>
        <w:tc>
          <w:tcPr>
            <w:tcW w:w="38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5% Stockholders: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2A4CF9"/>
            </w:tcBorders>
            <w:shd w:fill="F0F1F2"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5"/>
              </w:rPr>
            </w:pPr>
            <w:r>
              <w:rPr>
                <w:rFonts w:ascii="Tenorite;sans-serif" w:hAnsi="Tenorite;sans-serif"/>
                <w:b w:val="false"/>
                <w:color w:val="2D3243"/>
                <w:sz w:val="15"/>
              </w:rPr>
              <w:t>FMR LLC</w:t>
            </w:r>
          </w:p>
        </w:tc>
        <w:tc>
          <w:tcPr>
            <w:tcW w:w="871" w:type="dxa"/>
            <w:gridSpan w:val="2"/>
            <w:tcBorders>
              <w:top w:val="single" w:sz="8" w:space="0" w:color="2A4CF9"/>
            </w:tcBorders>
            <w:shd w:fill="F0F1F2"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9,102,832 </w:t>
            </w:r>
          </w:p>
        </w:tc>
        <w:tc>
          <w:tcPr>
            <w:tcW w:w="283" w:type="dxa"/>
            <w:tcBorders>
              <w:top w:val="single" w:sz="8" w:space="0" w:color="2A4CF9"/>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F9"/>
            </w:tcBorders>
            <w:shd w:fill="F0F1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2A4CF9"/>
            </w:tcBorders>
            <w:shd w:fill="F0F1F2" w:val="clear"/>
            <w:tcMar>
              <w:top w:w="3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top w:val="single" w:sz="8" w:space="0" w:color="2A4CF9"/>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2A4CF9"/>
            </w:tcBorders>
            <w:shd w:fill="F0F1F2" w:val="clear"/>
            <w:tcMar>
              <w:top w:w="3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top w:val="single" w:sz="8" w:space="0" w:color="2A4CF9"/>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2A4CF9"/>
            </w:tcBorders>
            <w:shd w:fill="F0F1F2"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9,102,832 </w:t>
            </w:r>
          </w:p>
        </w:tc>
        <w:tc>
          <w:tcPr>
            <w:tcW w:w="463" w:type="dxa"/>
            <w:tcBorders>
              <w:top w:val="single" w:sz="8" w:space="0" w:color="2A4CF9"/>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F9"/>
            </w:tcBorders>
            <w:shd w:fill="F0F1F2" w:val="clear"/>
            <w:tcMar>
              <w:top w:w="3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w:t>
            </w:r>
          </w:p>
        </w:tc>
        <w:tc>
          <w:tcPr>
            <w:tcW w:w="576" w:type="dxa"/>
            <w:gridSpan w:val="2"/>
            <w:tcBorders>
              <w:top w:val="single" w:sz="8" w:space="0" w:color="2A4CF9"/>
            </w:tcBorders>
            <w:shd w:fill="F0F1F2"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11.9 </w:t>
            </w:r>
          </w:p>
        </w:tc>
        <w:tc>
          <w:tcPr>
            <w:tcW w:w="289" w:type="dxa"/>
            <w:tcBorders>
              <w:top w:val="single" w:sz="8" w:space="0" w:color="2A4CF9"/>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2A4CF9"/>
            </w:tcBorders>
            <w:shd w:fill="F0F1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5"/>
              </w:rPr>
            </w:pPr>
            <w:r>
              <w:rPr>
                <w:rFonts w:ascii="Tenorite;sans-serif" w:hAnsi="Tenorite;sans-serif"/>
                <w:b w:val="false"/>
                <w:color w:val="2D3243"/>
                <w:sz w:val="15"/>
              </w:rPr>
              <w:t>The Vanguard Group, Inc.</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9,007,743 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9,007,743 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(2)</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11.8 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5"/>
              </w:rPr>
            </w:pPr>
            <w:r>
              <w:rPr>
                <w:rFonts w:ascii="Tenorite;sans-serif" w:hAnsi="Tenorite;sans-serif"/>
                <w:b w:val="false"/>
                <w:color w:val="2D3243"/>
                <w:sz w:val="15"/>
              </w:rPr>
              <w:t>Pictet Asset Management S.A.</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6,583,265 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6,583,265 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(3)</w:t>
            </w:r>
          </w:p>
        </w:tc>
        <w:tc>
          <w:tcPr>
            <w:tcW w:w="5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8.6 </w:t>
            </w:r>
          </w:p>
        </w:tc>
        <w:tc>
          <w:tcPr>
            <w:tcW w:w="289"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5"/>
              </w:rPr>
            </w:pPr>
            <w:r>
              <w:rPr>
                <w:rFonts w:ascii="Tenorite;sans-serif" w:hAnsi="Tenorite;sans-serif"/>
                <w:b w:val="false"/>
                <w:color w:val="2D3243"/>
                <w:sz w:val="15"/>
              </w:rPr>
              <w:t>BlackRock, Inc.</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4,920,301 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4,920,301 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(4)</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6.5 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Named Executive Officers and Directors:</w:t>
            </w:r>
          </w:p>
        </w:tc>
        <w:tc>
          <w:tcPr>
            <w:tcW w:w="115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Michael Burkland</w:t>
            </w:r>
          </w:p>
        </w:tc>
        <w:tc>
          <w:tcPr>
            <w:tcW w:w="871" w:type="dxa"/>
            <w:gridSpan w:val="2"/>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239,364 </w:t>
            </w:r>
          </w:p>
        </w:tc>
        <w:tc>
          <w:tcPr>
            <w:tcW w:w="283" w:type="dxa"/>
            <w:tcBorders>
              <w:top w:val="single" w:sz="8" w:space="0" w:color="2A4CF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(5)</w:t>
            </w:r>
          </w:p>
        </w:tc>
        <w:tc>
          <w:tcPr>
            <w:tcW w:w="936" w:type="dxa"/>
            <w:gridSpan w:val="2"/>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235,395 </w:t>
            </w:r>
          </w:p>
        </w:tc>
        <w:tc>
          <w:tcPr>
            <w:tcW w:w="428" w:type="dxa"/>
            <w:tcBorders>
              <w:top w:val="single" w:sz="8" w:space="0" w:color="2A4CF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top w:val="single" w:sz="8" w:space="0" w:color="2A4CF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474,759 </w:t>
            </w:r>
          </w:p>
        </w:tc>
        <w:tc>
          <w:tcPr>
            <w:tcW w:w="463" w:type="dxa"/>
            <w:tcBorders>
              <w:top w:val="single" w:sz="8" w:space="0" w:color="2A4CF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2A4CF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top w:val="single" w:sz="8" w:space="0" w:color="2A4CF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Bryan Lee</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9,864 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(6)</w:t>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12,088 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21,952 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Barry Zwarenstein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131,872 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(7)</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109,783 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241,655 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Daniel Burkland</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73,798 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(8)</w:t>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203,580 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277,378 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Andy Dignan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29,827 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(9)</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11,451 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41,278 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Panos Kozanian</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4,600 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(10)</w:t>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18,171 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22,771 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Jack Acosta</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34,398 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(11)</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3,755 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38,153 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5"/>
              </w:rPr>
            </w:pPr>
            <w:r>
              <w:rPr>
                <w:rFonts w:ascii="Tenorite;sans-serif" w:hAnsi="Tenorite;sans-serif"/>
                <w:b/>
                <w:color w:val="2D3243"/>
                <w:sz w:val="15"/>
              </w:rPr>
              <w:t>Susan Barsamian</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8,340 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(12)</w:t>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3,755 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12,095 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5"/>
              </w:rPr>
            </w:pPr>
            <w:r>
              <w:rPr>
                <w:rFonts w:ascii="Tenorite;sans-serif" w:hAnsi="Tenorite;sans-serif"/>
                <w:b w:val="false"/>
                <w:color w:val="2D3243"/>
                <w:sz w:val="15"/>
              </w:rPr>
              <w:t>*</w:t>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Burdiek</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19,265 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(13)</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23,020 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Sagar Gupta</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Julie Iskow</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3,905 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(14)</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7,660 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Jonathan Mariner</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5,741 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(15)</w:t>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2,297 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8,038 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Maria Walker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6,355 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6,355 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David S. Welsh</w:t>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18,200 </w:t>
            </w:r>
          </w:p>
        </w:tc>
        <w:tc>
          <w:tcPr>
            <w:tcW w:w="28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(16)</w:t>
            </w:r>
          </w:p>
        </w:tc>
        <w:tc>
          <w:tcPr>
            <w:tcW w:w="9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45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21,955 </w:t>
            </w:r>
          </w:p>
        </w:tc>
        <w:tc>
          <w:tcPr>
            <w:tcW w:w="46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380"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Robert Zollars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66,560 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enorite;sans-serif" w:hAnsi="Tenorite;sans-serif"/>
                <w:b w:val="false"/>
                <w:color w:val="2D3243"/>
                <w:sz w:val="8"/>
              </w:rPr>
            </w:pPr>
            <w:r>
              <w:rPr>
                <w:rFonts w:ascii="Tenorite;sans-serif" w:hAnsi="Tenorite;sans-serif"/>
                <w:b w:val="false"/>
                <w:color w:val="2D3243"/>
                <w:sz w:val="8"/>
              </w:rPr>
              <w:t>(17)</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3,755 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70,315 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bottom w:val="single" w:sz="8" w:space="0" w:color="0336FF"/>
            </w:tcBorders>
            <w:shd w:fill="F0F1F2"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All current directors and executive officers as a group (15 persons)</w:t>
            </w:r>
          </w:p>
        </w:tc>
        <w:tc>
          <w:tcPr>
            <w:tcW w:w="871" w:type="dxa"/>
            <w:gridSpan w:val="2"/>
            <w:tcBorders>
              <w:bottom w:val="single" w:sz="8" w:space="0" w:color="0336FF"/>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645,734 </w:t>
            </w:r>
          </w:p>
        </w:tc>
        <w:tc>
          <w:tcPr>
            <w:tcW w:w="283" w:type="dxa"/>
            <w:tcBorders>
              <w:bottom w:val="single" w:sz="8" w:space="0" w:color="0336FF"/>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336FF"/>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bottom w:val="single" w:sz="8" w:space="0" w:color="0336FF"/>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590,468 </w:t>
            </w:r>
          </w:p>
        </w:tc>
        <w:tc>
          <w:tcPr>
            <w:tcW w:w="428" w:type="dxa"/>
            <w:tcBorders>
              <w:bottom w:val="single" w:sz="8" w:space="0" w:color="0336FF"/>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336FF"/>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31,182 </w:t>
            </w:r>
          </w:p>
        </w:tc>
        <w:tc>
          <w:tcPr>
            <w:tcW w:w="455" w:type="dxa"/>
            <w:tcBorders>
              <w:bottom w:val="single" w:sz="8" w:space="0" w:color="0336FF"/>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8" w:space="0" w:color="0336FF"/>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1,267,384 </w:t>
            </w:r>
          </w:p>
        </w:tc>
        <w:tc>
          <w:tcPr>
            <w:tcW w:w="463" w:type="dxa"/>
            <w:tcBorders>
              <w:bottom w:val="single" w:sz="8" w:space="0" w:color="0336FF"/>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336FF"/>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bottom w:val="single" w:sz="8" w:space="0" w:color="0336FF"/>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1.6 </w:t>
            </w:r>
          </w:p>
        </w:tc>
        <w:tc>
          <w:tcPr>
            <w:tcW w:w="289" w:type="dxa"/>
            <w:tcBorders>
              <w:bottom w:val="single" w:sz="8" w:space="0" w:color="0336FF"/>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8" w:space="0" w:color="0336FF"/>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40410"/>
                <wp:effectExtent l="0" t="0" r="0" b="0"/>
                <wp:wrapNone/>
                <wp:docPr id="82" name="Frame4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7721" w:type="dxa"/>
        <w:jc w:val="left"/>
        <w:tblInd w:w="0" w:type="dxa"/>
        <w:tblLayout w:type="fixed"/>
        <w:tblCellMar>
          <w:top w:w="28" w:type="dxa"/>
          <w:left w:w="28" w:type="dxa"/>
          <w:bottom w:w="28" w:type="dxa"/>
          <w:right w:w="28" w:type="dxa"/>
        </w:tblCellMar>
      </w:tblPr>
      <w:tblGrid>
        <w:gridCol w:w="2090"/>
        <w:gridCol w:w="1838"/>
        <w:gridCol w:w="1847"/>
        <w:gridCol w:w="109"/>
        <w:gridCol w:w="109"/>
        <w:gridCol w:w="109"/>
        <w:gridCol w:w="474"/>
        <w:gridCol w:w="474"/>
        <w:gridCol w:w="671"/>
      </w:tblGrid>
      <w:tr>
        <w:trPr/>
        <w:tc>
          <w:tcPr>
            <w:tcW w:w="2090"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 xml:space="preserve">Security Ownership Of Certain Beneficial Owners And Management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r>
    </w:tbl>
    <w:p>
      <w:pPr>
        <w:pStyle w:val="TextBody"/>
        <w:bidi w:val="0"/>
        <w:spacing w:lineRule="auto" w:line="360" w:before="0" w:after="60"/>
        <w:jc w:val="left"/>
        <w:rPr>
          <w:rFonts w:ascii="Tenorite;sans-serif" w:hAnsi="Tenorite;sans-serif"/>
          <w:b w:val="false"/>
          <w:color w:val="2D3243"/>
          <w:sz w:val="16"/>
        </w:rPr>
      </w:pPr>
      <w:r>
        <w:rPr>
          <w:rFonts w:ascii="Tenorite;sans-serif" w:hAnsi="Tenorite;sans-serif"/>
          <w:b w:val="false"/>
          <w:color w:val="2D3243"/>
          <w:sz w:val="16"/>
        </w:rPr>
        <w:t>Note: Unless otherwise indicated, the principal address of each of the stockholders above is c/o Five9, Inc., 3001 Bishop Drive, Suite 350, San Ramon, CA 94583.</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*Represents beneficial ownership of less than one percent (1%).</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1.Represents shares beneficially owned by FMR LLC, or FMR, based on the Schedule 13G/A filed by FMR on February 12, 2025. According to the Schedule 13G/A, FMR has sole voting power with respect to 9,088,023 shares and sole dispositive power with respect to 9,102,832 shares. The address of FMR is 245 Summer Street, Boston, MA 02210.</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2.Represents shares beneficially owned by The Vanguard Group, Inc., or Vanguard, based on the Schedule 13G/A filed by Vanguard on November 12, 2024. According to the Schedule 13G/A, Vanguard has shared voting power with respect to 33,127 shares, sole dispositive power with respect to 8,893,595 shares and shared dispositive power with respect to 114,148 shares. The address of Vanguard is 100 Vanguard Blvd., Malvern, PA 19355.</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3.Represents shares beneficially owned by Pictet Asset Management SA, or Pictet, based on the Schedule 13G filed by Pictet on February 11, 2025. According to the Schedule 13G, Pictet has sole voting and dispositive power with respect to 6,583,265 shares. The address of Pictet is 60 Route des Acacias, 1211 Geneva 73, Switzerland.</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4.Represents shares beneficially owned by BlackRock, Inc., or BlackRock, based on the Schedule 13G/A filed by BlackRock on February 5, 2025. According to the Schedule 13G/A, BlackRock has sole voting power with respect to 4,630,875 shares and sole dispositive power with respect to 4,920,301 shares. The address of BlackRock is 50 Hudson Yards, New York, NY 10001.</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5.Consists of 44,475 shares directly owned by Michael Burkland and 194,889 shares held by a trust.</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6.Consists of 9,864 shares directly owned by Bryan Lee.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7.Consists of 43,406 shares directly owned by Barry Zwarenstein and 88,466 shares held by a trust.</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8.Consists of 73,798 shares directly owned by Daniel Burkland.</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9.Consists of 29,827 shares directly owned by Andy Dignan.</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10.Consists of 4,600 shares directly owned by Panos Kozanian.</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11.Consists of 34,398 shares held by a trust.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12.Consists of 8,340 shares directly owned by Susan Barsamian.</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13.Consists of 19,265 shares directly owned by Michael Burdiek.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14.Consists of 3,905 shares directly owned by Julie Iskow.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15.Consists of 5,741 shares directly owned by Jonathan Mariner.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16.Consists of 18,200 shares directly owned by David S. Welsh.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17.Consists of 64,776 shares directly owned by Robert Zollars and 1,784 shares held by a family limited partnership.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40410"/>
                <wp:effectExtent l="0" t="0" r="0" b="0"/>
                <wp:wrapNone/>
                <wp:docPr id="83" name="Frame4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767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1687"/>
        <w:gridCol w:w="1687"/>
        <w:gridCol w:w="238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val="false"/>
                <w:color w:val="2D3243"/>
                <w:sz w:val="16"/>
              </w:rPr>
            </w:pPr>
            <w:r>
              <w:rPr>
                <w:rFonts w:ascii="Tenorite;sans-serif" w:hAnsi="Tenorite;sans-serif"/>
                <w:b w:val="false"/>
                <w:color w:val="2D3243"/>
                <w:sz w:val="16"/>
              </w:rPr>
              <w:t>Security Ownership Of Certain Beneficial Owners And Management</w:t>
            </w:r>
          </w:p>
        </w:tc>
      </w:tr>
    </w:tbl>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 xml:space="preserve">Delinquent Section 16(a) Reports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Section 16(a) of the Exchange Act requires the Company’s officers, directors and persons who own more than 10% of the issued and outstanding shares of the Company’s Common Stock to file reports of beneficial ownership and changes in beneficial ownership with the SEC and to furnish copies of all Section 16(a) forms to the Company. To our knowledge, based solely on a review of the copies of such reports furnished to us and on written representations that no other reports were required, all filings for the fiscal year ended December 31, 2024 were made on a timely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40410"/>
                <wp:effectExtent l="0" t="0" r="0" b="0"/>
                <wp:wrapNone/>
                <wp:docPr id="84" name="Frame4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64" w:before="240" w:after="420"/>
        <w:jc w:val="left"/>
        <w:rPr>
          <w:rFonts w:ascii="Tenorite;sans-serif" w:hAnsi="Tenorite;sans-serif"/>
          <w:b w:val="false"/>
          <w:color w:val="2D3243"/>
          <w:sz w:val="64"/>
        </w:rPr>
      </w:pPr>
      <w:r>
        <w:rPr>
          <w:rFonts w:ascii="Tenorite;sans-serif" w:hAnsi="Tenorite;sans-serif"/>
          <w:b w:val="false"/>
          <w:color w:val="2D3243"/>
          <w:sz w:val="64"/>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80"/>
        <w:jc w:val="left"/>
        <w:rPr>
          <w:rFonts w:ascii="Tenorite;sans-serif" w:hAnsi="Tenorite;sans-serif"/>
          <w:b/>
          <w:color w:val="2A4CF9"/>
          <w:sz w:val="24"/>
        </w:rPr>
      </w:pPr>
      <w:r>
        <w:rPr>
          <w:rFonts w:ascii="Tenorite;sans-serif" w:hAnsi="Tenorite;sans-serif"/>
          <w:b/>
          <w:color w:val="2A4CF9"/>
          <w:sz w:val="24"/>
        </w:rPr>
        <w:t>Compensation Committee Report</w:t>
      </w:r>
    </w:p>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The information contained in the following Compensation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the Company specifically incorporates it by reference in such filing.</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Compensation Committee has reviewed and discussed with our management the Compensation Discussion and Analysis included in this Proxy Statement as set forth below. Based on its review and discussions, the Compensation Committee recommended to the Board of Directors that the Compensation Discussion and Analysis be included in this Proxy Statement and incorporated by reference into our Annual Report on Form 10-K for the year ended December 31, 2024.</w:t>
      </w:r>
    </w:p>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Submitted by the Compensation Committee of the Board of Directors:</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Robert Zollars (Chair)</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Susan Barsamian</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Michael Burdiek</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Julie Iskow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Compensation Discussion and Analysis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This Compensation Discussion and Analysis provides information regarding our 2024 compensation program for the following named executive officers (our “NEOs”) whose compensation is also set forth in the 2024 Summary Compensation Table and other compensation tables in this Proxy Statement:</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Michael Burkland – our Chief Executive Officer (our "CEO");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Barry Zwarenstein – our former Chief Financial Officer;</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Daniel Burkland – our former President and Chief Revenue Officer;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Andy Dignan - our President and former Chief Operating Officer; and</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Panos Kozanian – our Executive Vice President, Product Engineering.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Effective November 7, 2024, Mr. Daniel Burkland transitioned from the role of President and Chief Revenue Officer to the role of Executive Vice President, Go-to-Market Strategy. In this new role, Mr. Daniel Burkland was no longer an executive officer of the Company. In February 2025, Mr. Daniel Burkland transitioned to a consultant of the Company. Mr. Dignan was appointed as our President effective March 10, 2025. Mr. Zwarenstein retired from his position as Chief Financial Officer of the Company effective March 31, 2025. Mr. Bryan Lee was appointed as our Interim Chief Financial Officer effective April 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40410"/>
                <wp:effectExtent l="0" t="0" r="0" b="0"/>
                <wp:wrapNone/>
                <wp:docPr id="85" name="Frame4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39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Executive Summary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2024 Business Highlights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achieved the following key financial results in 2024:</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total revenue for 2024 increased 14% to a record $1,041.9 million (versus a target of $1,057.5 million under our 2024 bonus program), compared to $910.5 million in 2023.</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net loss decreased to $(12.8) million, or $(0.17) per basic and diluted share in 2024, compared to net loss of $(81.8) million, or $(1.13) per basic and diluted share in 2023.</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operating cash flow for 2024 was $143.2 million, compared to operating cash flow of $128.8 million in 2023.</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adjusted EBITDA was $196.0 million in 2024 (versus a target of $184.9 million under our 2024 bonus program), compared to $166.3 million in 2023.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 xml:space="preserve">2024 Executive Compensation Actions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Consistent with our performance and compensation objectives, we approved the following actions related to 2024 compensation for our NEOs: </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Base Salary</w:t>
      </w:r>
      <w:r>
        <w:rPr>
          <w:color w:val="2D3243"/>
        </w:rPr>
        <w:t xml:space="preserve">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We did not increase the base salary for any of the NEOs, except for Mr. Zwarenstein who received a nominal increase. </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Short-Term Cash Incentive Awards</w:t>
      </w:r>
      <w:r>
        <w:rPr>
          <w:color w:val="2D3243"/>
        </w:rPr>
        <w:t xml:space="preserve">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Eliminated the individual performance objectives for our NEOs, shifting entirely to the Company's financial goals contained in our annual operating plan (other than for Mr. Kozanian, whose bonus was also subject to pre-established strategic engineering objectives).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Transitioned to an annual performance period (rather than a semi-annual period) for the annual bonus program. The bonus for 2024 included a transitional draw feature which allowed executive officers to receive a mid-year draw based on the forecasted full year performance for 2024. The non-repayable draw was capped at 80% of the semi-annual target, and the full year bonus payout for 2024 was reduced by the amount of the mid-year draw. The 2024 draw feature was transitional only, and has not been included in our 2025 short-term cash incentive awards. </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Equity Awards</w:t>
      </w:r>
      <w:r>
        <w:rPr>
          <w:color w:val="2D3243"/>
        </w:rPr>
        <w:t xml:space="preserve">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Consistent with prior stockholder feedback, we increased the performance-based focus of our equity award program by increasing the regular annual equity award allocation from approximately 75% of the value to RSU awards and 25% of the value to PRSU awards for our NEOs (other than our CEO) to approximately 66-2/3% of the value to RSU awards and 33-1/3% of the value to PRSU awards. The allocation for our CEO remained at approximately 50% of the value to RSU awards and approximately 50% of the value to PRSU awards.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We also refined the PRSU structure by introducing three overlapping performance periods—a one-year period (2024), a two-year period (2024–2025), and a three-year period (2024–2026). This structure replaces the prior structure used for our 2022 and 2023 PRSU awards, which used three distinct one-year periods. A review of peer company data confirmed that where a relative total shareholder return ("RTSR") metric is used, they typically use a multiple overlapping performance period structure, rather than multiple one-year periods or one three-year period. This change in approach:</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Introduced a three-year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40410"/>
                <wp:effectExtent l="0" t="0" r="0" b="0"/>
                <wp:wrapNone/>
                <wp:docPr id="86" name="Frame4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Maintained interim payouts with a portion of the award vesting at the end of each fiscal year,</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Diversified risk with the largest portfolio of vesting measurement dates, and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Aligned with the majority of peer company practices using RTSR measured over multiple performance periods.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This structure enhances alignment with stockholder expectations while maintaining a balanced approach to performance measurement and executive incentives.</w:t>
      </w:r>
    </w:p>
    <w:p>
      <w:pPr>
        <w:pStyle w:val="TextBody"/>
        <w:bidi w:val="0"/>
        <w:spacing w:lineRule="auto" w:line="384" w:before="0" w:after="60"/>
        <w:ind w:left="0" w:right="0" w:hanging="360"/>
        <w:jc w:val="left"/>
        <w:rPr/>
      </w:pPr>
      <w:r>
        <w:rPr>
          <w:color w:val="2D3243"/>
        </w:rPr>
        <w:t>•</w:t>
      </w:r>
      <w:r>
        <w:rPr>
          <w:rFonts w:ascii="Tenorite;sans-serif" w:hAnsi="Tenorite;sans-serif"/>
          <w:b/>
          <w:color w:val="2D3243"/>
          <w:sz w:val="18"/>
        </w:rPr>
        <w:t>Other</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In addition, our Severance Plan (as defined below) was set to expire by its terms on April 4, 2024. After consultation with Compensia to confirm that the payments and benefits under the Severance Plan are still competitive and its terms are consistent with best practices, in March 2024, the Compensation Committee approved an extension of our Severance Plan for an additional one-year period (i.e., through April 4, 2025) on its existing terms.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2024 Executive Compensation Policies and Practices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believe we design and implement our executive compensation policies and practices in accordance with sound governance standards. The Compensation Committee meets regularly throughout the year to review our executive compensation program on an ongoing basis to ensure that it is consistent with our short-term and long-term goals given the dynamic nature of our business and the markets in which we compete for executive talent. The following policies and practices continued in effect during 2024:</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Independent Compensation Committee</w:t>
      </w:r>
      <w:r>
        <w:rPr>
          <w:color w:val="2D3243"/>
        </w:rPr>
        <w:t xml:space="preserve"> </w:t>
      </w:r>
      <w:r>
        <w:rPr>
          <w:rFonts w:ascii="Tenorite;sans-serif" w:hAnsi="Tenorite;sans-serif"/>
          <w:b w:val="false"/>
          <w:color w:val="2D3243"/>
          <w:sz w:val="18"/>
        </w:rPr>
        <w:t xml:space="preserve">The Compensation Committee is comprised solely of independent directors. </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Independent Compensation Committee Advisor</w:t>
      </w:r>
      <w:r>
        <w:rPr>
          <w:color w:val="2D3243"/>
        </w:rPr>
        <w:t xml:space="preserve"> </w:t>
      </w:r>
      <w:r>
        <w:rPr>
          <w:rFonts w:ascii="Tenorite;sans-serif" w:hAnsi="Tenorite;sans-serif"/>
          <w:b w:val="false"/>
          <w:color w:val="2D3243"/>
          <w:sz w:val="18"/>
        </w:rPr>
        <w:t>The Compensation Committee engaged its own compensation consultant to assist with its 2024 compensation reviews and determinations. This consultant performed no other consulting or other services for us in 2024.</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 xml:space="preserve">Annual Executive Compensation Review </w:t>
      </w:r>
      <w:r>
        <w:rPr>
          <w:rFonts w:ascii="Tenorite;sans-serif" w:hAnsi="Tenorite;sans-serif"/>
          <w:b w:val="false"/>
          <w:color w:val="2D3243"/>
          <w:sz w:val="18"/>
        </w:rPr>
        <w:t>The Compensation Committee conducts an annual review and approval of our compensation strategy, including a review of our compensation peer group used for comparative purposes and a review of our compensation-related risk profile to ensure that our compensation-related risks are not reasonably likely to have a material adverse effect on us.</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Executive Compensation Policies and Practices</w:t>
      </w:r>
      <w:r>
        <w:rPr>
          <w:color w:val="2D3243"/>
        </w:rPr>
        <w:t xml:space="preserve"> </w:t>
      </w:r>
      <w:r>
        <w:rPr>
          <w:rFonts w:ascii="Tenorite;sans-serif" w:hAnsi="Tenorite;sans-serif"/>
          <w:b w:val="false"/>
          <w:color w:val="2D3243"/>
          <w:sz w:val="18"/>
        </w:rPr>
        <w:t>Our compensation philosophy and related corporate governance policies and practices are complemented by several specific compensation practices that are designed to align our executive compensation with long-term stockholder interests, including the following:</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Compensation At-Risk.</w:t>
      </w:r>
      <w:r>
        <w:rPr>
          <w:color w:val="2D3243"/>
        </w:rPr>
        <w:t xml:space="preserve"> </w:t>
      </w:r>
      <w:r>
        <w:rPr>
          <w:rFonts w:ascii="Tenorite;sans-serif" w:hAnsi="Tenorite;sans-serif"/>
          <w:b w:val="false"/>
          <w:color w:val="2D3243"/>
          <w:sz w:val="18"/>
        </w:rPr>
        <w:t>Our executive compensation program is designed so that a significant portion of compensation is “at risk” based on corporate performance, as well as equity-based to align the interests of our executive officers and stockholders.</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Limited Perquisites.</w:t>
      </w:r>
      <w:r>
        <w:rPr>
          <w:color w:val="2D3243"/>
        </w:rPr>
        <w:t xml:space="preserve"> </w:t>
      </w:r>
      <w:r>
        <w:rPr>
          <w:rFonts w:ascii="Tenorite;sans-serif" w:hAnsi="Tenorite;sans-serif"/>
          <w:b w:val="false"/>
          <w:color w:val="2D3243"/>
          <w:sz w:val="18"/>
        </w:rPr>
        <w:t>We provide only limited perquisites and other personal benefits to our executive officers, including standard relocation benefits.</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No Tax Reimbursements.</w:t>
      </w:r>
      <w:r>
        <w:rPr>
          <w:color w:val="2D3243"/>
        </w:rPr>
        <w:t xml:space="preserve"> </w:t>
      </w:r>
      <w:r>
        <w:rPr>
          <w:rFonts w:ascii="Tenorite;sans-serif" w:hAnsi="Tenorite;sans-serif"/>
          <w:b w:val="false"/>
          <w:color w:val="2D3243"/>
          <w:sz w:val="18"/>
        </w:rPr>
        <w:t>We do not provide any tax reimbursement payments (including “gross-ups”) on any perquisites or other personal benefits.</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No Change-In-Control Tax Reimbursements.</w:t>
      </w:r>
      <w:r>
        <w:rPr>
          <w:color w:val="2D3243"/>
        </w:rPr>
        <w:t xml:space="preserve"> </w:t>
      </w:r>
      <w:r>
        <w:rPr>
          <w:rFonts w:ascii="Tenorite;sans-serif" w:hAnsi="Tenorite;sans-serif"/>
          <w:b w:val="false"/>
          <w:color w:val="2D3243"/>
          <w:sz w:val="18"/>
        </w:rPr>
        <w:t>We do not provide any tax reimbursement payments (including “gross-ups”) on any severance or change-in-control payments or benefits.</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Double-Trigger” Change in Control Arrangements.</w:t>
      </w:r>
      <w:r>
        <w:rPr>
          <w:color w:val="2D3243"/>
        </w:rPr>
        <w:t xml:space="preserve"> </w:t>
      </w:r>
      <w:r>
        <w:rPr>
          <w:rFonts w:ascii="Tenorite;sans-serif" w:hAnsi="Tenorite;sans-serif"/>
          <w:b w:val="false"/>
          <w:color w:val="2D3243"/>
          <w:sz w:val="18"/>
        </w:rPr>
        <w:t>All change in control payments and benefits for our NEOs are based on a “double-trigger” arrangement (that is, they require both a change in control of the Company plus a qualifying termination of employment before payments and benefits are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40410"/>
                <wp:effectExtent l="0" t="0" r="0" b="0"/>
                <wp:wrapNone/>
                <wp:docPr id="87" name="Frame4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Minimum Share Ownership.</w:t>
      </w:r>
      <w:r>
        <w:rPr>
          <w:color w:val="2D3243"/>
        </w:rPr>
        <w:t xml:space="preserve"> </w:t>
      </w:r>
      <w:r>
        <w:rPr>
          <w:rFonts w:ascii="Tenorite;sans-serif" w:hAnsi="Tenorite;sans-serif"/>
          <w:b w:val="false"/>
          <w:color w:val="2D3243"/>
          <w:sz w:val="18"/>
        </w:rPr>
        <w:t xml:space="preserve">Our executive officers, including our NEOs, and the non-employee members of the Board of Directors, are subject to stock ownership guidelines as described below. </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Hedging and Pledging Prohibited.</w:t>
      </w:r>
      <w:r>
        <w:rPr>
          <w:color w:val="2D3243"/>
        </w:rPr>
        <w:t xml:space="preserve"> </w:t>
      </w:r>
      <w:r>
        <w:rPr>
          <w:rFonts w:ascii="Tenorite;sans-serif" w:hAnsi="Tenorite;sans-serif"/>
          <w:b w:val="false"/>
          <w:color w:val="2D3243"/>
          <w:sz w:val="18"/>
        </w:rPr>
        <w:t>We prohibit our employees, including our NEOs, and the non-employee members of the Board of Directors from engaging in transactions that are of a speculative nature, including entering into any short sales, put option contracts, straddles or similar arrangements based on our securities. We also prohibit our employees, including our NEOs, and the non-employee members of the Board of Directors from pledging our securities or holding our securities in a margin account.</w:t>
      </w:r>
    </w:p>
    <w:p>
      <w:pPr>
        <w:pStyle w:val="TextBody"/>
        <w:bidi w:val="0"/>
        <w:spacing w:lineRule="auto" w:line="384" w:before="0" w:after="180"/>
        <w:ind w:left="0" w:right="0" w:hanging="360"/>
        <w:jc w:val="left"/>
        <w:rPr/>
      </w:pPr>
      <w:r>
        <w:rPr>
          <w:color w:val="2D3243"/>
        </w:rPr>
        <w:t>◦</w:t>
      </w:r>
      <w:r>
        <w:rPr>
          <w:rFonts w:ascii="Tenorite;sans-serif" w:hAnsi="Tenorite;sans-serif"/>
          <w:b/>
          <w:color w:val="2D3243"/>
          <w:sz w:val="18"/>
        </w:rPr>
        <w:t xml:space="preserve">Clawback Policy. </w:t>
      </w:r>
      <w:r>
        <w:rPr>
          <w:rFonts w:ascii="Tenorite;sans-serif" w:hAnsi="Tenorite;sans-serif"/>
          <w:b w:val="false"/>
          <w:color w:val="2D3243"/>
          <w:sz w:val="18"/>
        </w:rPr>
        <w:t xml:space="preserve">We maintain a compensation recovery (“clawback”) policy intended to comply with Exchange Act Rule 10D-1 and applicable NASDAQ listing standards.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 xml:space="preserve">2024 Stockholder Advisory Vote to Approve Named Executive Officer Compensation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Compensation Committee reviewed the results of the 2024 stockholder advisory vote on our NEO compensation (the "Say-on-Pay" proposal) and incorporated the results of this review as one of the many factors considered in connection with the discharge of its responsibilities. Approximately 72% of the votes cast on the Say-on-Pay proposal at the 2024 annual meeting were voted in favor of the proposal. In light of this level of support, the Compensation Committee continued to take stockholder views from previous stockholder discussions into account when designing both the 2024 and 2025 executive compensation programs. These include moving from a semi-annual to an annual performance period for the 2024 and 2025 short-term incentive compensation program and including multi-year performance periods in the 2024 and 2025 PRSU awards. </w:t>
      </w:r>
    </w:p>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 xml:space="preserve">Stockholder Engagement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early 2024, we continued our stockholder engagement efforts in response to the 2023 Say-on-Pay vote, building on the feedback received and the enhancements made to our executive compensation program. As described in our 2024 proxy statement, the changes for 2024 included increasing the performance-based focus of both our short-term cash incentives and equity incentive awards, as well as adjustments to the structure of our PRSUs to better align with market best practices and stockholder expectations. These efforts resulted in an increase in support for our Say-on-Pay proposal, by approximately 15 percentage points, reaching 72% approval in 2024.</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Following the 2024 annual meeting, the Compensation Committee and senior management continued to assess stockholder feedback and monitor best practices to ensure that our executive compensation program is reasonably and appropriately balanced to both be market competitive and remain aligned with the best long-term interests of our stockholders. As discussed in the “2025 Executive Compensation Actions” section below, the changes implemented in 2024 are being continued and further refined in our 2025 program design, reinforcing our commitment to a performance-driven compensation structure that aligns executive pay with company performance and stockholder value creation.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remain committed to ongoing dialogue with our stockholders and will continue to seek additional stockholder feedback to further refine our compensation practices and maintain strong alignment with stockholder expectations.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Looking ahead, our primary focus for 2025 and future years is to ensure that our executive compensation program continues to reflect industry best practices, remain competitive within our compensation peer group and the broader software sector, and aligned with stockholder input. The Compensation Committee remains committed to regularly reviewing our program structure and engaging with our stockholders to enhance transparency and strengthen alignment with long-term stockholder value creation.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table below summarizes the key feedback we received from stockholders and the specific actions we have taken in recent years to enhance our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40410"/>
                <wp:effectExtent l="0" t="0" r="0" b="0"/>
                <wp:wrapNone/>
                <wp:docPr id="88" name="Frame4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tbl>
      <w:tblPr>
        <w:tblW w:w="10205" w:type="dxa"/>
        <w:jc w:val="left"/>
        <w:tblInd w:w="0" w:type="dxa"/>
        <w:tblLayout w:type="fixed"/>
        <w:tblCellMar>
          <w:top w:w="28" w:type="dxa"/>
          <w:left w:w="28" w:type="dxa"/>
          <w:bottom w:w="28" w:type="dxa"/>
          <w:right w:w="28" w:type="dxa"/>
        </w:tblCellMar>
      </w:tblPr>
      <w:tblGrid>
        <w:gridCol w:w="813"/>
        <w:gridCol w:w="659"/>
        <w:gridCol w:w="455"/>
        <w:gridCol w:w="109"/>
        <w:gridCol w:w="109"/>
        <w:gridCol w:w="109"/>
        <w:gridCol w:w="2263"/>
        <w:gridCol w:w="1826"/>
        <w:gridCol w:w="1830"/>
        <w:gridCol w:w="109"/>
        <w:gridCol w:w="109"/>
        <w:gridCol w:w="109"/>
        <w:gridCol w:w="498"/>
        <w:gridCol w:w="498"/>
        <w:gridCol w:w="709"/>
      </w:tblGrid>
      <w:tr>
        <w:trPr/>
        <w:tc>
          <w:tcPr>
            <w:tcW w:w="81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What We Heard</w:t>
            </w:r>
          </w:p>
        </w:tc>
        <w:tc>
          <w:tcPr>
            <w:tcW w:w="327"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How We Are Responding</w:t>
            </w:r>
          </w:p>
        </w:tc>
        <w:tc>
          <w:tcPr>
            <w:tcW w:w="327"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0336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Effective Time of Implementation</w:t>
            </w:r>
          </w:p>
        </w:tc>
      </w:tr>
      <w:tr>
        <w:trPr/>
        <w:tc>
          <w:tcPr>
            <w:tcW w:w="1927"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033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9F9F9" w:val="clear"/>
            <w:tcMar>
              <w:top w:w="0" w:type="dxa"/>
              <w:left w:w="0" w:type="dxa"/>
              <w:bottom w:w="0" w:type="dxa"/>
              <w:right w:w="0" w:type="dxa"/>
            </w:tcMar>
            <w:vAlign w:val="center"/>
          </w:tcPr>
          <w:p>
            <w:pPr>
              <w:pStyle w:val="TableContents"/>
              <w:bidi w:val="0"/>
              <w:spacing w:lineRule="auto" w:line="384" w:before="0" w:after="283"/>
              <w:jc w:val="left"/>
              <w:rPr>
                <w:rFonts w:ascii="Lato;sans-serif" w:hAnsi="Lato;sans-serif"/>
                <w:b/>
                <w:i/>
                <w:color w:val="2D3243"/>
                <w:sz w:val="18"/>
                <w:u w:val="single"/>
              </w:rPr>
            </w:pPr>
            <w:r>
              <w:rPr>
                <w:rFonts w:ascii="Lato;sans-serif" w:hAnsi="Lato;sans-serif"/>
                <w:b/>
                <w:i/>
                <w:color w:val="2D3243"/>
                <w:sz w:val="18"/>
                <w:u w:val="single"/>
              </w:rPr>
              <w:t>Performance-based Equity</w:t>
            </w:r>
          </w:p>
        </w:tc>
      </w:tr>
      <w:tr>
        <w:trPr/>
        <w:tc>
          <w:tcPr>
            <w:tcW w:w="1927" w:type="dxa"/>
            <w:gridSpan w:val="3"/>
            <w:tcBorders/>
            <w:shd w:fill="F9F9F9" w:val="clear"/>
            <w:tcMar>
              <w:top w:w="0" w:type="dxa"/>
              <w:left w:w="0" w:type="dxa"/>
              <w:bottom w:w="0" w:type="dxa"/>
              <w:right w:w="0" w:type="dxa"/>
            </w:tcMar>
            <w:vAlign w:val="center"/>
          </w:tcPr>
          <w:p>
            <w:pPr>
              <w:pStyle w:val="TableContents"/>
              <w:bidi w:val="0"/>
              <w:spacing w:lineRule="auto" w:line="384" w:before="0" w:after="60"/>
              <w:ind w:left="0" w:right="0" w:hanging="180"/>
              <w:jc w:val="left"/>
              <w:rPr/>
            </w:pPr>
            <w:r>
              <w:rPr>
                <w:color w:val="2D3243"/>
              </w:rPr>
              <w:t>•</w:t>
            </w:r>
            <w:r>
              <w:rPr>
                <w:rFonts w:ascii="Lato;sans-serif" w:hAnsi="Lato;sans-serif"/>
                <w:b w:val="false"/>
                <w:color w:val="2D3243"/>
                <w:sz w:val="18"/>
              </w:rPr>
              <w:t>Some stockholders suggested that the Company should consider a three-year performance measurement period instead of three one-year periods.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F9F9F9" w:val="clear"/>
            <w:tcMar>
              <w:top w:w="0" w:type="dxa"/>
              <w:left w:w="0" w:type="dxa"/>
              <w:bottom w:w="0" w:type="dxa"/>
              <w:right w:w="0" w:type="dxa"/>
            </w:tcMar>
            <w:vAlign w:val="center"/>
          </w:tcPr>
          <w:p>
            <w:pPr>
              <w:pStyle w:val="TableContents"/>
              <w:bidi w:val="0"/>
              <w:spacing w:lineRule="auto" w:line="384" w:before="0" w:after="283"/>
              <w:jc w:val="left"/>
              <w:rPr>
                <w:rFonts w:ascii="Lato;sans-serif" w:hAnsi="Lato;sans-serif"/>
                <w:b w:val="false"/>
                <w:color w:val="2D3243"/>
                <w:sz w:val="18"/>
              </w:rPr>
            </w:pPr>
            <w:r>
              <w:rPr>
                <w:rFonts w:ascii="Lato;sans-serif" w:hAnsi="Lato;sans-serif"/>
                <w:b w:val="false"/>
                <w:color w:val="2D3243"/>
                <w:sz w:val="18"/>
              </w:rPr>
              <w:t>Annual refresh grants for 2024 use three overlapping measurement periods: a one-year period (2024), a two-year period (2024 through 2025), and a three-year period (2024 through 2026). This same overlapping measurement period approach was used for the 2025 annual refresh grants to our NEOs, which use: a one-year period (2025), a two-year period (2025-2026) and a three-year period (2025-2027). We will continue to consider using a three-year performance measurement period (rather than the overlapping measurement period approach described above) for future PRSU awards to our executive officers based on a thorough evaluation of business conditions and an assessment of pay practices within our compensation peer group, and other competitive market data provided by Compensia.</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9F9F9" w:val="clear"/>
            <w:tcMar>
              <w:top w:w="0" w:type="dxa"/>
              <w:left w:w="0" w:type="dxa"/>
              <w:bottom w:w="0" w:type="dxa"/>
              <w:right w:w="0" w:type="dxa"/>
            </w:tcMar>
            <w:vAlign w:val="center"/>
          </w:tcPr>
          <w:p>
            <w:pPr>
              <w:pStyle w:val="TableContents"/>
              <w:bidi w:val="0"/>
              <w:spacing w:lineRule="auto" w:line="384" w:before="0" w:after="283"/>
              <w:jc w:val="left"/>
              <w:rPr>
                <w:rFonts w:ascii="Lato;sans-serif" w:hAnsi="Lato;sans-serif"/>
                <w:b w:val="false"/>
                <w:color w:val="2D3243"/>
                <w:sz w:val="18"/>
              </w:rPr>
            </w:pPr>
            <w:r>
              <w:rPr>
                <w:rFonts w:ascii="Lato;sans-serif" w:hAnsi="Lato;sans-serif"/>
                <w:b w:val="false"/>
                <w:color w:val="2D3243"/>
                <w:sz w:val="18"/>
              </w:rPr>
              <w:t>February 2024 and ongoing</w:t>
            </w:r>
          </w:p>
        </w:tc>
      </w:tr>
      <w:tr>
        <w:trPr/>
        <w:tc>
          <w:tcPr>
            <w:tcW w:w="19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9F9F9" w:val="clear"/>
            <w:tcMar>
              <w:top w:w="0" w:type="dxa"/>
              <w:left w:w="0" w:type="dxa"/>
              <w:bottom w:w="0" w:type="dxa"/>
              <w:right w:w="0" w:type="dxa"/>
            </w:tcMar>
            <w:vAlign w:val="center"/>
          </w:tcPr>
          <w:p>
            <w:pPr>
              <w:pStyle w:val="TableContents"/>
              <w:bidi w:val="0"/>
              <w:spacing w:lineRule="auto" w:line="384" w:before="0" w:after="60"/>
              <w:ind w:left="0" w:right="0" w:hanging="180"/>
              <w:jc w:val="left"/>
              <w:rPr/>
            </w:pPr>
            <w:r>
              <w:rPr>
                <w:color w:val="2D3243"/>
              </w:rPr>
              <w:t>•</w:t>
            </w:r>
            <w:r>
              <w:rPr>
                <w:rFonts w:ascii="Lato;sans-serif" w:hAnsi="Lato;sans-serif"/>
                <w:b w:val="false"/>
                <w:color w:val="2D3243"/>
                <w:sz w:val="18"/>
              </w:rPr>
              <w:t xml:space="preserve">Some stockholders suggested that a greater percentage of equity award value be allocated to PRSUs rather than RSUs. </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F9F9F9" w:val="clear"/>
            <w:tcMar>
              <w:top w:w="0" w:type="dxa"/>
              <w:left w:w="0" w:type="dxa"/>
              <w:bottom w:w="0" w:type="dxa"/>
              <w:right w:w="0" w:type="dxa"/>
            </w:tcMar>
            <w:vAlign w:val="center"/>
          </w:tcPr>
          <w:p>
            <w:pPr>
              <w:pStyle w:val="TableContents"/>
              <w:bidi w:val="0"/>
              <w:spacing w:lineRule="auto" w:line="384" w:before="0" w:after="180"/>
              <w:ind w:left="0" w:right="0" w:hanging="180"/>
              <w:jc w:val="left"/>
              <w:rPr/>
            </w:pPr>
            <w:r>
              <w:rPr>
                <w:color w:val="2D3243"/>
              </w:rPr>
              <w:t>•</w:t>
            </w:r>
            <w:r>
              <w:rPr>
                <w:rFonts w:ascii="Lato;sans-serif" w:hAnsi="Lato;sans-serif"/>
                <w:b w:val="false"/>
                <w:color w:val="2D3243"/>
                <w:sz w:val="18"/>
              </w:rPr>
              <w:t xml:space="preserve">For our NEOs (other than our CEO), for 2024, we increased the performance-based share of equity awards from 25% PRSUs to 33.33% PRSUs. We continued using an allocation of 33.33% PRSUs for our NEOs (other than our CEO) for 2025. </w:t>
            </w:r>
          </w:p>
          <w:p>
            <w:pPr>
              <w:pStyle w:val="TableContents"/>
              <w:bidi w:val="0"/>
              <w:spacing w:lineRule="auto" w:line="384" w:before="0" w:after="180"/>
              <w:ind w:left="0" w:right="0" w:hanging="180"/>
              <w:jc w:val="left"/>
              <w:rPr/>
            </w:pPr>
            <w:r>
              <w:rPr>
                <w:color w:val="2D3243"/>
              </w:rPr>
              <w:t>•</w:t>
            </w:r>
            <w:r>
              <w:rPr>
                <w:rFonts w:ascii="Lato;sans-serif" w:hAnsi="Lato;sans-serif"/>
                <w:b w:val="false"/>
                <w:color w:val="2D3243"/>
                <w:sz w:val="18"/>
              </w:rPr>
              <w:t>For our CEO, we continued using an allocation of 50% RSUs and 50% PRSUs in 2024 and 2025.</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9F9F9" w:val="clear"/>
            <w:tcMar>
              <w:top w:w="0" w:type="dxa"/>
              <w:left w:w="0" w:type="dxa"/>
              <w:bottom w:w="0" w:type="dxa"/>
              <w:right w:w="0" w:type="dxa"/>
            </w:tcMar>
            <w:vAlign w:val="center"/>
          </w:tcPr>
          <w:p>
            <w:pPr>
              <w:pStyle w:val="TableContents"/>
              <w:bidi w:val="0"/>
              <w:spacing w:lineRule="auto" w:line="384" w:before="0" w:after="283"/>
              <w:jc w:val="left"/>
              <w:rPr>
                <w:rFonts w:ascii="Lato;sans-serif" w:hAnsi="Lato;sans-serif"/>
                <w:b w:val="false"/>
                <w:color w:val="2D3243"/>
                <w:sz w:val="18"/>
              </w:rPr>
            </w:pPr>
            <w:r>
              <w:rPr>
                <w:rFonts w:ascii="Lato;sans-serif" w:hAnsi="Lato;sans-serif"/>
                <w:b w:val="false"/>
                <w:color w:val="2D3243"/>
                <w:sz w:val="18"/>
              </w:rPr>
              <w:t>February 2024 and ongoing</w:t>
            </w:r>
          </w:p>
        </w:tc>
      </w:tr>
      <w:tr>
        <w:trPr/>
        <w:tc>
          <w:tcPr>
            <w:tcW w:w="19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4" w:space="0" w:color="000000"/>
            </w:tcBorders>
            <w:shd w:fill="F0F1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0F1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top w:val="single" w:sz="4" w:space="0" w:color="000000"/>
            </w:tcBorders>
            <w:shd w:fill="F0F1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0F1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000000"/>
            </w:tcBorders>
            <w:shd w:fill="F0F1F2"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205" w:type="dxa"/>
            <w:gridSpan w:val="15"/>
            <w:tcBorders/>
            <w:shd w:fill="F0F1F2" w:val="clear"/>
            <w:tcMar>
              <w:top w:w="0" w:type="dxa"/>
              <w:left w:w="0" w:type="dxa"/>
              <w:bottom w:w="0" w:type="dxa"/>
              <w:right w:w="0" w:type="dxa"/>
            </w:tcMar>
            <w:vAlign w:val="center"/>
          </w:tcPr>
          <w:p>
            <w:pPr>
              <w:pStyle w:val="TableContents"/>
              <w:bidi w:val="0"/>
              <w:spacing w:lineRule="auto" w:line="384" w:before="0" w:after="283"/>
              <w:jc w:val="left"/>
              <w:rPr>
                <w:rFonts w:ascii="Lato;sans-serif" w:hAnsi="Lato;sans-serif"/>
                <w:b/>
                <w:i/>
                <w:color w:val="2D3243"/>
                <w:sz w:val="18"/>
                <w:u w:val="single"/>
              </w:rPr>
            </w:pPr>
            <w:r>
              <w:rPr>
                <w:rFonts w:ascii="Lato;sans-serif" w:hAnsi="Lato;sans-serif"/>
                <w:b/>
                <w:i/>
                <w:color w:val="2D3243"/>
                <w:sz w:val="18"/>
                <w:u w:val="single"/>
              </w:rPr>
              <w:t>Short-Term Incentive Compensation</w:t>
            </w:r>
          </w:p>
        </w:tc>
      </w:tr>
      <w:tr>
        <w:trPr/>
        <w:tc>
          <w:tcPr>
            <w:tcW w:w="1927" w:type="dxa"/>
            <w:gridSpan w:val="3"/>
            <w:tcBorders>
              <w:bottom w:val="single" w:sz="8" w:space="0" w:color="2D3243"/>
            </w:tcBorders>
            <w:shd w:fill="F0F1F2" w:val="clear"/>
            <w:tcMar>
              <w:top w:w="0" w:type="dxa"/>
              <w:left w:w="0" w:type="dxa"/>
              <w:bottom w:w="30" w:type="dxa"/>
              <w:right w:w="0" w:type="dxa"/>
            </w:tcMar>
            <w:vAlign w:val="center"/>
          </w:tcPr>
          <w:p>
            <w:pPr>
              <w:pStyle w:val="TableContents"/>
              <w:bidi w:val="0"/>
              <w:spacing w:lineRule="auto" w:line="384" w:before="0" w:after="60"/>
              <w:ind w:left="0" w:right="0" w:hanging="180"/>
              <w:jc w:val="left"/>
              <w:rPr/>
            </w:pPr>
            <w:r>
              <w:rPr>
                <w:color w:val="2D3243"/>
              </w:rPr>
              <w:t>•</w:t>
            </w:r>
            <w:r>
              <w:rPr>
                <w:rFonts w:ascii="Lato;sans-serif" w:hAnsi="Lato;sans-serif"/>
                <w:b w:val="false"/>
                <w:color w:val="2D3243"/>
                <w:sz w:val="18"/>
              </w:rPr>
              <w:t xml:space="preserve">Consider moving from semi-annual performance periods to an annual performance period. </w:t>
            </w:r>
          </w:p>
        </w:tc>
        <w:tc>
          <w:tcPr>
            <w:tcW w:w="327" w:type="dxa"/>
            <w:gridSpan w:val="3"/>
            <w:tcBorders>
              <w:bottom w:val="single" w:sz="8" w:space="0" w:color="2D3243"/>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bottom w:val="single" w:sz="8" w:space="0" w:color="2D3243"/>
            </w:tcBorders>
            <w:shd w:fill="F0F1F2" w:val="clear"/>
            <w:tcMar>
              <w:top w:w="0" w:type="dxa"/>
              <w:left w:w="0" w:type="dxa"/>
              <w:bottom w:w="30" w:type="dxa"/>
              <w:right w:w="0" w:type="dxa"/>
            </w:tcMar>
            <w:vAlign w:val="center"/>
          </w:tcPr>
          <w:p>
            <w:pPr>
              <w:pStyle w:val="TableContents"/>
              <w:bidi w:val="0"/>
              <w:spacing w:lineRule="auto" w:line="384" w:before="0" w:after="180"/>
              <w:ind w:left="0" w:right="0" w:hanging="180"/>
              <w:jc w:val="left"/>
              <w:rPr/>
            </w:pPr>
            <w:r>
              <w:rPr>
                <w:color w:val="2D3243"/>
              </w:rPr>
              <w:t>•</w:t>
            </w:r>
            <w:r>
              <w:rPr>
                <w:rFonts w:ascii="Lato;sans-serif" w:hAnsi="Lato;sans-serif"/>
                <w:b w:val="false"/>
                <w:color w:val="2D3243"/>
                <w:sz w:val="18"/>
              </w:rPr>
              <w:t xml:space="preserve">Modified the 2024 short-term incentive compensation program to include an annual performance period, with a transitional mid-year capped draw feature, as described below. For 2025, we have continued the annual performance period and removed the mid-year draw feature. </w:t>
            </w:r>
          </w:p>
          <w:p>
            <w:pPr>
              <w:pStyle w:val="TableContents"/>
              <w:bidi w:val="0"/>
              <w:spacing w:lineRule="auto" w:line="384" w:before="0" w:after="180"/>
              <w:ind w:left="0" w:right="0" w:hanging="180"/>
              <w:jc w:val="left"/>
              <w:rPr/>
            </w:pPr>
            <w:r>
              <w:rPr>
                <w:color w:val="2D3243"/>
              </w:rPr>
              <w:t>•</w:t>
            </w:r>
            <w:r>
              <w:rPr>
                <w:rFonts w:ascii="Lato;sans-serif" w:hAnsi="Lato;sans-serif"/>
                <w:b w:val="false"/>
                <w:color w:val="2D3243"/>
                <w:sz w:val="18"/>
              </w:rPr>
              <w:t>For 2024 and 2025, we removed the individual performance feature such that the 2024 and 2025 short-term incentive compensation programs were based entirely on Company performance for each of our NEOs, except for our Executive Vice President of Product Engineering, whose target short-term incentive compensation opportunity for 2024 and 2025 was also subject to pre-established strategic engineering objectives.</w:t>
            </w:r>
          </w:p>
        </w:tc>
        <w:tc>
          <w:tcPr>
            <w:tcW w:w="327" w:type="dxa"/>
            <w:gridSpan w:val="3"/>
            <w:tcBorders>
              <w:bottom w:val="single" w:sz="8" w:space="0" w:color="2D3243"/>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bottom w:val="single" w:sz="8" w:space="0" w:color="2D3243"/>
            </w:tcBorders>
            <w:shd w:fill="F0F1F2" w:val="clear"/>
            <w:tcMar>
              <w:top w:w="0" w:type="dxa"/>
              <w:left w:w="0" w:type="dxa"/>
              <w:bottom w:w="30" w:type="dxa"/>
              <w:right w:w="0" w:type="dxa"/>
            </w:tcMar>
            <w:vAlign w:val="center"/>
          </w:tcPr>
          <w:p>
            <w:pPr>
              <w:pStyle w:val="TableContents"/>
              <w:bidi w:val="0"/>
              <w:spacing w:lineRule="auto" w:line="384" w:before="0" w:after="283"/>
              <w:jc w:val="left"/>
              <w:rPr>
                <w:rFonts w:ascii="Lato;sans-serif" w:hAnsi="Lato;sans-serif"/>
                <w:b w:val="false"/>
                <w:color w:val="2D3243"/>
                <w:sz w:val="18"/>
              </w:rPr>
            </w:pPr>
            <w:r>
              <w:rPr>
                <w:rFonts w:ascii="Lato;sans-serif" w:hAnsi="Lato;sans-serif"/>
                <w:b w:val="false"/>
                <w:color w:val="2D3243"/>
                <w:sz w:val="18"/>
              </w:rPr>
              <w:t>February 2024 and ongoing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40410"/>
                <wp:effectExtent l="0" t="0" r="0" b="0"/>
                <wp:wrapNone/>
                <wp:docPr id="89" name="Frame4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268" w:before="0" w:after="60"/>
        <w:jc w:val="left"/>
        <w:rPr>
          <w:rFonts w:ascii="Tenorite;sans-serif" w:hAnsi="Tenorite;sans-serif"/>
          <w:b/>
          <w:i/>
          <w:color w:val="2D3243"/>
          <w:sz w:val="20"/>
        </w:rPr>
      </w:pPr>
      <w:r>
        <w:rPr>
          <w:rFonts w:ascii="Tenorite;sans-serif" w:hAnsi="Tenorite;sans-serif"/>
          <w:b/>
          <w:i/>
          <w:color w:val="2D3243"/>
          <w:sz w:val="20"/>
        </w:rPr>
        <w:t xml:space="preserve">2025 Executive Compensation Actions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In line with our desire to have a more performance-based focus for our executive compensation program, the Compensation Committee took the following substantive actions with respect to our 2025 NEO compensation program at its February 2025 meeting: </w:t>
      </w:r>
    </w:p>
    <w:p>
      <w:pPr>
        <w:pStyle w:val="TextBody"/>
        <w:bidi w:val="0"/>
        <w:spacing w:lineRule="auto" w:line="288" w:before="60" w:after="60"/>
        <w:ind w:left="0" w:right="0" w:hanging="360"/>
        <w:jc w:val="left"/>
        <w:rPr/>
      </w:pPr>
      <w:r>
        <w:rPr>
          <w:color w:val="2D3243"/>
        </w:rPr>
        <w:t>•</w:t>
      </w:r>
      <w:r>
        <w:rPr>
          <w:rFonts w:ascii="Tenorite;sans-serif" w:hAnsi="Tenorite;sans-serif"/>
          <w:b/>
          <w:color w:val="2D3243"/>
          <w:sz w:val="18"/>
        </w:rPr>
        <w:t xml:space="preserve">Base Salary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We did not increase the base salary for our then-current NEOs in February 2025. However, after our February 2025 Compensation Committee meeting, we increased Mr. Dignan’s base salary to $465,000 in connection with his promotion to the role of President effective as of March 10, 2025.</w:t>
      </w:r>
    </w:p>
    <w:p>
      <w:pPr>
        <w:pStyle w:val="TextBody"/>
        <w:bidi w:val="0"/>
        <w:spacing w:lineRule="auto" w:line="384" w:before="0" w:after="60"/>
        <w:ind w:left="0" w:right="0" w:hanging="360"/>
        <w:jc w:val="left"/>
        <w:rPr/>
      </w:pPr>
      <w:r>
        <w:rPr>
          <w:color w:val="2D3243"/>
        </w:rPr>
        <w:t>•</w:t>
      </w:r>
      <w:r>
        <w:rPr>
          <w:rFonts w:ascii="Tenorite;sans-serif" w:hAnsi="Tenorite;sans-serif"/>
          <w:b/>
          <w:color w:val="2D3243"/>
          <w:sz w:val="18"/>
        </w:rPr>
        <w:t xml:space="preserve">Short-Term Cash Incentive Awards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For 2025, payouts will continue to be based on an annual performance period. The 2025 short-term cash incentive awards do not include the transitional mid-year draw feature that was included in 2024. Additionally, we transitioned to levered free cash flow ("LFCF") as a performance measure in our annual bonus plan, reflecting a strategic shift toward emphasizing cash efficiency and financial sustainability. This change aligns with our commitment to driving disciplined capital allocation and ensuring strong cash flow generation to support long-term growth and creation of stockholder value. As part of this shift, the mix of performance measures was adjusted to 70% revenue and 30% LFCF, balancing top-line growth with a focus on cash flow management. This updated structure incentivizes our leaders to deliver profitable growth while maintaining operational efficiency and financial flexibility.</w:t>
      </w:r>
    </w:p>
    <w:p>
      <w:pPr>
        <w:pStyle w:val="TextBody"/>
        <w:bidi w:val="0"/>
        <w:spacing w:lineRule="auto" w:line="384" w:before="0" w:after="60"/>
        <w:ind w:left="0" w:right="0" w:hanging="360"/>
        <w:jc w:val="left"/>
        <w:rPr/>
      </w:pPr>
      <w:r>
        <w:rPr>
          <w:color w:val="2D3243"/>
        </w:rPr>
        <w:t>•</w:t>
      </w:r>
      <w:r>
        <w:rPr>
          <w:rFonts w:ascii="Tenorite;sans-serif" w:hAnsi="Tenorite;sans-serif"/>
          <w:b/>
          <w:color w:val="2D3243"/>
          <w:sz w:val="18"/>
        </w:rPr>
        <w:t>Equity Awards</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We continued the performance-based focus of our equity award program by maintaining the award split for our NEOs (other than our CEO) of approximately 66-2/3% of the value to RSU awards and 33-1/3% of the value to PRSU awards. The allocation for our CEO remains at approximately 50% of the value to RSU awards and approximately 50% of the value to PRSU awards.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We kept the length of the measurement periods for our PRSU awards consistent with 2024. For 2025, the PRSUs are subject to the following three overlapping measurement periods:</w:t>
      </w:r>
    </w:p>
    <w:p>
      <w:pPr>
        <w:pStyle w:val="TextBody"/>
        <w:bidi w:val="0"/>
        <w:spacing w:lineRule="auto" w:line="288" w:before="0" w:after="60"/>
        <w:ind w:left="0" w:right="0" w:hanging="360"/>
        <w:jc w:val="left"/>
        <w:rPr/>
      </w:pPr>
      <w:r>
        <w:rPr>
          <w:color w:val="2D3243"/>
        </w:rPr>
        <w:t>•</w:t>
      </w:r>
      <w:r>
        <w:rPr>
          <w:rFonts w:ascii="Tenorite;sans-serif" w:hAnsi="Tenorite;sans-serif"/>
          <w:b w:val="false"/>
          <w:color w:val="2D3243"/>
          <w:sz w:val="18"/>
        </w:rPr>
        <w:t>Performance during 2025 (one year period)</w:t>
      </w:r>
    </w:p>
    <w:p>
      <w:pPr>
        <w:pStyle w:val="TextBody"/>
        <w:bidi w:val="0"/>
        <w:spacing w:lineRule="auto" w:line="288" w:before="0" w:after="60"/>
        <w:ind w:left="0" w:right="0" w:hanging="360"/>
        <w:jc w:val="left"/>
        <w:rPr/>
      </w:pPr>
      <w:r>
        <w:rPr>
          <w:color w:val="2D3243"/>
        </w:rPr>
        <w:t>•</w:t>
      </w:r>
      <w:r>
        <w:rPr>
          <w:rFonts w:ascii="Tenorite;sans-serif" w:hAnsi="Tenorite;sans-serif"/>
          <w:b w:val="false"/>
          <w:color w:val="2D3243"/>
          <w:sz w:val="18"/>
        </w:rPr>
        <w:t xml:space="preserve">Performance from 2025 through 2026 (two-year period) </w:t>
      </w:r>
    </w:p>
    <w:p>
      <w:pPr>
        <w:pStyle w:val="TextBody"/>
        <w:bidi w:val="0"/>
        <w:spacing w:lineRule="auto" w:line="288" w:before="0" w:after="60"/>
        <w:ind w:left="0" w:right="0" w:hanging="360"/>
        <w:jc w:val="left"/>
        <w:rPr/>
      </w:pPr>
      <w:r>
        <w:rPr>
          <w:color w:val="2D3243"/>
        </w:rPr>
        <w:t>•</w:t>
      </w:r>
      <w:r>
        <w:rPr>
          <w:rFonts w:ascii="Tenorite;sans-serif" w:hAnsi="Tenorite;sans-serif"/>
          <w:b w:val="false"/>
          <w:color w:val="2D3243"/>
          <w:sz w:val="18"/>
        </w:rPr>
        <w:t xml:space="preserve">Performance from 2025 through 2027 (three-year period). </w:t>
      </w:r>
    </w:p>
    <w:p>
      <w:pPr>
        <w:pStyle w:val="TextBody"/>
        <w:bidi w:val="0"/>
        <w:spacing w:lineRule="auto" w:line="288" w:before="60" w:after="180"/>
        <w:ind w:left="0" w:right="0" w:hanging="360"/>
        <w:jc w:val="left"/>
        <w:rPr/>
      </w:pPr>
      <w:r>
        <w:rPr>
          <w:color w:val="2D3243"/>
        </w:rPr>
        <w:t>•</w:t>
      </w:r>
      <w:r>
        <w:rPr>
          <w:rFonts w:ascii="Tenorite;sans-serif" w:hAnsi="Tenorite;sans-serif"/>
          <w:b/>
          <w:color w:val="2D3243"/>
          <w:sz w:val="18"/>
        </w:rPr>
        <w:t>Other</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As explained above, in March 2024, the Compensation Committee approved a one-year extension of our Severance Plan. As a result of this initial extension, our Severance Plan was set to expire by its terms on April 4, 2025. After consultation with Compensia to confirm the Severance Plan's continued appropriateness, in February 2025, the Compensation Committee approved an extension of our Severance Plan for an additional two-year period (i.e., through April 4, 2027) on its existing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Compensation Philosophy and Objectives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believe that the quality, skills and dedication of our NEOs are critical factors affecting our performance and the creation of stockholder value. Accordingly, the key objectives of our executive compensation program are to attract, retain and motivate superior executive talent while maintaining an appropriate cost structure. In addition, we seek to implement a “pay-for-performance” philosophy by designing our executive compensation program to link a substantial portion of our NEOs’ target total direct compensation to the achievement of financial and strategic performance objectives that directly correlate to key Company objectives and the long-term enhancement of stockholder value. The Compensation Committee believes that the compensation paid to our NEOs should be closely aligned with our corporate performance on both a short-term and long-term basis, linked to specific, measurable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40410"/>
                <wp:effectExtent l="0" t="0" r="0" b="0"/>
                <wp:wrapNone/>
                <wp:docPr id="90" name="Frame5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results such as revenue and Adjusted EBITDA, and that such compensation should assist us in motivating and retaining the key executive officers critical to our long-term success. Finally, our executive compensation program is designed to maintain an appropriate balance of short-term and long-term incentive compensation opportunities to ensure an appropriate focus on both operational objectives and the creation of long-term stockholder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Design and Approval of Our 2024 Compensation Program</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have structured our executive compensation program to have the flexibility to meet the demands of the dynamic nature of our business and the competitive market for executive talent in our industry and region. Therefore, our pay mix and annual incentive compensation programs for 2024 reflected the Compensation Committee’s ability to react quickly to hire, retain and motivate our executive officers. To accomplish the foregoing objectives, for 2024, the Compensation Committee structured our executive compensation program to include the following principal compensation elements:</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base salaries at levels that we believe allow us to attract and retain key executive officers;</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annual cash incentive compensation opportunities tied to (i) the achievement of pre-established annual performance goals related to important financial objectives set forth in our annual operating plan and (ii) for Mr. Kozanian, the achievement of individual pre-established strategic engineering objectives that aligned with our key strategic goals established by the Board of Directors. The annual cash incentive opportunity featured a transitional capped, mid-year draw feature, which was removed for the 2025 performance year;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long-term incentive compensation using a mix of PRSU and RSU awards, to align the interests of our executive officers with those of our stockholders, including by linking earned PRSU amounts to our stockholder return relative to companies in the S&amp;P Software and Services Select Index, and to promote our performance and retention objectives; and</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limited post-employment compensation arrangements payable on certain involuntary terminations of employment.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Generally, the Compensation Committee seeks to allocate a significant portion of our NEOs’ target total direct compensation opportunity to elements that are performance-based and, therefore, “at risk,” including semi-annual cash incentives and PRSU awards. However, the Compensation Committee does not maintain formal policies for allocating between short-term and long-term compensation or between cash and non-cash compensation. Instead, the Compensation Committee maintains flexibility and adjusts different elements of compensation based upon its evaluation of our financial position (including cash needs), the impact on stockholder dilution, hiring and retention concerns, and consideration of the compensation level and mix paid by our compensation peer group.</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While compensation levels and weighting of performance goals may differ among our NEOs based on the role, responsibilities and performance of each individual, there are no material differences in the compensation philosophy, policies or practices among our NEOs, other than Mr. Kozanian's individual pre-established strategic engineering objectives (as described in more detail below).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Role of Compensation Committee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Compensation Committee is the primary architect of our executive compensation program. The Compensation Committee conducts an annual review of our executive compensation strategy to ensure that it is appropriately aligned with our business strategy, reflective of our compensation philosophy and designed to incentivize our executive officers to accomplish key corporate objectives. The Compensation Committee also reviews market trends and changes in compensation practices. Based on its review and assessment, the Compensation Committee approves annual changes in our executive compensation program.</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For 2024, the Compensation Committee reviewed and approved the compensation for each of our NEOs. The Compensation Committee also administered our equity compensation plans and evaluated the effectiveness of our overall executive compensation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40410"/>
                <wp:effectExtent l="0" t="0" r="0" b="0"/>
                <wp:wrapNone/>
                <wp:docPr id="91" name="Frame5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Compensation Committee’s authority, duties and responsibilities are described in its charter, which is reviewed annually and revised and updated as warranted. The current charter, which was most recently re-adopted in February 2025, is available for review at http://investors.five9.com/governance.</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 xml:space="preserve">Role of Executive Officers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formulating its compensation decisions, the Compensation Committee meets with our CEO to obtain his feedback and recommendations with respect to the structure of our executive compensation program, as well as his assessment of the performance of each of the other executive officers (other than Mr. Daniel Burkland) and his recommendations on the compensation for each other executive officer (other than Mr. Daniel Burkland). In addition, our CEO and our human resources team develop recommendations for performance metrics and target award opportunities under our annual cash and long-term incentive compensation programs based on our annual operating plan, as well as provide information semi-annually regarding individual and Company performance.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Compensation Committee reviews and discusses these recommendations and proposals with our CEO and considers them as one factor in determining the compensation for our executive officers, including our other NEOs. Our CEO recuses himself from discussions, recommendations and decisions regarding his own compensation and compensation for Daniel Burkland (who is his brother) and is not present when his or Daniel Burkland's compensation is determined.</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Role of Compensation Consultant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Compensation Committee has the authority to retain the services of external advisors, including compensation consultants, legal counsel, accounting and other advisors. During 2024, the Compensation Committee continued to directly engage Compensia as its advisor for executive officer and non-employee director compensation and broad-based equity compensation matters. More specifically, Compensia:</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reviewed and recommended updates to our compensation peer group;</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reviewed and provided a competitive market analysis on executive officer and non-employee director cash and equity compensation for our 2024 compensation determinations;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reviewed and provided recommendations on an equity strategy and the development of equity grant guidelines; and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reviewed and provided comments on the Compensation Discussion &amp; Analysis section of our Proxy Statement for 2024.</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2024, the Compensation Committee considered the independence of Compensia in light of the listing standards of NASDAQ on compensation committee independence and the applicable SEC rules. Based on these standards and rules, the Compensation Committee concluded that no conflict of interest was raised with respect to the work of Compensia.</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 xml:space="preserve">Competitive Positioning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August 2023, with the assistance of Compensia, the Compensation Committee reviewed and updated our compensation peer group to reflect changes in our market capitalization, recognize our evolving business focus, and account for acquisitions of former peer companies. The compensation peer group described below was utilized when determining the compensation for all of our executive officers for 2024. The companies in this updated compensation peer group were selected on the basis of their similarity to us, based on the following criteria:</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similar revenue size - ~0.5x to ~2.0x our last four quarters' revenue of approximately $815 million as of the first quarter of 2023 (approximately $410 million to approximately $1.6 billion);</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similar market capitalization - ~0.33x to ~3.0x our market capitalization of approximately $5.3 billion as of July 1, 2023 (approximately $1.7 billion to approximately $16.0 billion);</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Industry - SaaS companies;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executive positions similar in breadth, complexity and/or scope of responsibility; and</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competitors for executive talent.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40410"/>
                <wp:effectExtent l="0" t="0" r="0" b="0"/>
                <wp:wrapNone/>
                <wp:docPr id="92" name="Frame5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 part of this review, the Compensation Committee made several adjustments to Five9’s peer group:</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Five companies were removed, two were removed because they were subsequently acquired (Avalara, Coupa Software) and three were removed because they exceeded our updated market capitalization range described above (HubSpot, MongoDB, The Trade Desk).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Six companies were added (Freshworks, Guidewire Software, Paylocity, Procore Technologies, Samsara, Sprinklr), as they align well with our selection criteria and represent relevant SaaS peers for executive talent comparisons.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 a result, the Compensation Committee approved an updated compensation peer group consisting of the following companies:</w:t>
      </w:r>
    </w:p>
    <w:tbl>
      <w:tblPr>
        <w:tblW w:w="4424" w:type="dxa"/>
        <w:jc w:val="left"/>
        <w:tblInd w:w="0" w:type="dxa"/>
        <w:tblLayout w:type="fixed"/>
        <w:tblCellMar>
          <w:top w:w="28" w:type="dxa"/>
          <w:left w:w="28" w:type="dxa"/>
          <w:bottom w:w="28" w:type="dxa"/>
          <w:right w:w="28" w:type="dxa"/>
        </w:tblCellMar>
      </w:tblPr>
      <w:tblGrid>
        <w:gridCol w:w="438"/>
        <w:gridCol w:w="385"/>
        <w:gridCol w:w="391"/>
        <w:gridCol w:w="669"/>
        <w:gridCol w:w="669"/>
        <w:gridCol w:w="671"/>
        <w:gridCol w:w="350"/>
        <w:gridCol w:w="350"/>
        <w:gridCol w:w="501"/>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pPr>
            <w:r>
              <w:rPr/>
              <w:t>Alteryx</w:t>
            </w:r>
          </w:p>
        </w:tc>
        <w:tc>
          <w:tcPr>
            <w:tcW w:w="2009"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Freshworks</w:t>
            </w:r>
          </w:p>
        </w:tc>
        <w:tc>
          <w:tcPr>
            <w:tcW w:w="1201"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Rapid7</w:t>
            </w:r>
          </w:p>
        </w:tc>
      </w:tr>
      <w:tr>
        <w:trPr/>
        <w:tc>
          <w:tcPr>
            <w:tcW w:w="121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AppFolio</w:t>
            </w:r>
          </w:p>
        </w:tc>
        <w:tc>
          <w:tcPr>
            <w:tcW w:w="2009"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Guidewire Software</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RingCentral</w:t>
            </w:r>
          </w:p>
        </w:tc>
      </w:tr>
      <w:tr>
        <w:trPr/>
        <w:tc>
          <w:tcPr>
            <w:tcW w:w="121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Bill Holdings</w:t>
            </w:r>
          </w:p>
        </w:tc>
        <w:tc>
          <w:tcPr>
            <w:tcW w:w="2009"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New Relic</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Samsara</w:t>
            </w:r>
          </w:p>
        </w:tc>
      </w:tr>
      <w:tr>
        <w:trPr/>
        <w:tc>
          <w:tcPr>
            <w:tcW w:w="121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Blackline</w:t>
            </w:r>
          </w:p>
        </w:tc>
        <w:tc>
          <w:tcPr>
            <w:tcW w:w="2009"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Paylocity</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Smartsheet</w:t>
            </w:r>
          </w:p>
        </w:tc>
      </w:tr>
      <w:tr>
        <w:trPr/>
        <w:tc>
          <w:tcPr>
            <w:tcW w:w="121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Cloudflare</w:t>
            </w:r>
          </w:p>
        </w:tc>
        <w:tc>
          <w:tcPr>
            <w:tcW w:w="2009"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Procore Technologies</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Sprinklr</w:t>
            </w:r>
          </w:p>
        </w:tc>
      </w:tr>
      <w:tr>
        <w:trPr/>
        <w:tc>
          <w:tcPr>
            <w:tcW w:w="121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Dynatrace</w:t>
            </w:r>
          </w:p>
        </w:tc>
        <w:tc>
          <w:tcPr>
            <w:tcW w:w="2009"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Q2 Holdings</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Zscaler</w:t>
            </w:r>
          </w:p>
        </w:tc>
      </w:tr>
      <w:tr>
        <w:trPr/>
        <w:tc>
          <w:tcPr>
            <w:tcW w:w="1214" w:type="dxa"/>
            <w:gridSpan w:val="3"/>
            <w:tcBorders>
              <w:top w:val="single" w:sz="8" w:space="0" w:color="81848E"/>
              <w:bottom w:val="single" w:sz="8" w:space="0" w:color="0336FF"/>
            </w:tcBorders>
            <w:tcMar>
              <w:top w:w="30" w:type="dxa"/>
              <w:left w:w="0" w:type="dxa"/>
              <w:bottom w:w="3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Elastic N.V.</w:t>
            </w:r>
          </w:p>
        </w:tc>
        <w:tc>
          <w:tcPr>
            <w:tcW w:w="2009" w:type="dxa"/>
            <w:gridSpan w:val="3"/>
            <w:tcBorders>
              <w:top w:val="single" w:sz="8" w:space="0" w:color="81848E"/>
              <w:bottom w:val="single" w:sz="8" w:space="0" w:color="0336FF"/>
            </w:tcBorders>
            <w:tcMar>
              <w:top w:w="30" w:type="dxa"/>
              <w:left w:w="0" w:type="dxa"/>
              <w:bottom w:w="3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Qualys</w:t>
            </w:r>
          </w:p>
        </w:tc>
        <w:tc>
          <w:tcPr>
            <w:tcW w:w="1201" w:type="dxa"/>
            <w:gridSpan w:val="3"/>
            <w:tcBorders>
              <w:top w:val="single" w:sz="8" w:space="0" w:color="81848E"/>
              <w:bottom w:val="single" w:sz="8" w:space="0" w:color="0336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 of the August 2023 evaluation, Five9 was positioned as follows: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Revenue: Five9’s last four quarters' revenue of $815 million placed it at the 47th percentile of the revised peer group (range: ~$503M to ~$2.05B, median: ~$849M).</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Market Capitalization: Five9’s market capitalization of $5.3 billion ranked at the 45th percentile (range: ~$1.7B to ~$21.7B, median: ~$5.7B).</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Revenue Growth: Five9’s 24% growth ranked at the 46th percentile, aligning with peer median growth rates.</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Employee Size: Five9’s 2,380 employees placed it at the 28th percentile, reflecting a leaner workforce relative to similarly sized SaaS peers (range: ~1,785 to ~5,400 employees, median: ~3,048).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July 2024, with the assistance of Compensia, the Compensation Committee reviewed and updated our compensation peer group to reflect changes in our market capitalization, recognize our evolving business focus, and account for acquisitions of former peer companies. The compensation peer group described below was utilized when determining the compensation of all of our executive officers for 2025, including the compensation of Mr. Dignan upon his promotion to the role of President effective March 10, 2025. The companies in this updated compensation peer group were selected on the basis of their similarity to us, based on the following criteria:</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similar revenue size - ~0.5x to ~2.0x our last four quarters' revenue of approximately $939 million as of the first quarter of 2024 (approximately $470 million to approximately $1.9 billion);</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similar market capitalization - ~0.33x to ~3.0x our market capitalization of approximately $3.7 billion as of June 12, 2024 (approximately $1.2 billion to approximately $11.2 billion);</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Industry - SaaS companies;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executive positions similar in breadth, complexity and/or scope of responsibility; and</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competitors for executive talent.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40410"/>
                <wp:effectExtent l="0" t="0" r="0" b="0"/>
                <wp:wrapNone/>
                <wp:docPr id="93" name="Frame5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 part of this review, the Compensation Committee made several adjustments to Five9’s peer group:</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Five companies were removed, two were removed because they were subsequently acquired (Alteryx, New Relic) and three were removed because they exceeded our updated market capitalization range described above (Cloudflare, Samsara, Zscaler).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Four companies were added (Asana, Box, EverCommerce, nCino) as they align well with our selection criteria and represent relevant SaaS peers for executive talent comparisons.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 a result, the Compensation Committee approved an updated compensation peer group consisting of the following companies:</w:t>
      </w:r>
    </w:p>
    <w:tbl>
      <w:tblPr>
        <w:tblW w:w="4440" w:type="dxa"/>
        <w:jc w:val="left"/>
        <w:tblInd w:w="0" w:type="dxa"/>
        <w:tblLayout w:type="fixed"/>
        <w:tblCellMar>
          <w:top w:w="28" w:type="dxa"/>
          <w:left w:w="28" w:type="dxa"/>
          <w:bottom w:w="28" w:type="dxa"/>
          <w:right w:w="28" w:type="dxa"/>
        </w:tblCellMar>
      </w:tblPr>
      <w:tblGrid>
        <w:gridCol w:w="440"/>
        <w:gridCol w:w="387"/>
        <w:gridCol w:w="388"/>
        <w:gridCol w:w="674"/>
        <w:gridCol w:w="674"/>
        <w:gridCol w:w="676"/>
        <w:gridCol w:w="350"/>
        <w:gridCol w:w="350"/>
        <w:gridCol w:w="501"/>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pPr>
            <w:r>
              <w:rPr/>
              <w:t>AppFolio</w:t>
            </w:r>
          </w:p>
        </w:tc>
        <w:tc>
          <w:tcPr>
            <w:tcW w:w="2024"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EverCommerce</w:t>
            </w:r>
          </w:p>
        </w:tc>
        <w:tc>
          <w:tcPr>
            <w:tcW w:w="1201" w:type="dxa"/>
            <w:gridSpan w:val="3"/>
            <w:tcBorders/>
            <w:tcMar>
              <w:top w:w="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Qualys</w:t>
            </w:r>
          </w:p>
        </w:tc>
      </w:tr>
      <w:tr>
        <w:trPr/>
        <w:tc>
          <w:tcPr>
            <w:tcW w:w="1215"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Asana</w:t>
            </w:r>
          </w:p>
        </w:tc>
        <w:tc>
          <w:tcPr>
            <w:tcW w:w="202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Freshworks</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Rapid7</w:t>
            </w:r>
          </w:p>
        </w:tc>
      </w:tr>
      <w:tr>
        <w:trPr/>
        <w:tc>
          <w:tcPr>
            <w:tcW w:w="1215"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Bill Holdings</w:t>
            </w:r>
          </w:p>
        </w:tc>
        <w:tc>
          <w:tcPr>
            <w:tcW w:w="202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Guidewire Software</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RingCentral</w:t>
            </w:r>
          </w:p>
        </w:tc>
      </w:tr>
      <w:tr>
        <w:trPr/>
        <w:tc>
          <w:tcPr>
            <w:tcW w:w="1215"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Blackline</w:t>
            </w:r>
          </w:p>
        </w:tc>
        <w:tc>
          <w:tcPr>
            <w:tcW w:w="202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nCino</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Smartsheet</w:t>
            </w:r>
          </w:p>
        </w:tc>
      </w:tr>
      <w:tr>
        <w:trPr/>
        <w:tc>
          <w:tcPr>
            <w:tcW w:w="1215"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Box</w:t>
            </w:r>
          </w:p>
        </w:tc>
        <w:tc>
          <w:tcPr>
            <w:tcW w:w="202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 xml:space="preserve">Paylocity </w:t>
            </w:r>
          </w:p>
        </w:tc>
        <w:tc>
          <w:tcPr>
            <w:tcW w:w="1201"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Sprinklr</w:t>
            </w:r>
          </w:p>
        </w:tc>
      </w:tr>
      <w:tr>
        <w:trPr/>
        <w:tc>
          <w:tcPr>
            <w:tcW w:w="1215"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Dynatrace</w:t>
            </w:r>
          </w:p>
        </w:tc>
        <w:tc>
          <w:tcPr>
            <w:tcW w:w="2024"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Procure Technologies</w:t>
            </w:r>
          </w:p>
        </w:tc>
        <w:tc>
          <w:tcPr>
            <w:tcW w:w="1201" w:type="dxa"/>
            <w:gridSpan w:val="3"/>
            <w:tcBorders>
              <w:top w:val="single" w:sz="8" w:space="0" w:color="81848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81848E"/>
              <w:bottom w:val="single" w:sz="8" w:space="0" w:color="2A4CF9"/>
            </w:tcBorders>
            <w:tcMar>
              <w:top w:w="30" w:type="dxa"/>
              <w:left w:w="0" w:type="dxa"/>
              <w:bottom w:w="3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Elastic N.V.</w:t>
            </w:r>
          </w:p>
        </w:tc>
        <w:tc>
          <w:tcPr>
            <w:tcW w:w="2024" w:type="dxa"/>
            <w:gridSpan w:val="3"/>
            <w:tcBorders>
              <w:top w:val="single" w:sz="8" w:space="0" w:color="81848E"/>
              <w:bottom w:val="single" w:sz="8" w:space="0" w:color="2A4CF9"/>
            </w:tcBorders>
            <w:tcMar>
              <w:top w:w="30" w:type="dxa"/>
              <w:left w:w="0" w:type="dxa"/>
              <w:bottom w:w="30" w:type="dxa"/>
              <w:right w:w="0" w:type="dxa"/>
            </w:tcMar>
            <w:vAlign w:val="center"/>
          </w:tcPr>
          <w:p>
            <w:pPr>
              <w:pStyle w:val="TableContents"/>
              <w:bidi w:val="0"/>
              <w:spacing w:lineRule="auto" w:line="384" w:before="0" w:after="283"/>
              <w:jc w:val="left"/>
              <w:rPr>
                <w:rFonts w:ascii="Tenorite;sans-serif" w:hAnsi="Tenorite;sans-serif"/>
                <w:b w:val="false"/>
                <w:color w:val="2D3243"/>
                <w:sz w:val="18"/>
              </w:rPr>
            </w:pPr>
            <w:r>
              <w:rPr>
                <w:rFonts w:ascii="Tenorite;sans-serif" w:hAnsi="Tenorite;sans-serif"/>
                <w:b w:val="false"/>
                <w:color w:val="2D3243"/>
                <w:sz w:val="18"/>
              </w:rPr>
              <w:t>Q2 Holdings</w:t>
            </w:r>
          </w:p>
        </w:tc>
        <w:tc>
          <w:tcPr>
            <w:tcW w:w="1201" w:type="dxa"/>
            <w:gridSpan w:val="3"/>
            <w:tcBorders>
              <w:top w:val="single" w:sz="8" w:space="0" w:color="81848E"/>
              <w:bottom w:val="single" w:sz="8" w:space="0" w:color="2A4CF9"/>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 of the July 2024 evaluation, Five9 was positioned as follows: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Revenue: Five9’s $939 million last four quarter revenue places it at the 55th percentile within the peer group (range: ~$491M to ~$2.25B, median: ~$800M).</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Market Capitalization: Five9’s $3.7 billion market capitalization ranks at the 40th percentile (range: ~$1.8B to ~$13.9B, median: ~$4.1B). This represents an increase from the 24th percentile under the previous peer group.</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Revenue Growth: Five9’s 15% revenue growth is at the 47th percentile, closely aligning with the peer group median (range: ~5% to ~34%).</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Employee Size: Five9’s 2,684 employees place it at the 52nd percentile, reflecting an efficient workforce relative to peers (range: ~1,604 to ~6,100 employees, median: ~2,530).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To analyze the compensation practices of the companies in our compensation peer group, Compensia gathered data from public filings (primarily proxy statements) for the peer group companies. We also considered survey data from the Radford McLagan Compensation Database, including a custom cut of our peer group companies and a broader cut of financially comparable software companies. The market analysis prepared from this data was then used as a reference point for the Compensation Committee to assess our current compensation levels in the course of its deliberations on compensation elements and amounts.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Going forward, the Compensation Committee intends to review and update the compensation peer group at least annually and make adjustments to its composition when appropriate, taking into account changes in both our business and the businesses of the companies in the peer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Key Elements of Our 2024 Executive Compensation Program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Base Salary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pay a base salary to each of our NEOs to provide a base level of fixed income for their services, and the Compensation Committee establishes base salaries for our NEOs that are competitive with those received by individuals in similar positions at the companies in our compensation peer group. At the start of 2024, the Compensation Committee evaluated our performance in 2023 and the performance of our NEOs. The Company did not increase the base salary for the NEOs, except for Mr. Zwarenstein who received a nominal increase from $430,000 to $440,000.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40410"/>
                <wp:effectExtent l="0" t="0" r="0" b="0"/>
                <wp:wrapNone/>
                <wp:docPr id="94" name="Frame5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 xml:space="preserve">The annual base salaries of our NEOs for 2024 were as follows: </w:t>
      </w:r>
    </w:p>
    <w:tbl>
      <w:tblPr>
        <w:tblW w:w="4099" w:type="dxa"/>
        <w:jc w:val="left"/>
        <w:tblInd w:w="0" w:type="dxa"/>
        <w:tblLayout w:type="fixed"/>
        <w:tblCellMar>
          <w:top w:w="28" w:type="dxa"/>
          <w:left w:w="28" w:type="dxa"/>
          <w:bottom w:w="28" w:type="dxa"/>
          <w:right w:w="28" w:type="dxa"/>
        </w:tblCellMar>
      </w:tblPr>
      <w:tblGrid>
        <w:gridCol w:w="650"/>
        <w:gridCol w:w="569"/>
        <w:gridCol w:w="580"/>
        <w:gridCol w:w="569"/>
        <w:gridCol w:w="569"/>
        <w:gridCol w:w="572"/>
        <w:gridCol w:w="109"/>
        <w:gridCol w:w="109"/>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NEO</w:t>
            </w:r>
          </w:p>
        </w:tc>
        <w:tc>
          <w:tcPr>
            <w:tcW w:w="1710"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2024 Base Salary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585,000 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113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440,000 </w:t>
            </w:r>
          </w:p>
        </w:tc>
        <w:tc>
          <w:tcPr>
            <w:tcW w:w="57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Daniel Burkland</w:t>
            </w:r>
            <w:r>
              <w:rPr>
                <w:rFonts w:ascii="Tenorite;sans-serif" w:hAnsi="Tenorite;sans-serif"/>
                <w:b/>
                <w:color w:val="2D3243"/>
                <w:sz w:val="10"/>
              </w:rPr>
              <w:t>(1)</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425,000 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113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446,000 </w:t>
            </w:r>
          </w:p>
        </w:tc>
        <w:tc>
          <w:tcPr>
            <w:tcW w:w="57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Panos Kozanian</w:t>
            </w:r>
          </w:p>
        </w:tc>
        <w:tc>
          <w:tcPr>
            <w:tcW w:w="113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450,000 </w:t>
            </w:r>
          </w:p>
        </w:tc>
        <w:tc>
          <w:tcPr>
            <w:tcW w:w="572"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18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1.As a result of Mr. Daniel Burkland's transition to the role of Executive Vice President, Go-to-Market Strategy as of November 7, 2024, his base salary was reduced from $425,000 to $389,500 effective November 16, 2024.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Short-Term Cash Incentive Compensation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use performance-based cash incentives to motivate our executive officers, including our NEOs, to focus on specific goals established by the Board of Directors in our annual operating plan (other than Mr. Kozanian, whose bonus opportunity was also subject to pre-established strategic engineering objectives), to provide additional cash compensation opportunities beyond base salary in a manner that is consistent with competitive market practices, and to recognize and reward achievement at or above our pre-established levels of performance. </w:t>
      </w:r>
    </w:p>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2024 Bonus Program: Target Annual Cash Bonus Opportunities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At the start of 2024, the Compensation Committee reviewed the target annual cash bonus opportunity for each NEO (expressed as a percentage of his annual base salary), and, after taking into account internal pay equity with our other executive officers, pay practices within our compensation peer group, and a competitive market analysis prepared by Compensia, the Compensation Committee decided not to increase the target annual cash bonus opportunities of our NEOs. Due to an increase in Mr. Zwarenstein's annual base salary, the dollar value of his target annual cash bonus opportunity increased accordingly.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following table shows each NEO’s target annual cash bonus opportunity (expressed as a percentage of base salary and as a dollar amount) for 2024:</w:t>
      </w:r>
    </w:p>
    <w:tbl>
      <w:tblPr>
        <w:tblW w:w="6581" w:type="dxa"/>
        <w:jc w:val="left"/>
        <w:tblInd w:w="0" w:type="dxa"/>
        <w:tblLayout w:type="fixed"/>
        <w:tblCellMar>
          <w:top w:w="28" w:type="dxa"/>
          <w:left w:w="28" w:type="dxa"/>
          <w:bottom w:w="28" w:type="dxa"/>
          <w:right w:w="28" w:type="dxa"/>
        </w:tblCellMar>
      </w:tblPr>
      <w:tblGrid>
        <w:gridCol w:w="650"/>
        <w:gridCol w:w="569"/>
        <w:gridCol w:w="580"/>
        <w:gridCol w:w="550"/>
        <w:gridCol w:w="550"/>
        <w:gridCol w:w="550"/>
        <w:gridCol w:w="326"/>
        <w:gridCol w:w="326"/>
        <w:gridCol w:w="326"/>
        <w:gridCol w:w="485"/>
        <w:gridCol w:w="485"/>
        <w:gridCol w:w="485"/>
        <w:gridCol w:w="109"/>
        <w:gridCol w:w="109"/>
        <w:gridCol w:w="109"/>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9"/>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Annual Target Bonus for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NEO</w:t>
            </w:r>
          </w:p>
        </w:tc>
        <w:tc>
          <w:tcPr>
            <w:tcW w:w="1650"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of Base Salary</w:t>
            </w:r>
          </w:p>
        </w:tc>
        <w:tc>
          <w:tcPr>
            <w:tcW w:w="978"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Dollar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585,000 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11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75 </w:t>
            </w:r>
          </w:p>
        </w:tc>
        <w:tc>
          <w:tcPr>
            <w:tcW w:w="550"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330,000 </w:t>
            </w:r>
          </w:p>
        </w:tc>
        <w:tc>
          <w:tcPr>
            <w:tcW w:w="48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Daniel Burkland</w:t>
            </w:r>
            <w:r>
              <w:rPr>
                <w:rFonts w:ascii="Tenorite;sans-serif" w:hAnsi="Tenorite;sans-serif"/>
                <w:b/>
                <w:color w:val="2D3243"/>
                <w:sz w:val="10"/>
              </w:rPr>
              <w:t>(1)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425,000 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11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75 </w:t>
            </w:r>
          </w:p>
        </w:tc>
        <w:tc>
          <w:tcPr>
            <w:tcW w:w="550"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334,500 </w:t>
            </w:r>
          </w:p>
        </w:tc>
        <w:tc>
          <w:tcPr>
            <w:tcW w:w="48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60"/>
              <w:jc w:val="left"/>
              <w:rPr>
                <w:rFonts w:ascii="Tenorite;sans-serif" w:hAnsi="Tenorite;sans-serif"/>
                <w:b/>
                <w:color w:val="2D3243"/>
                <w:sz w:val="16"/>
              </w:rPr>
            </w:pPr>
            <w:r>
              <w:rPr>
                <w:rFonts w:ascii="Tenorite;sans-serif" w:hAnsi="Tenorite;sans-serif"/>
                <w:b/>
                <w:color w:val="2D3243"/>
                <w:sz w:val="16"/>
              </w:rPr>
              <w:t>Panos Kozanian</w:t>
            </w:r>
          </w:p>
        </w:tc>
        <w:tc>
          <w:tcPr>
            <w:tcW w:w="1100"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65 </w:t>
            </w:r>
          </w:p>
        </w:tc>
        <w:tc>
          <w:tcPr>
            <w:tcW w:w="550"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292,500 </w:t>
            </w:r>
          </w:p>
        </w:tc>
        <w:tc>
          <w:tcPr>
            <w:tcW w:w="485"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1.As a result of Mr. Daniel Burkland's transition to the role of Executive Vice President, Go-to-Market Strategy as of November 7, 2024, his target annual cash bonus opportunity for the portion of 2024 that he served as Executive Vice President, Go-to-Market Strategy was reduced from 100% to 65.5% of his annual base salary effective November 16,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40410"/>
                <wp:effectExtent l="0" t="0" r="0" b="0"/>
                <wp:wrapNone/>
                <wp:docPr id="95" name="Frame5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49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2024 Bonus Program: Bonus Performance Component Weightings</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In 2024, each of our executive officers, including our NEOs, was eligible to earn cash bonuses on an annual basis under our short-term cash incentive program (the “2024 Bonus Program”). The bonus for 2024 included a transitional draw feature which allowed executive officers to receive a mid-year draw based on the forecasted full year performance for 2024. The non-repayable draw was capped at 80% of the semi-annual target, and the calculated full year bonus payout for 2024 was reduced by the amount of the mid-year draw. The 2024 draw feature was transitional only, and it was removed for 2025. Funding of the 2024 Bonus Program was based upon Company financial performance and each NEO’s individual performance (as applicable) in 2024 as summarized below:</w:t>
      </w:r>
    </w:p>
    <w:tbl>
      <w:tblPr>
        <w:tblW w:w="6880" w:type="dxa"/>
        <w:jc w:val="left"/>
        <w:tblInd w:w="0" w:type="dxa"/>
        <w:tblLayout w:type="fixed"/>
        <w:tblCellMar>
          <w:top w:w="28" w:type="dxa"/>
          <w:left w:w="28" w:type="dxa"/>
          <w:bottom w:w="28" w:type="dxa"/>
          <w:right w:w="28" w:type="dxa"/>
        </w:tblCellMar>
      </w:tblPr>
      <w:tblGrid>
        <w:gridCol w:w="649"/>
        <w:gridCol w:w="573"/>
        <w:gridCol w:w="578"/>
        <w:gridCol w:w="784"/>
        <w:gridCol w:w="784"/>
        <w:gridCol w:w="786"/>
        <w:gridCol w:w="784"/>
        <w:gridCol w:w="784"/>
        <w:gridCol w:w="786"/>
        <w:gridCol w:w="109"/>
        <w:gridCol w:w="109"/>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2354"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 xml:space="preserve">Financial Performance </w:t>
            </w:r>
          </w:p>
          <w:p>
            <w:pPr>
              <w:pStyle w:val="TableContents"/>
              <w:bidi w:val="0"/>
              <w:spacing w:lineRule="auto" w:line="288" w:before="0" w:after="0"/>
              <w:jc w:val="right"/>
              <w:rPr/>
            </w:pPr>
            <w:r>
              <w:rPr>
                <w:rFonts w:ascii="Tenorite;sans-serif" w:hAnsi="Tenorite;sans-serif"/>
                <w:b/>
                <w:color w:val="FFFFFF"/>
                <w:sz w:val="16"/>
              </w:rPr>
              <w:t>Component Weighting</w:t>
            </w:r>
            <w:r>
              <w:rPr>
                <w:rFonts w:ascii="Tenorite;sans-serif" w:hAnsi="Tenorite;sans-serif"/>
                <w:b/>
                <w:color w:val="FFFFFF"/>
                <w:sz w:val="10"/>
              </w:rPr>
              <w:t>(1)</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2354"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Individual Performance</w:t>
            </w:r>
          </w:p>
          <w:p>
            <w:pPr>
              <w:pStyle w:val="TableContents"/>
              <w:bidi w:val="0"/>
              <w:spacing w:lineRule="auto" w:line="288" w:before="0" w:after="0"/>
              <w:jc w:val="right"/>
              <w:rPr/>
            </w:pPr>
            <w:r>
              <w:rPr>
                <w:rFonts w:ascii="Tenorite;sans-serif" w:hAnsi="Tenorite;sans-serif"/>
                <w:b/>
                <w:color w:val="FFFFFF"/>
                <w:sz w:val="16"/>
              </w:rPr>
              <w:t>Component Weighting</w:t>
            </w:r>
            <w:r>
              <w:rPr>
                <w:rFonts w:ascii="Tenorite;sans-serif" w:hAnsi="Tenorite;sans-serif"/>
                <w:b/>
                <w:color w:val="FFFFFF"/>
                <w:sz w:val="10"/>
              </w:rPr>
              <w:t>(2)</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15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78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8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Daniel Burkland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15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78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8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Panos Kozanian</w:t>
            </w:r>
          </w:p>
        </w:tc>
        <w:tc>
          <w:tcPr>
            <w:tcW w:w="156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25 </w:t>
            </w:r>
          </w:p>
        </w:tc>
        <w:tc>
          <w:tcPr>
            <w:tcW w:w="78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75 </w:t>
            </w:r>
          </w:p>
        </w:tc>
        <w:tc>
          <w:tcPr>
            <w:tcW w:w="78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1.The financial performance component was based upon our achievement of pre-established revenue and Adjusted EBITDA targets with the revenue performance measure weighted 75% and the Adjusted EBITDA performance measure weighted 25%.</w:t>
      </w:r>
    </w:p>
    <w:p>
      <w:pPr>
        <w:pStyle w:val="TextBody"/>
        <w:bidi w:val="0"/>
        <w:spacing w:lineRule="auto" w:line="360" w:before="0" w:after="18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2.Mr. Kozanian's individual performance was based on strategic engineering objectives consistent with the key strategic goals established by the Board of Directors. </w:t>
      </w:r>
    </w:p>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 xml:space="preserve">2024 Bonus Program: Company Financial Performance Component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February 2024, the Compensation Committee approved revenue and Adjusted EBITDA as the Company performance measures for 2024 and established target performance levels based on our annual operating plan approved by the Board of Directors. The Compensation Committee chose revenue and Adjusted EBITDA as the performance measures for the 2024 Bonus Program because they are key performance indicators used by us in managing our business, and are linked to our growth and profitability and the creation of long-term stockholder value. For purposes of the 2024 Bonus Program, “Adjusted EBITDA” was calculated as net income (loss) before (1) depreciation and amortization, (2) stock-based compensation, (3) interest expense, (4) gain on early extinguishment of debt, (5) interest (income) and other, (6) exit costs related to the closure and relocation of our Russian operations, (7) acquisition and related transaction costs and one-time integration costs, (8) impairment charge related to closure of operating lease facilities, (9) lease amortization for finance leases, (10) costs related to reduction in force plan, (11) provision for income taxes, and (12) other items that do not directly affect what we consider to be our core operating performance.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2024 financial performance component was based upon our achievement of pre-established revenue and Adjusted EBITDA targets with the revenue performance measure weighted 75% and the Adjusted EBITDA performance measure weighted 25% with payout levels determined by performance against both revenue and Adjusted EBITDA targets, as summarized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40410"/>
                <wp:effectExtent l="0" t="0" r="0" b="0"/>
                <wp:wrapNone/>
                <wp:docPr id="96" name="Frame5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tbl>
      <w:tblPr>
        <w:tblW w:w="9625" w:type="dxa"/>
        <w:jc w:val="left"/>
        <w:tblInd w:w="0" w:type="dxa"/>
        <w:tblLayout w:type="fixed"/>
        <w:tblCellMar>
          <w:top w:w="28" w:type="dxa"/>
          <w:left w:w="28" w:type="dxa"/>
          <w:bottom w:w="28" w:type="dxa"/>
          <w:right w:w="28" w:type="dxa"/>
        </w:tblCellMar>
      </w:tblPr>
      <w:tblGrid>
        <w:gridCol w:w="1474"/>
        <w:gridCol w:w="1294"/>
        <w:gridCol w:w="1297"/>
        <w:gridCol w:w="924"/>
        <w:gridCol w:w="924"/>
        <w:gridCol w:w="926"/>
        <w:gridCol w:w="804"/>
        <w:gridCol w:w="804"/>
        <w:gridCol w:w="806"/>
        <w:gridCol w:w="109"/>
        <w:gridCol w:w="109"/>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Component Performance (%)</w:t>
            </w:r>
          </w:p>
        </w:tc>
        <w:tc>
          <w:tcPr>
            <w:tcW w:w="2414"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Component Payout (%)</w:t>
            </w:r>
            <w:r>
              <w:rPr>
                <w:rFonts w:ascii="Tenorite;sans-serif" w:hAnsi="Tenorite;sans-serif"/>
                <w:b/>
                <w:color w:val="FFFFFF"/>
                <w:sz w:val="10"/>
              </w:rPr>
              <w:t>(2)</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Revenue Performance Component</w:t>
            </w:r>
            <w:r>
              <w:rPr>
                <w:rFonts w:ascii="Tenorite;sans-serif" w:hAnsi="Tenorite;sans-serif"/>
                <w:b/>
                <w:color w:val="2D3243"/>
                <w:sz w:val="10"/>
              </w:rPr>
              <w:t>(1)</w:t>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Threshold</w:t>
            </w:r>
          </w:p>
        </w:tc>
        <w:tc>
          <w:tcPr>
            <w:tcW w:w="184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85 </w:t>
            </w:r>
          </w:p>
        </w:tc>
        <w:tc>
          <w:tcPr>
            <w:tcW w:w="9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70 </w:t>
            </w:r>
          </w:p>
        </w:tc>
        <w:tc>
          <w:tcPr>
            <w:tcW w:w="80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Target</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Maximum</w:t>
            </w:r>
          </w:p>
        </w:tc>
        <w:tc>
          <w:tcPr>
            <w:tcW w:w="184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125 </w:t>
            </w:r>
          </w:p>
        </w:tc>
        <w:tc>
          <w:tcPr>
            <w:tcW w:w="9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150 </w:t>
            </w:r>
          </w:p>
        </w:tc>
        <w:tc>
          <w:tcPr>
            <w:tcW w:w="80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Adjusted EBITDA Performance Component</w:t>
            </w:r>
          </w:p>
        </w:tc>
        <w:tc>
          <w:tcPr>
            <w:tcW w:w="277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80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Threshold</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80 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80 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Target</w:t>
            </w:r>
          </w:p>
        </w:tc>
        <w:tc>
          <w:tcPr>
            <w:tcW w:w="184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9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80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Maximum</w:t>
            </w:r>
          </w:p>
        </w:tc>
        <w:tc>
          <w:tcPr>
            <w:tcW w:w="184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150 </w:t>
            </w:r>
          </w:p>
        </w:tc>
        <w:tc>
          <w:tcPr>
            <w:tcW w:w="92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150 </w:t>
            </w:r>
          </w:p>
        </w:tc>
        <w:tc>
          <w:tcPr>
            <w:tcW w:w="80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1.In the event that our actual Adjusted EBITDA was below 80% of the Adjusted EBITDA target, the maximum cash payout for achieving the revenue target would have been 100% of the revenue target.</w:t>
      </w:r>
    </w:p>
    <w:p>
      <w:pPr>
        <w:pStyle w:val="TextBody"/>
        <w:bidi w:val="0"/>
        <w:spacing w:lineRule="auto" w:line="360" w:before="0" w:after="300"/>
        <w:ind w:left="0" w:right="0" w:hanging="360"/>
        <w:jc w:val="left"/>
        <w:rPr>
          <w:rFonts w:ascii="Tenorite;sans-serif" w:hAnsi="Tenorite;sans-serif"/>
          <w:b w:val="false"/>
          <w:color w:val="2D3243"/>
          <w:sz w:val="16"/>
        </w:rPr>
      </w:pPr>
      <w:r>
        <w:rPr>
          <w:rFonts w:ascii="Tenorite;sans-serif" w:hAnsi="Tenorite;sans-serif"/>
          <w:b w:val="false"/>
          <w:color w:val="2D3243"/>
          <w:sz w:val="16"/>
        </w:rPr>
        <w:t>2.Performance below threshold for either performance component would result in no payout for that performance component. For performance between threshold and maximum for each performance component, the payout was calculated on a linear basis.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following table summarizes the target performance levels for revenue and Adjusted EBITDA for 2024 and our mid-year forecasted full year and actual full year results with respect to each target. </w:t>
      </w:r>
    </w:p>
    <w:tbl>
      <w:tblPr>
        <w:tblW w:w="10205" w:type="dxa"/>
        <w:jc w:val="left"/>
        <w:tblInd w:w="0" w:type="dxa"/>
        <w:tblLayout w:type="fixed"/>
        <w:tblCellMar>
          <w:top w:w="28" w:type="dxa"/>
          <w:left w:w="28" w:type="dxa"/>
          <w:bottom w:w="28" w:type="dxa"/>
          <w:right w:w="28" w:type="dxa"/>
        </w:tblCellMar>
      </w:tblPr>
      <w:tblGrid>
        <w:gridCol w:w="593"/>
        <w:gridCol w:w="521"/>
        <w:gridCol w:w="525"/>
        <w:gridCol w:w="520"/>
        <w:gridCol w:w="1892"/>
        <w:gridCol w:w="268"/>
        <w:gridCol w:w="525"/>
        <w:gridCol w:w="1521"/>
        <w:gridCol w:w="268"/>
        <w:gridCol w:w="109"/>
        <w:gridCol w:w="109"/>
        <w:gridCol w:w="109"/>
        <w:gridCol w:w="290"/>
        <w:gridCol w:w="1055"/>
        <w:gridCol w:w="150"/>
        <w:gridCol w:w="312"/>
        <w:gridCol w:w="901"/>
        <w:gridCol w:w="159"/>
        <w:gridCol w:w="109"/>
        <w:gridCol w:w="109"/>
        <w:gridCol w:w="160"/>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6"/>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Mid-Year Forecasted Performance Annual Period Ending December 31, 2024</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6"/>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Actual Annual Performance</w:t>
              <w:br/>
              <w:t> Period Ending December 31, 2024</w:t>
            </w:r>
          </w:p>
        </w:tc>
        <w:tc>
          <w:tcPr>
            <w:tcW w:w="37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Revenue</w:t>
            </w:r>
          </w:p>
        </w:tc>
        <w:tc>
          <w:tcPr>
            <w:tcW w:w="231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Adjusted EBITDA</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Revenue</w:t>
            </w:r>
          </w:p>
        </w:tc>
        <w:tc>
          <w:tcPr>
            <w:tcW w:w="1372"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Adjusted EBITDA</w:t>
            </w:r>
          </w:p>
        </w:tc>
        <w:tc>
          <w:tcPr>
            <w:tcW w:w="37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2680" w:type="dxa"/>
            <w:gridSpan w:val="3"/>
            <w:tcBorders/>
            <w:vAlign w:val="center"/>
          </w:tcPr>
          <w:p>
            <w:pPr>
              <w:pStyle w:val="TableContents"/>
              <w:bidi w:val="0"/>
              <w:spacing w:before="0" w:after="283"/>
              <w:jc w:val="left"/>
              <w:rPr>
                <w:sz w:val="4"/>
                <w:szCs w:val="4"/>
              </w:rPr>
            </w:pPr>
            <w:r>
              <w:rPr>
                <w:sz w:val="4"/>
                <w:szCs w:val="4"/>
              </w:rPr>
            </w:r>
          </w:p>
        </w:tc>
        <w:tc>
          <w:tcPr>
            <w:tcW w:w="2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Target (in millions)</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1,057.5 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184.9 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1,057.5 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2680" w:type="dxa"/>
            <w:gridSpan w:val="3"/>
            <w:tcBorders/>
            <w:vAlign w:val="center"/>
          </w:tcPr>
          <w:p>
            <w:pPr>
              <w:pStyle w:val="TableContents"/>
              <w:bidi w:val="0"/>
              <w:spacing w:before="0" w:after="283"/>
              <w:jc w:val="left"/>
              <w:rPr>
                <w:sz w:val="4"/>
                <w:szCs w:val="4"/>
              </w:rPr>
            </w:pPr>
            <w:r>
              <w:rPr>
                <w:sz w:val="4"/>
                <w:szCs w:val="4"/>
              </w:rPr>
            </w:r>
          </w:p>
        </w:tc>
        <w:tc>
          <w:tcPr>
            <w:tcW w:w="2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Actual (in millions)</w:t>
            </w:r>
          </w:p>
        </w:tc>
        <w:tc>
          <w:tcPr>
            <w:tcW w:w="520"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892"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1,026.1 </w:t>
            </w:r>
          </w:p>
        </w:tc>
        <w:tc>
          <w:tcPr>
            <w:tcW w:w="26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521"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184.4 </w:t>
            </w:r>
          </w:p>
        </w:tc>
        <w:tc>
          <w:tcPr>
            <w:tcW w:w="268"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055"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1,032.9 </w:t>
            </w:r>
          </w:p>
        </w:tc>
        <w:tc>
          <w:tcPr>
            <w:tcW w:w="150"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901"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195.4 </w:t>
            </w:r>
          </w:p>
        </w:tc>
        <w:tc>
          <w:tcPr>
            <w:tcW w:w="159"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Payout (% of Target)</w:t>
            </w:r>
            <w:r>
              <w:rPr>
                <w:rFonts w:ascii="Tenorite;sans-serif" w:hAnsi="Tenorite;sans-serif"/>
                <w:b/>
                <w:color w:val="2D3243"/>
                <w:sz w:val="10"/>
              </w:rPr>
              <w:t>(1)</w:t>
            </w:r>
          </w:p>
        </w:tc>
        <w:tc>
          <w:tcPr>
            <w:tcW w:w="4994" w:type="dxa"/>
            <w:gridSpan w:val="6"/>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95.5%</w:t>
            </w:r>
          </w:p>
        </w:tc>
        <w:tc>
          <w:tcPr>
            <w:tcW w:w="327"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6"/>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97.9%</w:t>
            </w:r>
          </w:p>
        </w:tc>
        <w:tc>
          <w:tcPr>
            <w:tcW w:w="378"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1.Prior to determination of the final payout percentage, the results of any unbudgeted acquisitions during the period were excluded from the calculation. </w:t>
      </w:r>
    </w:p>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2024 Bonus Program: Individual Performance Component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For 2024, we removed the individual performance feature such that the 2024 annual cash bonus opportunity was 100% based on Company performance for each of our NEOs, except for Mr. Kozanian, our Executive Vice President of Product Engineering, whose target annual cash bonus opportunity was also subject to pre-established strategic engineering objectives established by the Board of Directors.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Payout of the individual performance component of the 2024 Bonus Program for Mr. Kozanian was based on achievement of challenging, but achievable, individual pre-established strategic engineering objectives that aligned with our key strategic goals as determined by the Board of Directors. We are not disclosing these objectives as we have determined that disclosure could result in competitive harm by revealing sensitive strategic information that could be used by competitors to the Company’s detriment. In 2024, the Compensation Committee determined that Mr. Kozanian achieved 127% of his individual pre-established strategic engineering performance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40410"/>
                <wp:effectExtent l="0" t="0" r="0" b="0"/>
                <wp:wrapNone/>
                <wp:docPr id="97" name="Frame5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2024 Bonus Program: 2024 Payment Summary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following table summarizes the total payments made to each of our NEOs for 2024 as a result of the achievement of the Company financial (and for Mr. Kozanian, individual) performance objectives as described above. </w:t>
      </w:r>
    </w:p>
    <w:tbl>
      <w:tblPr>
        <w:tblW w:w="8974" w:type="dxa"/>
        <w:jc w:val="left"/>
        <w:tblInd w:w="0" w:type="dxa"/>
        <w:tblLayout w:type="fixed"/>
        <w:tblCellMar>
          <w:top w:w="28" w:type="dxa"/>
          <w:left w:w="28" w:type="dxa"/>
          <w:bottom w:w="28" w:type="dxa"/>
          <w:right w:w="28" w:type="dxa"/>
        </w:tblCellMar>
      </w:tblPr>
      <w:tblGrid>
        <w:gridCol w:w="650"/>
        <w:gridCol w:w="569"/>
        <w:gridCol w:w="580"/>
        <w:gridCol w:w="109"/>
        <w:gridCol w:w="109"/>
        <w:gridCol w:w="824"/>
        <w:gridCol w:w="824"/>
        <w:gridCol w:w="827"/>
        <w:gridCol w:w="109"/>
        <w:gridCol w:w="109"/>
        <w:gridCol w:w="654"/>
        <w:gridCol w:w="654"/>
        <w:gridCol w:w="656"/>
        <w:gridCol w:w="413"/>
        <w:gridCol w:w="413"/>
        <w:gridCol w:w="396"/>
        <w:gridCol w:w="235"/>
        <w:gridCol w:w="235"/>
        <w:gridCol w:w="236"/>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 xml:space="preserve">2024 </w:t>
            </w:r>
          </w:p>
          <w:p>
            <w:pPr>
              <w:pStyle w:val="TableContents"/>
              <w:bidi w:val="0"/>
              <w:spacing w:lineRule="auto" w:line="288" w:before="0" w:after="0"/>
              <w:jc w:val="right"/>
              <w:rPr/>
            </w:pPr>
            <w:r>
              <w:rPr>
                <w:rFonts w:ascii="Tenorite;sans-serif" w:hAnsi="Tenorite;sans-serif"/>
                <w:b/>
                <w:color w:val="FFFFFF"/>
                <w:sz w:val="16"/>
              </w:rPr>
              <w:t>Mid-Year Draw Payment</w:t>
            </w:r>
            <w:r>
              <w:rPr>
                <w:rFonts w:ascii="Tenorite;sans-serif" w:hAnsi="Tenorite;sans-serif"/>
                <w:b/>
                <w:color w:val="FFFFFF"/>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 xml:space="preserve">2024 </w:t>
            </w:r>
          </w:p>
          <w:p>
            <w:pPr>
              <w:pStyle w:val="TableContents"/>
              <w:bidi w:val="0"/>
              <w:spacing w:lineRule="auto" w:line="288" w:before="0" w:after="0"/>
              <w:jc w:val="right"/>
              <w:rPr/>
            </w:pPr>
            <w:r>
              <w:rPr>
                <w:rFonts w:ascii="Tenorite;sans-serif" w:hAnsi="Tenorite;sans-serif"/>
                <w:b/>
                <w:color w:val="FFFFFF"/>
                <w:sz w:val="16"/>
              </w:rPr>
              <w:t>Year-End Payment</w:t>
            </w:r>
            <w:r>
              <w:rPr>
                <w:rFonts w:ascii="Tenorite;sans-serif" w:hAnsi="Tenorite;sans-serif"/>
                <w:b/>
                <w:color w:val="FFFFFF"/>
                <w:sz w:val="10"/>
              </w:rPr>
              <w:t>(3)</w:t>
            </w:r>
          </w:p>
        </w:tc>
        <w:tc>
          <w:tcPr>
            <w:tcW w:w="122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Total 2024 </w:t>
              <w:br/>
              <w:t>Payout</w:t>
            </w:r>
          </w:p>
        </w:tc>
        <w:tc>
          <w:tcPr>
            <w:tcW w:w="70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 of </w:t>
              <w:br/>
              <w:t>Target</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234,000 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338,715 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572,715 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132,000 </w:t>
            </w:r>
          </w:p>
        </w:tc>
        <w:tc>
          <w:tcPr>
            <w:tcW w:w="82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191,070 </w:t>
            </w:r>
          </w:p>
        </w:tc>
        <w:tc>
          <w:tcPr>
            <w:tcW w:w="6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323,070 </w:t>
            </w:r>
          </w:p>
        </w:tc>
        <w:tc>
          <w:tcPr>
            <w:tcW w:w="3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98 </w:t>
            </w:r>
          </w:p>
        </w:tc>
        <w:tc>
          <w:tcPr>
            <w:tcW w:w="23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Daniel Burkland</w:t>
            </w:r>
            <w:r>
              <w:rPr>
                <w:rFonts w:ascii="Tenorite;sans-serif" w:hAnsi="Tenorite;sans-serif"/>
                <w:b/>
                <w:color w:val="2D3243"/>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170,000 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225,158 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395,158 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133,800 </w:t>
            </w:r>
          </w:p>
        </w:tc>
        <w:tc>
          <w:tcPr>
            <w:tcW w:w="82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193,676 </w:t>
            </w:r>
          </w:p>
        </w:tc>
        <w:tc>
          <w:tcPr>
            <w:tcW w:w="6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327,476 </w:t>
            </w:r>
          </w:p>
        </w:tc>
        <w:tc>
          <w:tcPr>
            <w:tcW w:w="3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98 </w:t>
            </w:r>
          </w:p>
        </w:tc>
        <w:tc>
          <w:tcPr>
            <w:tcW w:w="23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60"/>
              <w:jc w:val="left"/>
              <w:rPr>
                <w:rFonts w:ascii="Tenorite;sans-serif" w:hAnsi="Tenorite;sans-serif"/>
                <w:b/>
                <w:color w:val="2D3243"/>
                <w:sz w:val="16"/>
              </w:rPr>
            </w:pPr>
            <w:r>
              <w:rPr>
                <w:rFonts w:ascii="Tenorite;sans-serif" w:hAnsi="Tenorite;sans-serif"/>
                <w:b/>
                <w:color w:val="2D3243"/>
                <w:sz w:val="16"/>
              </w:rPr>
              <w:t>Panos Kozanian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117,000 </w:t>
            </w:r>
          </w:p>
        </w:tc>
        <w:tc>
          <w:tcPr>
            <w:tcW w:w="827"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233,196 </w:t>
            </w:r>
          </w:p>
        </w:tc>
        <w:tc>
          <w:tcPr>
            <w:tcW w:w="65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350,196 </w:t>
            </w:r>
          </w:p>
        </w:tc>
        <w:tc>
          <w:tcPr>
            <w:tcW w:w="39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120 </w:t>
            </w:r>
          </w:p>
        </w:tc>
        <w:tc>
          <w:tcPr>
            <w:tcW w:w="23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1.Mr. Daniel Burkland's percentage of target amount reflects the reduction in his base salary and target annual cash bonus opportunity as a result of his transition to the role of Executive Vice President, Go-to-Market Strategy as of November 7, 2024, as described above.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2.The 2024 Transitional Mid-Year Draw payment was based on mid-year forecasted performance and was capped at 80% of each NEO’s semi-annual target.</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3.The Year-End 2024 payment was based on the difference of the payout for the full year based on actual performance minus the previously paid 2024 Transitional Mid-Year Draw payment.</w:t>
      </w:r>
    </w:p>
    <w:p>
      <w:pPr>
        <w:pStyle w:val="TextBody"/>
        <w:bidi w:val="0"/>
        <w:spacing w:lineRule="auto" w:line="384" w:before="180" w:after="180"/>
        <w:jc w:val="left"/>
        <w:rPr>
          <w:rFonts w:ascii="Tenorite;sans-serif" w:hAnsi="Tenorite;sans-serif"/>
          <w:b/>
          <w:i/>
          <w:color w:val="2D3243"/>
          <w:sz w:val="18"/>
        </w:rPr>
      </w:pPr>
      <w:r>
        <w:rPr>
          <w:rFonts w:ascii="Tenorite;sans-serif" w:hAnsi="Tenorite;sans-serif"/>
          <w:b/>
          <w:i/>
          <w:color w:val="2D3243"/>
          <w:sz w:val="18"/>
        </w:rPr>
        <w:t xml:space="preserve">Equity Awards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We provide equity compensation opportunities to our executive officers, including our NEOs, to align their financial interests with those of our stockholders and to provide compensation that is consistent with the practices of our compensation peer group so that we can attract and retain qualified talent.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Compensation Committee believes that our long-term business objectives are best served by granting service-based RSUs combined with market-based PRSUs, which, in their view, provide an effective incentive for our NEOs to enhance stockholder value. Our RSU awards, except for certain retention-based awards, generally vest over four-year vesting schedules, contingent upon the recipient’s continued service through each vesting date. Our PRSU awards generally are earned and vest over three year vesting schedules, depending on the type of award and contingent upon the recipient's continued service through each vesting date.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In 2024, consistent with prior stockholder feedback, we increased the performance-based focus of our equity award program by increasing the regular annual equity award allocation from approximately 75% of the value to RSU awards and 25% of the value to PRSU awards for our NEOs (other than our CEO) to approximately 66-2/3% of the value to RSU awards and 33-1/3% of the value to PRSU awards. The allocation for our CEO remained at approximately 50% of the value to RSU awards and approximately 50% of the value to PRSU awards. </w:t>
      </w:r>
    </w:p>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2024 Equity Awards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In the first quarter of 2024, the Compensation Committee granted annual "refresh" equity awards to our NEOs. The amounts and terms of such equity awards were determined after taking into account internal pay equity with our other executive officers, pay practices and equity award types used within our compensation peer group, a competitive market analysis prepared by Compensia, as well as a review of prior performance, anticipated future contributions, retention objectives, current outstanding unvested equity holdings, and the recommendations of the CEO for equity awards other than his own and that of Mr. Daniel Burkland.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40410"/>
                <wp:effectExtent l="0" t="0" r="0" b="0"/>
                <wp:wrapNone/>
                <wp:docPr id="98" name="Frame5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following table shows the target award values and the number of RSU awards and/or PRSU awards (at target) to each of our NEOs during 2024. Aggregate target award values are converted to units based on the multi-day stock price average under our standard Equity Award Grant Policy after applying the award vehicle (RSU or PRSU) weightings.</w:t>
      </w:r>
    </w:p>
    <w:tbl>
      <w:tblPr>
        <w:tblW w:w="9920" w:type="dxa"/>
        <w:jc w:val="left"/>
        <w:tblInd w:w="0" w:type="dxa"/>
        <w:tblLayout w:type="fixed"/>
        <w:tblCellMar>
          <w:top w:w="28" w:type="dxa"/>
          <w:left w:w="28" w:type="dxa"/>
          <w:bottom w:w="28" w:type="dxa"/>
          <w:right w:w="28" w:type="dxa"/>
        </w:tblCellMar>
      </w:tblPr>
      <w:tblGrid>
        <w:gridCol w:w="650"/>
        <w:gridCol w:w="569"/>
        <w:gridCol w:w="580"/>
        <w:gridCol w:w="1084"/>
        <w:gridCol w:w="1084"/>
        <w:gridCol w:w="1087"/>
        <w:gridCol w:w="1054"/>
        <w:gridCol w:w="1054"/>
        <w:gridCol w:w="1057"/>
        <w:gridCol w:w="360"/>
        <w:gridCol w:w="361"/>
        <w:gridCol w:w="281"/>
        <w:gridCol w:w="109"/>
        <w:gridCol w:w="109"/>
        <w:gridCol w:w="109"/>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 xml:space="preserve">NEO </w:t>
            </w:r>
          </w:p>
        </w:tc>
        <w:tc>
          <w:tcPr>
            <w:tcW w:w="3255"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Aggregate Target Award Values</w:t>
            </w:r>
            <w:r>
              <w:rPr>
                <w:rFonts w:ascii="Tenorite;sans-serif" w:hAnsi="Tenorite;sans-serif"/>
                <w:b/>
                <w:color w:val="FFFFFF"/>
                <w:sz w:val="10"/>
              </w:rPr>
              <w:t xml:space="preserve">(1) </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3165"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RSUs (excluding PRSUs) Granted</w:t>
              <w:br/>
              <w:t> (#)</w:t>
            </w:r>
          </w:p>
        </w:tc>
        <w:tc>
          <w:tcPr>
            <w:tcW w:w="100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PRSUs </w:t>
              <w:br/>
              <w:t>Granted</w:t>
              <w:b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13,100,000 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87,648 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87,648 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21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4,000,000 </w:t>
            </w:r>
          </w:p>
        </w:tc>
        <w:tc>
          <w:tcPr>
            <w:tcW w:w="108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35,684 </w:t>
            </w:r>
          </w:p>
        </w:tc>
        <w:tc>
          <w:tcPr>
            <w:tcW w:w="105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17,842 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Daniel Burkland</w:t>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4,000,000 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35,684 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17,842 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21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4,000,000 </w:t>
            </w:r>
          </w:p>
        </w:tc>
        <w:tc>
          <w:tcPr>
            <w:tcW w:w="108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35,864 </w:t>
            </w:r>
          </w:p>
        </w:tc>
        <w:tc>
          <w:tcPr>
            <w:tcW w:w="105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17,842 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Panos Kozanian</w:t>
            </w:r>
          </w:p>
        </w:tc>
        <w:tc>
          <w:tcPr>
            <w:tcW w:w="216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4,000,000 </w:t>
            </w:r>
          </w:p>
        </w:tc>
        <w:tc>
          <w:tcPr>
            <w:tcW w:w="1087"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35,864 </w:t>
            </w:r>
          </w:p>
        </w:tc>
        <w:tc>
          <w:tcPr>
            <w:tcW w:w="1057"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17,842 </w:t>
            </w:r>
          </w:p>
        </w:tc>
        <w:tc>
          <w:tcPr>
            <w:tcW w:w="281"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1.Target award values differ from grant date fair values under the applicable accounting standards (FASB ASC Topic 718) which are reported in the 2024 Summary Compensation Table due to (i) the multi-day stock price average that is used to convert target award values into units under our standard Equity Award Grant Policy and (ii) the lower accounting grant date fair value assigned to PRSUs with a relative TSR performance condition under the Monte Carlo Simulation model - for example, the target number of PRSUs granted to the NEOs had grant date fair values that were approximately 0.9 times the grant date fair value for their RSUs granted on the same date. </w:t>
      </w:r>
    </w:p>
    <w:p>
      <w:pPr>
        <w:pStyle w:val="TextBody"/>
        <w:bidi w:val="0"/>
        <w:spacing w:lineRule="auto" w:line="384" w:before="0" w:after="180"/>
        <w:jc w:val="left"/>
        <w:rPr/>
      </w:pPr>
      <w:r>
        <w:rPr>
          <w:rFonts w:ascii="Tenorite;sans-serif" w:hAnsi="Tenorite;sans-serif"/>
          <w:b/>
          <w:color w:val="2D3243"/>
          <w:sz w:val="18"/>
        </w:rPr>
        <w:t>PRSUs with Market Conditions.</w:t>
      </w:r>
      <w:r>
        <w:rPr>
          <w:color w:val="2D3243"/>
        </w:rPr>
        <w:t xml:space="preserve"> </w:t>
      </w:r>
      <w:r>
        <w:rPr>
          <w:rFonts w:ascii="Tenorite;sans-serif" w:hAnsi="Tenorite;sans-serif"/>
          <w:b w:val="false"/>
          <w:color w:val="2D3243"/>
          <w:sz w:val="18"/>
        </w:rPr>
        <w:t xml:space="preserve">As described above, in 2024, the Compensation Committee granted PRSUs subject to market-based performance conditions (“market-based PRSUs”) as part of its annual grant of equity incentive awards to our NEOs. The number of units that may be earned pursuant to the market-based PRSUs ranges from 0% to 200% of the target number of units based on the Company's RTSR performance as compared to the companies in the S&amp;P Software and Services Select Index for a one-year measurement period (2024), a two-year measurement period (2024 through 2025), and a three-year measurement period (2024 through 2026) as outlined in the table below. </w:t>
      </w:r>
    </w:p>
    <w:tbl>
      <w:tblPr>
        <w:tblW w:w="10205" w:type="dxa"/>
        <w:jc w:val="left"/>
        <w:tblInd w:w="0" w:type="dxa"/>
        <w:tblLayout w:type="fixed"/>
        <w:tblCellMar>
          <w:top w:w="28" w:type="dxa"/>
          <w:left w:w="28" w:type="dxa"/>
          <w:bottom w:w="28" w:type="dxa"/>
          <w:right w:w="28" w:type="dxa"/>
        </w:tblCellMar>
      </w:tblPr>
      <w:tblGrid>
        <w:gridCol w:w="746"/>
        <w:gridCol w:w="655"/>
        <w:gridCol w:w="658"/>
        <w:gridCol w:w="650"/>
        <w:gridCol w:w="650"/>
        <w:gridCol w:w="652"/>
        <w:gridCol w:w="1938"/>
        <w:gridCol w:w="1938"/>
        <w:gridCol w:w="1942"/>
        <w:gridCol w:w="109"/>
        <w:gridCol w:w="109"/>
        <w:gridCol w:w="158"/>
      </w:tblGrid>
      <w:tr>
        <w:trPr/>
        <w:tc>
          <w:tcPr>
            <w:tcW w:w="7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Performance/Payout Scale</w:t>
            </w:r>
          </w:p>
        </w:tc>
        <w:tc>
          <w:tcPr>
            <w:tcW w:w="1952"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RSTR Ranking (percentile)</w:t>
            </w:r>
          </w:p>
        </w:tc>
        <w:tc>
          <w:tcPr>
            <w:tcW w:w="5818"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Number of PRSUs Earned (as % of Target Number of PRSUs) for the Measurement Period (%)</w:t>
            </w:r>
            <w:r>
              <w:rPr>
                <w:rFonts w:ascii="Tenorite;sans-serif" w:hAnsi="Tenorite;sans-serif"/>
                <w:b/>
                <w:color w:val="FFFFFF"/>
                <w:sz w:val="10"/>
              </w:rPr>
              <w:t>(1)</w:t>
            </w:r>
          </w:p>
        </w:tc>
        <w:tc>
          <w:tcPr>
            <w:tcW w:w="37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Threshold</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50 </w:t>
            </w:r>
          </w:p>
        </w:tc>
        <w:tc>
          <w:tcPr>
            <w:tcW w:w="1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Target</w:t>
            </w:r>
          </w:p>
        </w:tc>
        <w:tc>
          <w:tcPr>
            <w:tcW w:w="13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55 </w:t>
            </w:r>
          </w:p>
        </w:tc>
        <w:tc>
          <w:tcPr>
            <w:tcW w:w="65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100 </w:t>
            </w:r>
          </w:p>
        </w:tc>
        <w:tc>
          <w:tcPr>
            <w:tcW w:w="194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Maximum</w:t>
            </w:r>
          </w:p>
        </w:tc>
        <w:tc>
          <w:tcPr>
            <w:tcW w:w="1300"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75 </w:t>
            </w:r>
          </w:p>
        </w:tc>
        <w:tc>
          <w:tcPr>
            <w:tcW w:w="652"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6"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200 </w:t>
            </w:r>
          </w:p>
        </w:tc>
        <w:tc>
          <w:tcPr>
            <w:tcW w:w="1942"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1.RTSR ranking below threshold would result in no PRSUs earned. For RTSR between threshold and maximum, the number of PRSUs earned is calculated on a linear basis.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Each earned unit will be settled through the issuance of one share of our Common Stock. One-third of the total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 100% of the target amount of PRSUs for such period may be earned. If an NEO's employment with the Company terminates before the end of the final measurement period due to death or disability, 100% (if due to death) or 50% (if due to disability) of the unearned and unvested PRSUs may be earned subject to ultimate RTSR performance in each remaining measurement period. Upon a qualifying termination of employment in connection with a change in control of the Company, the unvested PRSUs will vest on a "double-trigger" basis (i) at the target level for the uncompleted portions of the measurement periods and (ii) at the actual level of performance measured through the date of the change in control of the Company, based on the share price per share paid in such change in control. The fair value of the PRSUs were determined on their grant date using a Monte Carlo Simulation model. The Company recognizes the fair value of the PRSUs ratably over their requisite service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40410"/>
                <wp:effectExtent l="0" t="0" r="0" b="0"/>
                <wp:wrapNone/>
                <wp:docPr id="99" name="Frame5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120"/>
        <w:jc w:val="left"/>
        <w:rPr>
          <w:rFonts w:ascii="Lato;sans-serif" w:hAnsi="Lato;sans-serif"/>
          <w:b/>
          <w:color w:val="2D3243"/>
          <w:sz w:val="18"/>
          <w:u w:val="single"/>
        </w:rPr>
      </w:pPr>
      <w:r>
        <w:rPr>
          <w:rFonts w:ascii="Lato;sans-serif" w:hAnsi="Lato;sans-serif"/>
          <w:b/>
          <w:color w:val="2D3243"/>
          <w:sz w:val="18"/>
          <w:u w:val="single"/>
        </w:rPr>
        <w:t>Performance-Based Equity Awards - 2024 Measurement Period</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On February 11, 2025, the Compensation Committee certified the performance results for the 2024 measurement period (that is, the period from January 1, 2024, through December 31, 2024) for the market-based PRSUs granted to our then-NEOs in 2022, 2023 and 2024. The Compensation Committee determined that its actual total shareholder return was (47.25)% for 2024 with resulting RTSR rankings and payouts as summarized in the table below:</w:t>
      </w:r>
    </w:p>
    <w:tbl>
      <w:tblPr>
        <w:tblW w:w="10205" w:type="dxa"/>
        <w:jc w:val="left"/>
        <w:tblInd w:w="0" w:type="dxa"/>
        <w:tblLayout w:type="fixed"/>
        <w:tblCellMar>
          <w:top w:w="28" w:type="dxa"/>
          <w:left w:w="28" w:type="dxa"/>
          <w:bottom w:w="28" w:type="dxa"/>
          <w:right w:w="28" w:type="dxa"/>
        </w:tblCellMar>
      </w:tblPr>
      <w:tblGrid>
        <w:gridCol w:w="1171"/>
        <w:gridCol w:w="1031"/>
        <w:gridCol w:w="982"/>
        <w:gridCol w:w="800"/>
        <w:gridCol w:w="800"/>
        <w:gridCol w:w="802"/>
        <w:gridCol w:w="460"/>
        <w:gridCol w:w="460"/>
        <w:gridCol w:w="1086"/>
        <w:gridCol w:w="708"/>
        <w:gridCol w:w="708"/>
        <w:gridCol w:w="711"/>
        <w:gridCol w:w="109"/>
        <w:gridCol w:w="109"/>
        <w:gridCol w:w="109"/>
        <w:gridCol w:w="159"/>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PRSU Grant Year</w:t>
            </w:r>
          </w:p>
        </w:tc>
        <w:tc>
          <w:tcPr>
            <w:tcW w:w="2402"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RTSR Ranking (percentile)</w:t>
            </w:r>
            <w:r>
              <w:rPr>
                <w:rFonts w:ascii="Tenorite;sans-serif" w:hAnsi="Tenorite;sans-serif"/>
                <w:b/>
                <w:color w:val="FFFFFF"/>
                <w:sz w:val="10"/>
              </w:rPr>
              <w:t>(1)</w:t>
            </w:r>
          </w:p>
        </w:tc>
        <w:tc>
          <w:tcPr>
            <w:tcW w:w="200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Percentage Earned (%)</w:t>
            </w:r>
          </w:p>
        </w:tc>
        <w:tc>
          <w:tcPr>
            <w:tcW w:w="212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Number of PRSUs Earned</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2022 (Final Measurement Period)</w:t>
            </w:r>
            <w:r>
              <w:rPr>
                <w:rFonts w:ascii="Tenorite;sans-serif" w:hAnsi="Tenorite;sans-serif"/>
                <w:b/>
                <w:color w:val="2D3243"/>
                <w:sz w:val="10"/>
              </w:rPr>
              <w:t>(2)</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shd w:fill="F0F1F2"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2023 (Second Measurement Period)</w:t>
            </w:r>
            <w:r>
              <w:rPr>
                <w:rFonts w:ascii="Tenorite;sans-serif" w:hAnsi="Tenorite;sans-serif"/>
                <w:b/>
                <w:color w:val="2D3243"/>
                <w:sz w:val="10"/>
              </w:rPr>
              <w:t>(3)</w:t>
            </w:r>
          </w:p>
        </w:tc>
        <w:tc>
          <w:tcPr>
            <w:tcW w:w="16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2.9 </w:t>
            </w:r>
          </w:p>
        </w:tc>
        <w:tc>
          <w:tcPr>
            <w:tcW w:w="80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1086"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141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71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2024 (First Measurement Period)</w:t>
            </w:r>
          </w:p>
        </w:tc>
        <w:tc>
          <w:tcPr>
            <w:tcW w:w="1600"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1.5 </w:t>
            </w:r>
          </w:p>
        </w:tc>
        <w:tc>
          <w:tcPr>
            <w:tcW w:w="802"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1086" w:type="dxa"/>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1416"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711"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1.Our RTSR ranking differs for each grant year because the S&amp;P Software and Services Select Index component companies are set on January 1 of the applicable grant year and thus the composition of the S&amp;P Software and Services Select Index will differ for each grant.</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2.Because Messrs. Michael Burkland, Dignan and Kozanian were not executive officers at the time PRSU awards were granted in February 2022, they did not receive a 2022 PRSU award. </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3.Because Mr. Dignan was not an executive officer at the time PRSU awards were granted in February 2023, he did not receive a 2023 PRSU award.</w:t>
      </w:r>
    </w:p>
    <w:p>
      <w:pPr>
        <w:pStyle w:val="TextBody"/>
        <w:bidi w:val="0"/>
        <w:spacing w:lineRule="auto" w:line="288" w:before="0" w:after="120"/>
        <w:jc w:val="left"/>
        <w:rPr>
          <w:rFonts w:ascii="Lato;sans-serif" w:hAnsi="Lato;sans-serif"/>
          <w:b/>
          <w:color w:val="2D3243"/>
          <w:sz w:val="18"/>
          <w:u w:val="single"/>
        </w:rPr>
      </w:pPr>
      <w:r>
        <w:rPr>
          <w:rFonts w:ascii="Lato;sans-serif" w:hAnsi="Lato;sans-serif"/>
          <w:b/>
          <w:color w:val="2D3243"/>
          <w:sz w:val="18"/>
          <w:u w:val="single"/>
        </w:rPr>
        <w:t>Performance-Based Equity Awards - Daniel Burkland's Revenue-Based PRSU Award</w:t>
      </w:r>
    </w:p>
    <w:p>
      <w:pPr>
        <w:pStyle w:val="TextBody"/>
        <w:bidi w:val="0"/>
        <w:spacing w:lineRule="auto" w:line="384" w:before="120" w:after="180"/>
        <w:jc w:val="left"/>
        <w:rPr>
          <w:rFonts w:ascii="Tenorite;sans-serif" w:hAnsi="Tenorite;sans-serif"/>
          <w:b w:val="false"/>
          <w:color w:val="2D3243"/>
          <w:sz w:val="18"/>
        </w:rPr>
      </w:pPr>
      <w:r>
        <w:rPr>
          <w:rFonts w:ascii="Tenorite;sans-serif" w:hAnsi="Tenorite;sans-serif"/>
          <w:b w:val="false"/>
          <w:color w:val="2D3243"/>
          <w:sz w:val="18"/>
        </w:rPr>
        <w:t xml:space="preserve">On February 14, 2024, the Compensation Committee certified that, as of December 31, 2023, the second revenue target of Mr. Daniel Burkland’s PRSUs subject to revenue-based performance conditions was not achieved, and cancelled the PRSUs associated with the second revenue target. The following table shows the number of PRSUs which were conditionally earned as of October 31, 2023 and vested in four quarterly installments, with the vesting of the first installment occurring on October 31, 2023. </w:t>
      </w:r>
    </w:p>
    <w:tbl>
      <w:tblPr>
        <w:tblW w:w="10205" w:type="dxa"/>
        <w:jc w:val="left"/>
        <w:tblInd w:w="0" w:type="dxa"/>
        <w:tblLayout w:type="fixed"/>
        <w:tblCellMar>
          <w:top w:w="28" w:type="dxa"/>
          <w:left w:w="28" w:type="dxa"/>
          <w:bottom w:w="28" w:type="dxa"/>
          <w:right w:w="28" w:type="dxa"/>
        </w:tblCellMar>
      </w:tblPr>
      <w:tblGrid>
        <w:gridCol w:w="517"/>
        <w:gridCol w:w="451"/>
        <w:gridCol w:w="460"/>
        <w:gridCol w:w="324"/>
        <w:gridCol w:w="324"/>
        <w:gridCol w:w="326"/>
        <w:gridCol w:w="1057"/>
        <w:gridCol w:w="1057"/>
        <w:gridCol w:w="1059"/>
        <w:gridCol w:w="631"/>
        <w:gridCol w:w="600"/>
        <w:gridCol w:w="597"/>
        <w:gridCol w:w="734"/>
        <w:gridCol w:w="734"/>
        <w:gridCol w:w="736"/>
        <w:gridCol w:w="109"/>
        <w:gridCol w:w="109"/>
        <w:gridCol w:w="109"/>
        <w:gridCol w:w="109"/>
        <w:gridCol w:w="162"/>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Grant Date</w:t>
            </w:r>
          </w:p>
        </w:tc>
        <w:tc>
          <w:tcPr>
            <w:tcW w:w="3173" w:type="dxa"/>
            <w:gridSpan w:val="3"/>
            <w:vMerge w:val="restart"/>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PRSUs Granted (Performance-Based) </w:t>
              <w:br/>
              <w:t>(#)</w:t>
            </w:r>
          </w:p>
        </w:tc>
        <w:tc>
          <w:tcPr>
            <w:tcW w:w="4032" w:type="dxa"/>
            <w:gridSpan w:val="6"/>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Certified Achieved</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NEO</w:t>
            </w:r>
          </w:p>
        </w:tc>
        <w:tc>
          <w:tcPr>
            <w:tcW w:w="974" w:type="dxa"/>
            <w:gridSpan w:val="3"/>
            <w:vMerge w:val="continue"/>
            <w:tcBorders/>
            <w:shd w:fill="2A4CF9" w:val="clear"/>
            <w:tcMar>
              <w:top w:w="0" w:type="dxa"/>
              <w:left w:w="0" w:type="dxa"/>
              <w:bottom w:w="0" w:type="dxa"/>
              <w:right w:w="0" w:type="dxa"/>
            </w:tcMar>
            <w:vAlign w:val="center"/>
          </w:tcPr>
          <w:p>
            <w:pPr>
              <w:pStyle w:val="Normal"/>
              <w:bidi w:val="0"/>
              <w:jc w:val="left"/>
              <w:rPr/>
            </w:pPr>
            <w:r>
              <w:rPr/>
            </w:r>
          </w:p>
        </w:tc>
        <w:tc>
          <w:tcPr>
            <w:tcW w:w="3173" w:type="dxa"/>
            <w:gridSpan w:val="3"/>
            <w:vMerge w:val="continue"/>
            <w:tcBorders/>
            <w:shd w:fill="2A4CF9" w:val="clear"/>
            <w:tcMar>
              <w:top w:w="0" w:type="dxa"/>
              <w:left w:w="0" w:type="dxa"/>
              <w:bottom w:w="0" w:type="dxa"/>
              <w:right w:w="0" w:type="dxa"/>
            </w:tcMar>
            <w:vAlign w:val="center"/>
          </w:tcPr>
          <w:p>
            <w:pPr>
              <w:pStyle w:val="Normal"/>
              <w:bidi w:val="0"/>
              <w:jc w:val="left"/>
              <w:rPr/>
            </w:pPr>
            <w:r>
              <w:rPr/>
            </w:r>
          </w:p>
        </w:tc>
        <w:tc>
          <w:tcPr>
            <w:tcW w:w="1828"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First Revenue Target </w:t>
              <w:br/>
              <w:t>(#)</w:t>
            </w:r>
          </w:p>
        </w:tc>
        <w:tc>
          <w:tcPr>
            <w:tcW w:w="220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Second Revenue Target (#)</w:t>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Daniel Burkland</w:t>
            </w:r>
          </w:p>
        </w:tc>
        <w:tc>
          <w:tcPr>
            <w:tcW w:w="974"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6/2/2022</w:t>
            </w:r>
          </w:p>
        </w:tc>
        <w:tc>
          <w:tcPr>
            <w:tcW w:w="2114"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60,963 </w:t>
            </w:r>
          </w:p>
        </w:tc>
        <w:tc>
          <w:tcPr>
            <w:tcW w:w="1059"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20,321 </w:t>
            </w:r>
          </w:p>
        </w:tc>
        <w:tc>
          <w:tcPr>
            <w:tcW w:w="597"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736"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0"/>
        <w:jc w:val="left"/>
        <w:rPr>
          <w:rFonts w:ascii="Lato;sans-serif" w:hAnsi="Lato;sans-serif"/>
          <w:b/>
          <w:color w:val="2D3243"/>
          <w:sz w:val="18"/>
          <w:u w:val="single"/>
        </w:rPr>
      </w:pPr>
      <w:r>
        <w:rPr>
          <w:rFonts w:ascii="Lato;sans-serif" w:hAnsi="Lato;sans-serif"/>
          <w:b/>
          <w:color w:val="2D3243"/>
          <w:sz w:val="18"/>
          <w:u w:val="single"/>
        </w:rPr>
        <w:t>Performance-Based Equity Awards - 2023 Measurement Period</w:t>
      </w:r>
    </w:p>
    <w:p>
      <w:pPr>
        <w:pStyle w:val="TextBody"/>
        <w:bidi w:val="0"/>
        <w:spacing w:lineRule="auto" w:line="384" w:before="120" w:after="180"/>
        <w:jc w:val="left"/>
        <w:rPr>
          <w:rFonts w:ascii="Tenorite;sans-serif" w:hAnsi="Tenorite;sans-serif"/>
          <w:b w:val="false"/>
          <w:color w:val="2D3243"/>
          <w:sz w:val="18"/>
        </w:rPr>
      </w:pPr>
      <w:r>
        <w:rPr>
          <w:rFonts w:ascii="Tenorite;sans-serif" w:hAnsi="Tenorite;sans-serif"/>
          <w:b w:val="false"/>
          <w:color w:val="2D3243"/>
          <w:sz w:val="18"/>
        </w:rPr>
        <w:t>On February 14, 2024, the Compensation Committee certified the performance results for the 2023 measurement period (that is, the period from January 1, 2023, through December 31, 2023) for the market-based PRSUs granted to our then-NEOs in 2022 and 2023. The Compensation Committee determined that its actual total shareholder return was 19.95% for 2023 with resulting RTSR rankings and payouts as summarized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40410"/>
                <wp:effectExtent l="0" t="0" r="0" b="0"/>
                <wp:wrapNone/>
                <wp:docPr id="100" name="Frame6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tbl>
      <w:tblPr>
        <w:tblW w:w="10205" w:type="dxa"/>
        <w:jc w:val="left"/>
        <w:tblInd w:w="0" w:type="dxa"/>
        <w:tblLayout w:type="fixed"/>
        <w:tblCellMar>
          <w:top w:w="28" w:type="dxa"/>
          <w:left w:w="28" w:type="dxa"/>
          <w:bottom w:w="28" w:type="dxa"/>
          <w:right w:w="28" w:type="dxa"/>
        </w:tblCellMar>
      </w:tblPr>
      <w:tblGrid>
        <w:gridCol w:w="989"/>
        <w:gridCol w:w="654"/>
        <w:gridCol w:w="555"/>
        <w:gridCol w:w="580"/>
        <w:gridCol w:w="580"/>
        <w:gridCol w:w="581"/>
        <w:gridCol w:w="970"/>
        <w:gridCol w:w="970"/>
        <w:gridCol w:w="972"/>
        <w:gridCol w:w="352"/>
        <w:gridCol w:w="352"/>
        <w:gridCol w:w="832"/>
        <w:gridCol w:w="623"/>
        <w:gridCol w:w="515"/>
        <w:gridCol w:w="517"/>
        <w:gridCol w:w="163"/>
      </w:tblGrid>
      <w:tr>
        <w:trPr/>
        <w:tc>
          <w:tcPr>
            <w:tcW w:w="98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PRSU Grant Year / NEO</w:t>
            </w:r>
          </w:p>
        </w:tc>
        <w:tc>
          <w:tcPr>
            <w:tcW w:w="1741"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center"/>
              <w:rPr/>
            </w:pPr>
            <w:r>
              <w:rPr>
                <w:rFonts w:ascii="Tenorite;sans-serif" w:hAnsi="Tenorite;sans-serif"/>
                <w:b/>
                <w:color w:val="FFFFFF"/>
                <w:sz w:val="16"/>
              </w:rPr>
              <w:t>RTSR Ranking (percentile)</w:t>
            </w:r>
            <w:r>
              <w:rPr>
                <w:rFonts w:ascii="Tenorite;sans-serif" w:hAnsi="Tenorite;sans-serif"/>
                <w:b/>
                <w:color w:val="FFFFFF"/>
                <w:sz w:val="10"/>
              </w:rPr>
              <w:t>(1)</w:t>
            </w:r>
          </w:p>
        </w:tc>
        <w:tc>
          <w:tcPr>
            <w:tcW w:w="291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Target Number of PRSUs for the 2023 Measurement Period</w:t>
            </w:r>
          </w:p>
        </w:tc>
        <w:tc>
          <w:tcPr>
            <w:tcW w:w="153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Percentage Earned (%)</w:t>
            </w:r>
          </w:p>
        </w:tc>
        <w:tc>
          <w:tcPr>
            <w:tcW w:w="1655"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color w:val="FFFFFF"/>
                <w:sz w:val="16"/>
              </w:rPr>
            </w:pPr>
            <w:r>
              <w:rPr>
                <w:rFonts w:ascii="Tenorite;sans-serif" w:hAnsi="Tenorite;sans-serif"/>
                <w:b/>
                <w:color w:val="FFFFFF"/>
                <w:sz w:val="16"/>
              </w:rPr>
              <w:t>Number of PRSUs Earned (#)</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2022 (Second Measurement Period)</w:t>
            </w:r>
            <w:r>
              <w:rPr>
                <w:rFonts w:ascii="Tenorite;sans-serif" w:hAnsi="Tenorite;sans-serif"/>
                <w:b/>
                <w:color w:val="2D3243"/>
                <w:sz w:val="10"/>
              </w:rPr>
              <w:t>(2)</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53.8 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98.0 </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Barry Zwarenstein</w:t>
            </w:r>
          </w:p>
        </w:tc>
        <w:tc>
          <w:tcPr>
            <w:tcW w:w="174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2,348 </w:t>
            </w:r>
          </w:p>
        </w:tc>
        <w:tc>
          <w:tcPr>
            <w:tcW w:w="97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2,301 </w:t>
            </w:r>
          </w:p>
        </w:tc>
        <w:tc>
          <w:tcPr>
            <w:tcW w:w="51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Daniel Burkland</w:t>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2,684 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2,630 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0F1F2" w:val="clear"/>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6"/>
              </w:rPr>
              <w:t>2023 (First Measurement Period)</w:t>
            </w:r>
            <w:r>
              <w:rPr>
                <w:rFonts w:ascii="Tenorite;sans-serif" w:hAnsi="Tenorite;sans-serif"/>
                <w:b/>
                <w:color w:val="2D3243"/>
                <w:sz w:val="10"/>
              </w:rPr>
              <w:t>(3)</w:t>
            </w:r>
          </w:p>
        </w:tc>
        <w:tc>
          <w:tcPr>
            <w:tcW w:w="116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50.5 </w:t>
            </w:r>
          </w:p>
        </w:tc>
        <w:tc>
          <w:tcPr>
            <w:tcW w:w="5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92.5 </w:t>
            </w:r>
          </w:p>
        </w:tc>
        <w:tc>
          <w:tcPr>
            <w:tcW w:w="832"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w:t>
            </w:r>
          </w:p>
        </w:tc>
        <w:tc>
          <w:tcPr>
            <w:tcW w:w="1655"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Michael Burkland</w:t>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74,966 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69,343 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Barry Zwarenstein</w:t>
            </w:r>
          </w:p>
        </w:tc>
        <w:tc>
          <w:tcPr>
            <w:tcW w:w="174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3,806 </w:t>
            </w:r>
          </w:p>
        </w:tc>
        <w:tc>
          <w:tcPr>
            <w:tcW w:w="972"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3,520 </w:t>
            </w:r>
          </w:p>
        </w:tc>
        <w:tc>
          <w:tcPr>
            <w:tcW w:w="51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Daniel Burkland</w:t>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4,168 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3,855 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Panos Kozanian</w:t>
            </w:r>
          </w:p>
        </w:tc>
        <w:tc>
          <w:tcPr>
            <w:tcW w:w="1741" w:type="dxa"/>
            <w:gridSpan w:val="3"/>
            <w:tcBorders>
              <w:bottom w:val="single" w:sz="8" w:space="0" w:color="2A4CF9"/>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3,999 </w:t>
            </w:r>
          </w:p>
        </w:tc>
        <w:tc>
          <w:tcPr>
            <w:tcW w:w="972"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2A4CF9"/>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3,699 </w:t>
            </w:r>
          </w:p>
        </w:tc>
        <w:tc>
          <w:tcPr>
            <w:tcW w:w="517"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1.Our RTSR ranking differs for each grant year because the S&amp;P Software and Services Select Index component companies are set on January 1 of the applicable grant year and thus the composition of the S&amp;P Software and Services Select Index will differ for each grant.</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2.Because Messrs. Michael Burkland, Dignan and Kozanian were not executive officers at the time PRSU awards were granted in February 2022, they did not receive a 2022 PRSU award. </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3.Because Mr. Dignan was not an executive officer at the time PRSU awards were granted in February 2023, he did not receive a 2023 PRSU award.</w:t>
      </w:r>
    </w:p>
    <w:p>
      <w:pPr>
        <w:pStyle w:val="TextBody"/>
        <w:bidi w:val="0"/>
        <w:spacing w:lineRule="auto" w:line="288" w:before="0" w:after="120"/>
        <w:jc w:val="left"/>
        <w:rPr>
          <w:rFonts w:ascii="Tenorite;sans-serif" w:hAnsi="Tenorite;sans-serif"/>
          <w:b/>
          <w:i/>
          <w:color w:val="2D3243"/>
          <w:sz w:val="20"/>
        </w:rPr>
      </w:pPr>
      <w:r>
        <w:rPr>
          <w:rFonts w:ascii="Tenorite;sans-serif" w:hAnsi="Tenorite;sans-serif"/>
          <w:b/>
          <w:i/>
          <w:color w:val="2D3243"/>
          <w:sz w:val="20"/>
        </w:rPr>
        <w:t>Health, Welfare, and Other Benefits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We currently do not provide special employee benefits for our NEOs. We do maintain a Section 401(k) retirement savings plan that provides eligible employees, including our NEOs, with an opportunity to save for retirement, subject to applicable annual limits of the Internal Revenue Code of 1986, as amended (the “Code”). We provide matching contributions in cash under the Section 401(k) plan, not to exceed $500 per participant per quarter. Consistent with market practices and our retention goals, we also provide standard health and welfare benefits to our NEOs generally on the same terms and conditions as our other employees. However, under his employment offer letter, our CEO receives Company-paid healthcare benefits (for himself, his spouse, and eligible dependents) during and following his service as our CEO or as a director, generally on the same basis as was previously provided under his prior Chairman agreement.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Each of our NEOs is employed on an "at-will" basis.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Perquisites and Other Personal Benefits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Currently, the only perquisites or other personal benefits we provide to our NEOs are standard relocation benefits if applicable. In the future, we may provide other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Key Employee Severance Plan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As of December 31, 2024, each of our NEOs (other than Mr. Daniel Burkland, who was not eligible to participate in the plan because he ceased to be an executive officer as of November 7, 2024) was eligible to participate in our 2019 Key Employee Severance Plan (the “Severance Plan”), which provides severance payments and benefits, including “double trigger” payments and benefits in the event of a qualifying termination of employment in connection with a change of control of the Company, as more fully described under “Potential Payments Upon Termination or Change of Control” below. The Compensation Committee believes the Severance Plan maximizes stockholder value because it prevents an unintended windfall to our executive officers in the event of a change of control of the Company, while still providing them appropriate incentives to cooperate in negotiating a transaction involving a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40410"/>
                <wp:effectExtent l="0" t="0" r="0" b="0"/>
                <wp:wrapNone/>
                <wp:docPr id="101" name="Frame6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change of control in which they believe they may lose their jobs. We believe providing the Severance Plan helps us compete for and retain executive talent. We believe that the payments and benefits under the Severance Plan are generally comparable with severance packages offered to the comparable executives of the companies in our compensation peer group.</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Severance Plan was set to expire by its terms on April 4, 2025. After consultation with Compensia to confirm that the payments and benefits under the Severance Plan are still competitive and its terms are consistent with best practices, in February 2025, the Compensation Committee approved an extension of our Severance Plan for an additional two-year period (i.e., through April 4, 2027) on its existing terms. These extensions reflect the Compensation Committee’s commitment to ensuring that our executive retention strategy remains competitive while continuing to align with stockholder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Additional Policies and Considerations in our Executive Compensation Program</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Policies and Practices Regarding the Grant of Equity Awards - Equity Award Grant Policy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Compensation Committee has adopted an equity award grant policy that establishes a predictable and deliberative process for consideration and approval of equity awards. Under the policy, new hire, promotion or retention equity awards generally have a grant date that is two calendar weeks after the later of the date on which the recipient's employment begins, promotion is effective, or retention event occurs and the date on which all necessary corporate actions for the approval of the applicable equity award are complete. Regular annual "refresh" equity awards have a grant date that is on or after the date of approval of the equity award by the Compensation Committee. The equity award grant policy also includes rules on how we calculate the number of shares of our Common Stock subject to equity awards granted based on a target grant date dollar value.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exercise price of all newly issued stock options and stock appreciation rights must be equal to or greater than the fair market value of our Common Stock on the date of grant.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Under the Equity Grant Policy, we do not grant “refresh” equity awards or any stock options during blackout periods under our Insider Trading Policy or during the pendency of any additional trading restrictions imposed under the Company’s Insider Trading Policy. Instead, the grant date for such refresh equity awards and stock option awards is delayed until the later of (i) the third trading day following the day on which the Company’s quarterly financial results for the relevant quarter are publicly disclosed or (ii) the date on which the trading window otherwise opens (i.e., when any additional trading restrictions imposed under the Company’s Insider Trading Policy have been terminated). This Policy is intended to ensure that the Company does not grant refresh equity awards or stock option awards close in time to the release of material nonpublic information.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During 2024, the Company did not grant any stock options, and accordingly, no stock options were granted during any period beginning four business days before and ending one business day after the filing of any Company periodic report on Form 10-Q or Form 10-K, or the filing or furnishing of any Company Form 8-K that disclosed any material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40410"/>
                <wp:effectExtent l="0" t="0" r="0" b="0"/>
                <wp:wrapNone/>
                <wp:docPr id="102" name="Frame6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Director and Executive Officer Stock Ownership Guidelines</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 xml:space="preserve">We maintain stock ownership guidelines (“Stock Ownership Guidelines”) for our non-employee directors and executive officers. The Compensation Committee adopted the Stock Ownership Guidelines because it believes that stock ownership promotes alignment with the interests of our stockholders. The Stock Ownership Guidelines are based on the lesser of a multiple of base salary (or cash retainer, in the case of non-employee directors) and a fixed number of shares of our Common Stock, as set forth below, provided that if the closing price of our Common Stock on any compliance measurement date is less than $10 per share, only the share-based guidelines apply: </w:t>
      </w:r>
    </w:p>
    <w:tbl>
      <w:tblPr>
        <w:tblW w:w="7183" w:type="dxa"/>
        <w:jc w:val="left"/>
        <w:tblInd w:w="0" w:type="dxa"/>
        <w:tblLayout w:type="fixed"/>
        <w:tblCellMar>
          <w:top w:w="28" w:type="dxa"/>
          <w:left w:w="28" w:type="dxa"/>
          <w:bottom w:w="28" w:type="dxa"/>
          <w:right w:w="28" w:type="dxa"/>
        </w:tblCellMar>
      </w:tblPr>
      <w:tblGrid>
        <w:gridCol w:w="851"/>
        <w:gridCol w:w="747"/>
        <w:gridCol w:w="756"/>
        <w:gridCol w:w="1413"/>
        <w:gridCol w:w="1413"/>
        <w:gridCol w:w="2003"/>
      </w:tblGrid>
      <w:tr>
        <w:trPr/>
        <w:tc>
          <w:tcPr>
            <w:tcW w:w="8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48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Position</w:t>
            </w:r>
          </w:p>
        </w:tc>
        <w:tc>
          <w:tcPr>
            <w:tcW w:w="4829"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Guidelines</w:t>
            </w:r>
          </w:p>
        </w:tc>
      </w:tr>
      <w:tr>
        <w:trPr/>
        <w:tc>
          <w:tcPr>
            <w:tcW w:w="235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Directors</w:t>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Lesser of 300% of annual retainer or 9,000 shares</w:t>
            </w:r>
          </w:p>
        </w:tc>
      </w:tr>
      <w:tr>
        <w:trPr/>
        <w:tc>
          <w:tcPr>
            <w:tcW w:w="2354"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CEO</w:t>
            </w:r>
          </w:p>
        </w:tc>
        <w:tc>
          <w:tcPr>
            <w:tcW w:w="4829"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Lesser of 300% of annual base salary or 160,000 shares</w:t>
            </w:r>
          </w:p>
        </w:tc>
      </w:tr>
      <w:tr>
        <w:trPr/>
        <w:tc>
          <w:tcPr>
            <w:tcW w:w="2354"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Other Executive Officers</w:t>
            </w:r>
          </w:p>
        </w:tc>
        <w:tc>
          <w:tcPr>
            <w:tcW w:w="4829"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Lesser of 100% of annual base salary or 30,000 shares</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Shares owned plus vested, in the money, stock options are counted towards satisfying the ownership requirement. Our non-employee directors and executive officers are expected to meet their respective ownership requirements by the later of five years after the Stock Ownership Guidelines were adopted or within five years after being appointed, hired or promoted into a role covered by the Stock Ownership Guidelines. Compliance with the Stock Ownership Guidelines is measured at the end of each year using our 90-trading day average stock price. As of December 31, 2024, all of our non-employee directors and NEOs had satisfied their applicable ownership requirement, except for Ms. Iskow, Mr. Gupta, Mr. Kozanian, and Ms. Walker, all of whom have until five years from the dates of their respective appointments to our Board of Directors or as an executive officer to satisfy such requirements.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Derivatives Trading and Hedging Policy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Our Insider Trading Policy includes a policy regarding the trading of derivatives and the hedging of our equity securities by our employees, including our NEOs, and the non-employee members of the Board of Directors. This policy provides that all employees and the non-employee members of the Board of Directors are prohibited from engaging in transactions that are of a speculative nature at any time. Furthermore, all employees, including our NEOs, and the non-employee members of the Board of Directors are prohibited from engaging in hedging transactions involving our securities, including forward sale or purchase contracts, equity swaps, collars or exchange funds. In addition, all employees, including our NEOs, and the non-employee members of the Board of Directors are prohibited from short-selling our Common Stock or engaging in transactions involving our derivative securities (including put option contracts, transacting in straddles, and the like).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Pledging Policy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Our Insider Trading Policy includes a policy that prohibits all employees, including our NEOs, and the non-employee members of the Board of Directors from holding our securities in a margin account or pledging our securities as collateral for a loan. </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Compensation Recovery ("Clawback") Policy</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Effective October 31, 2023, we adopted a policy requiring recoupment of any excess cash or equity-based incentive compensation paid to our current and former Section 16 officers where the payments were predicated upon the achievement of financial results that were subsequently the subject of a financial restatement. This clawback policy is intended to comply with the NASDAQ listing standards as required under the final rules adopted by the SEC implementing Section 10D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40410"/>
                <wp:effectExtent l="0" t="0" r="0" b="0"/>
                <wp:wrapNone/>
                <wp:docPr id="103" name="Frame6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Tax and Accounting Considerations</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 xml:space="preserve">Taxation of “Parachute” Payments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we (or a successor) may forfeit a deduction on the amounts subject to this additional tax. We are not obligated to provide any NEO with a “gross-up” or other reimbursement payment for any tax liability that he or she may owe as a result of the application of Sections 280G or 4999 in the event of a change in control of the Company. </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Accounting for Stock-Based Compensation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Compensation Committee considers the accounting impact of equity awards when designing compensation plans and arrangements for our executive officers and other employees. Chief among these is FASB ASC Topic 718, the standard which governs the accounting treatment of stock-based compensation awards. However, accounting cost is just one factor considered when designing such compensation plans and arrangements for our NEOs and other employees.</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Compensation-Related Risks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July 2024, the Compensation Committee, with the assistance of Compensia, reviewed our compensation policies and practices applicable to all employees and determined that our compensation programs do not encourage excessive or inappropriate risk-taking. The Compensation Committee believes that our compensation policies and practices, taken as a whole, are not reasonably likely to have a material adverse effect on the Company and that no changes to the compensation policies and practices are needed at this time, and that the design and mix of our compensation programs appropriately encourages our executive officers and other employees to focus on the creation of long-term stockholder value. In its review, the Compensation Committee noted the following features: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the compensation programs include a reasonable mix of cash, short-term incentive and equity compensation, with the vesting of equity compensation tied to multi-year time periods;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the performance goals for the 2024 Bonus Program are based on corporate goals, and for Mr. Kozanian, individual performance, with payouts capped if the corporate goals are achieved above a certain threshold; and</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we have formal policies in place for equity administration, insider trading, hedging, pledging and clawback, and stock ownership guidelines, and we annually review succession plans for key executives.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40410"/>
                <wp:effectExtent l="0" t="0" r="0" b="0"/>
                <wp:wrapNone/>
                <wp:docPr id="104" name="Frame6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2024 Summary Compensation Table </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 following table summarizes all compensation for the fiscal years ended December 31, 2024, 2023 and 2022, as applicable, earned by, received by, or paid to our NEOs (as identified in the Compensation Discussion and Analysis section).</w:t>
      </w:r>
    </w:p>
    <w:tbl>
      <w:tblPr>
        <w:tblW w:w="11044" w:type="dxa"/>
        <w:jc w:val="left"/>
        <w:tblInd w:w="0" w:type="dxa"/>
        <w:tblLayout w:type="fixed"/>
        <w:tblCellMar>
          <w:top w:w="28" w:type="dxa"/>
          <w:left w:w="28" w:type="dxa"/>
          <w:bottom w:w="28" w:type="dxa"/>
          <w:right w:w="28" w:type="dxa"/>
        </w:tblCellMar>
      </w:tblPr>
      <w:tblGrid>
        <w:gridCol w:w="657"/>
        <w:gridCol w:w="301"/>
        <w:gridCol w:w="303"/>
        <w:gridCol w:w="185"/>
        <w:gridCol w:w="185"/>
        <w:gridCol w:w="186"/>
        <w:gridCol w:w="413"/>
        <w:gridCol w:w="413"/>
        <w:gridCol w:w="226"/>
        <w:gridCol w:w="230"/>
        <w:gridCol w:w="230"/>
        <w:gridCol w:w="231"/>
        <w:gridCol w:w="540"/>
        <w:gridCol w:w="541"/>
        <w:gridCol w:w="281"/>
        <w:gridCol w:w="546"/>
        <w:gridCol w:w="280"/>
        <w:gridCol w:w="281"/>
        <w:gridCol w:w="495"/>
        <w:gridCol w:w="495"/>
        <w:gridCol w:w="496"/>
        <w:gridCol w:w="495"/>
        <w:gridCol w:w="495"/>
        <w:gridCol w:w="496"/>
        <w:gridCol w:w="540"/>
        <w:gridCol w:w="541"/>
        <w:gridCol w:w="481"/>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 and Principal Position</w:t>
            </w:r>
          </w:p>
        </w:tc>
        <w:tc>
          <w:tcPr>
            <w:tcW w:w="556"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center"/>
              <w:rPr/>
            </w:pPr>
            <w:r>
              <w:rPr>
                <w:rFonts w:ascii="Tenorite;sans-serif" w:hAnsi="Tenorite;sans-serif"/>
                <w:b/>
                <w:color w:val="FFFFFF"/>
                <w:sz w:val="16"/>
              </w:rPr>
              <w:t>Year</w:t>
            </w:r>
            <w:r>
              <w:rPr>
                <w:rFonts w:ascii="Tenorite;sans-serif" w:hAnsi="Tenorite;sans-serif"/>
                <w:b/>
                <w:color w:val="FFFFFF"/>
                <w:sz w:val="10"/>
              </w:rPr>
              <w:t>(1)</w:t>
            </w:r>
          </w:p>
        </w:tc>
        <w:tc>
          <w:tcPr>
            <w:tcW w:w="105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Salary</w:t>
              <w:br/>
              <w:t>($)</w:t>
            </w:r>
          </w:p>
        </w:tc>
        <w:tc>
          <w:tcPr>
            <w:tcW w:w="69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Bonus</w:t>
              <w:br/>
              <w:t>($)</w:t>
            </w:r>
          </w:p>
        </w:tc>
        <w:tc>
          <w:tcPr>
            <w:tcW w:w="1362"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Stock</w:t>
            </w:r>
          </w:p>
          <w:p>
            <w:pPr>
              <w:pStyle w:val="TableContents"/>
              <w:bidi w:val="0"/>
              <w:spacing w:lineRule="auto" w:line="288" w:before="0" w:after="0"/>
              <w:jc w:val="right"/>
              <w:rPr/>
            </w:pPr>
            <w:r>
              <w:rPr>
                <w:rFonts w:ascii="Tenorite;sans-serif" w:hAnsi="Tenorite;sans-serif"/>
                <w:b/>
                <w:color w:val="FFFFFF"/>
                <w:sz w:val="16"/>
              </w:rPr>
              <w:t>Awards</w:t>
            </w:r>
            <w:r>
              <w:rPr>
                <w:rFonts w:ascii="Tenorite;sans-serif" w:hAnsi="Tenorite;sans-serif"/>
                <w:b/>
                <w:color w:val="FFFFFF"/>
                <w:sz w:val="10"/>
              </w:rPr>
              <w:t>(1)(2)</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110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Option Awards</w:t>
            </w:r>
            <w:r>
              <w:rPr>
                <w:rFonts w:ascii="Tenorite;sans-serif" w:hAnsi="Tenorite;sans-serif"/>
                <w:b/>
                <w:color w:val="FFFFFF"/>
                <w:sz w:val="10"/>
              </w:rPr>
              <w:t>(1)</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1486"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Non-Equity Incentive Plan Compensation</w:t>
            </w:r>
            <w:r>
              <w:rPr>
                <w:rFonts w:ascii="Tenorite;sans-serif" w:hAnsi="Tenorite;sans-serif"/>
                <w:b/>
                <w:color w:val="FFFFFF"/>
                <w:sz w:val="10"/>
              </w:rPr>
              <w:t>(3)</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1486"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All Other</w:t>
            </w:r>
          </w:p>
          <w:p>
            <w:pPr>
              <w:pStyle w:val="TableContents"/>
              <w:bidi w:val="0"/>
              <w:spacing w:lineRule="auto" w:line="288" w:before="0" w:after="0"/>
              <w:jc w:val="right"/>
              <w:rPr/>
            </w:pPr>
            <w:r>
              <w:rPr>
                <w:rFonts w:ascii="Tenorite;sans-serif" w:hAnsi="Tenorite;sans-serif"/>
                <w:b/>
                <w:color w:val="FFFFFF"/>
                <w:sz w:val="16"/>
              </w:rPr>
              <w:t>Compensation</w:t>
            </w:r>
            <w:r>
              <w:rPr>
                <w:rFonts w:ascii="Tenorite;sans-serif" w:hAnsi="Tenorite;sans-serif"/>
                <w:b/>
                <w:color w:val="FFFFFF"/>
                <w:sz w:val="10"/>
              </w:rPr>
              <w:t>(4)</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156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Total</w:t>
              <w:br/>
              <w:t>Compensation</w:t>
              <w:br/>
              <w:t>($)</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Tenorite;sans-serif" w:hAnsi="Tenorite;sans-serif"/>
                <w:b/>
                <w:color w:val="2D3243"/>
                <w:sz w:val="16"/>
              </w:rPr>
            </w:pPr>
            <w:r>
              <w:rPr>
                <w:rFonts w:ascii="Tenorite;sans-serif" w:hAnsi="Tenorite;sans-serif"/>
                <w:b/>
                <w:color w:val="2D3243"/>
                <w:sz w:val="16"/>
              </w:rPr>
              <w:t>Michael Burkland</w:t>
            </w:r>
          </w:p>
          <w:p>
            <w:pPr>
              <w:pStyle w:val="TableContents"/>
              <w:bidi w:val="0"/>
              <w:spacing w:lineRule="auto" w:line="288" w:before="0" w:after="60"/>
              <w:jc w:val="left"/>
              <w:rPr>
                <w:rFonts w:ascii="Tenorite;sans-serif" w:hAnsi="Tenorite;sans-serif"/>
                <w:b w:val="false"/>
                <w:color w:val="2D3243"/>
                <w:sz w:val="16"/>
              </w:rPr>
            </w:pPr>
            <w:r>
              <w:rPr>
                <w:rFonts w:ascii="Tenorite;sans-serif" w:hAnsi="Tenorite;sans-serif"/>
                <w:b w:val="false"/>
                <w:color w:val="2D3243"/>
                <w:sz w:val="16"/>
              </w:rPr>
              <w:t>Chief Executive Officer</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2024</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585,000 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10,835,046 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572,715 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4,703 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11,997,464 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2023</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585,000 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610,211 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1,195,211 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2022</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55,398 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38,025,826 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13,732 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130,829 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38,225,785 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shd w:fill="F0F1F2" w:val="clear"/>
            <w:tcMar>
              <w:top w:w="0" w:type="dxa"/>
              <w:left w:w="0" w:type="dxa"/>
              <w:bottom w:w="0" w:type="dxa"/>
              <w:right w:w="0" w:type="dxa"/>
            </w:tcMar>
            <w:vAlign w:val="center"/>
          </w:tcPr>
          <w:p>
            <w:pPr>
              <w:pStyle w:val="TableContents"/>
              <w:bidi w:val="0"/>
              <w:spacing w:lineRule="auto" w:line="288" w:before="0" w:after="60"/>
              <w:jc w:val="left"/>
              <w:rPr>
                <w:rFonts w:ascii="Tenorite;sans-serif" w:hAnsi="Tenorite;sans-serif"/>
                <w:b/>
                <w:color w:val="2D3243"/>
                <w:sz w:val="16"/>
              </w:rPr>
            </w:pPr>
            <w:r>
              <w:rPr>
                <w:rFonts w:ascii="Tenorite;sans-serif" w:hAnsi="Tenorite;sans-serif"/>
                <w:b/>
                <w:color w:val="2D3243"/>
                <w:sz w:val="16"/>
              </w:rPr>
              <w:t>Barry Zwarenstein</w:t>
            </w:r>
          </w:p>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Former Chief Financial Officer</w:t>
            </w:r>
          </w:p>
        </w:tc>
        <w:tc>
          <w:tcPr>
            <w:tcW w:w="55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2024</w:t>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440,000 </w:t>
            </w:r>
          </w:p>
        </w:tc>
        <w:tc>
          <w:tcPr>
            <w:tcW w:w="2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3,336,454 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323,070 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405 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4,099,929 </w:t>
            </w:r>
          </w:p>
        </w:tc>
        <w:tc>
          <w:tcPr>
            <w:tcW w:w="4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55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2023</w:t>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430,000 </w:t>
            </w:r>
          </w:p>
        </w:tc>
        <w:tc>
          <w:tcPr>
            <w:tcW w:w="2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3,112,956 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332,329 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519 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3,875,804 </w:t>
            </w:r>
          </w:p>
        </w:tc>
        <w:tc>
          <w:tcPr>
            <w:tcW w:w="4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55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2022</w:t>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423,000 </w:t>
            </w:r>
          </w:p>
        </w:tc>
        <w:tc>
          <w:tcPr>
            <w:tcW w:w="2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5,444,918 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279,892 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530 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6,148,340 </w:t>
            </w:r>
          </w:p>
        </w:tc>
        <w:tc>
          <w:tcPr>
            <w:tcW w:w="4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Tenorite;sans-serif" w:hAnsi="Tenorite;sans-serif"/>
                <w:b/>
                <w:color w:val="2D3243"/>
                <w:sz w:val="16"/>
              </w:rPr>
            </w:pPr>
            <w:r>
              <w:rPr>
                <w:rFonts w:ascii="Tenorite;sans-serif" w:hAnsi="Tenorite;sans-serif"/>
                <w:b/>
                <w:color w:val="2D3243"/>
                <w:sz w:val="16"/>
              </w:rPr>
              <w:t>Daniel Burkland</w:t>
            </w:r>
          </w:p>
          <w:p>
            <w:pPr>
              <w:pStyle w:val="TableContents"/>
              <w:bidi w:val="0"/>
              <w:spacing w:lineRule="auto" w:line="288" w:before="0" w:after="0"/>
              <w:jc w:val="left"/>
              <w:rPr/>
            </w:pPr>
            <w:r>
              <w:rPr>
                <w:rFonts w:ascii="Tenorite;sans-serif" w:hAnsi="Tenorite;sans-serif"/>
                <w:b w:val="false"/>
                <w:color w:val="2D3243"/>
                <w:sz w:val="16"/>
              </w:rPr>
              <w:t>Former President and Chief Revenue Officer</w:t>
            </w:r>
            <w:r>
              <w:rPr>
                <w:rFonts w:ascii="Tenorite;sans-serif" w:hAnsi="Tenorite;sans-serif"/>
                <w:b w:val="false"/>
                <w:color w:val="2D3243"/>
                <w:sz w:val="10"/>
              </w:rPr>
              <w:t>(5)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2024</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420,562 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3,336,454 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395,158 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5,285 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4,157,459 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2023</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425,000 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3,408,659 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414,219 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4,440 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4,252,318 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2022</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14,188,668 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476,816 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4,293 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15,079,777 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color w:val="2D3243"/>
                <w:sz w:val="16"/>
              </w:rPr>
            </w:pPr>
            <w:r>
              <w:rPr>
                <w:rFonts w:ascii="Tenorite;sans-serif" w:hAnsi="Tenorite;sans-serif"/>
                <w:b/>
                <w:color w:val="2D3243"/>
                <w:sz w:val="16"/>
              </w:rPr>
              <w:t>Andy Dignan</w:t>
            </w:r>
          </w:p>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President and former Chief Operating Officer</w:t>
            </w:r>
          </w:p>
        </w:tc>
        <w:tc>
          <w:tcPr>
            <w:tcW w:w="55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2024</w:t>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446,000 </w:t>
            </w:r>
          </w:p>
        </w:tc>
        <w:tc>
          <w:tcPr>
            <w:tcW w:w="2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3,336,454 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327,476 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1,604 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4,111,534 </w:t>
            </w:r>
          </w:p>
        </w:tc>
        <w:tc>
          <w:tcPr>
            <w:tcW w:w="4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55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2023</w:t>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415,182 </w:t>
            </w:r>
          </w:p>
        </w:tc>
        <w:tc>
          <w:tcPr>
            <w:tcW w:w="2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4,582,799 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308,138 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1,921 </w:t>
            </w:r>
          </w:p>
        </w:tc>
        <w:tc>
          <w:tcPr>
            <w:tcW w:w="4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5,308,040 </w:t>
            </w:r>
          </w:p>
        </w:tc>
        <w:tc>
          <w:tcPr>
            <w:tcW w:w="4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bottom w:val="single" w:sz="8" w:space="0" w:color="2A4CF9"/>
            </w:tcBorders>
            <w:tcMar>
              <w:top w:w="0" w:type="dxa"/>
              <w:left w:w="0" w:type="dxa"/>
              <w:bottom w:w="30" w:type="dxa"/>
              <w:right w:w="0" w:type="dxa"/>
            </w:tcMar>
            <w:vAlign w:val="center"/>
          </w:tcPr>
          <w:p>
            <w:pPr>
              <w:pStyle w:val="TableContents"/>
              <w:bidi w:val="0"/>
              <w:spacing w:lineRule="auto" w:line="288" w:before="0" w:after="0"/>
              <w:jc w:val="left"/>
              <w:rPr>
                <w:rFonts w:ascii="Tenorite;sans-serif" w:hAnsi="Tenorite;sans-serif"/>
                <w:b/>
                <w:color w:val="2D3243"/>
                <w:sz w:val="16"/>
              </w:rPr>
            </w:pPr>
            <w:r>
              <w:rPr>
                <w:rFonts w:ascii="Tenorite;sans-serif" w:hAnsi="Tenorite;sans-serif"/>
                <w:b/>
                <w:color w:val="2D3243"/>
                <w:sz w:val="16"/>
              </w:rPr>
              <w:t>Panos Kozanian</w:t>
            </w:r>
          </w:p>
          <w:p>
            <w:pPr>
              <w:pStyle w:val="TableContents"/>
              <w:bidi w:val="0"/>
              <w:spacing w:lineRule="auto" w:line="288" w:before="0" w:after="0"/>
              <w:jc w:val="left"/>
              <w:rPr>
                <w:rFonts w:ascii="Tenorite;sans-serif" w:hAnsi="Tenorite;sans-serif"/>
                <w:b w:val="false"/>
                <w:color w:val="2D3243"/>
                <w:sz w:val="16"/>
              </w:rPr>
            </w:pPr>
            <w:r>
              <w:rPr>
                <w:rFonts w:ascii="Tenorite;sans-serif" w:hAnsi="Tenorite;sans-serif"/>
                <w:b w:val="false"/>
                <w:color w:val="2D3243"/>
                <w:sz w:val="16"/>
              </w:rPr>
              <w:t>Executive Vice President, Product Engineering</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2024</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3,336,454 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350,196 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1,212 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4,137,862 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bottom w:val="single" w:sz="8" w:space="0" w:color="2A4CF9"/>
            </w:tcBorders>
            <w:tcMar>
              <w:top w:w="0" w:type="dxa"/>
              <w:left w:w="0" w:type="dxa"/>
              <w:bottom w:w="3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2023</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3,270,655 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288,384 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1,523 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4,010,562 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bottom w:val="single" w:sz="8" w:space="0" w:color="2A4CF9"/>
            </w:tcBorders>
            <w:tcMar>
              <w:top w:w="0" w:type="dxa"/>
              <w:left w:w="0" w:type="dxa"/>
              <w:bottom w:w="30" w:type="dxa"/>
              <w:right w:w="0" w:type="dxa"/>
            </w:tcMar>
            <w:vAlign w:val="center"/>
          </w:tcPr>
          <w:p>
            <w:pPr>
              <w:pStyle w:val="Normal"/>
              <w:bidi w:val="0"/>
              <w:jc w:val="left"/>
              <w:rPr/>
            </w:pPr>
            <w:r>
              <w:rPr/>
            </w:r>
          </w:p>
        </w:tc>
        <w:tc>
          <w:tcPr>
            <w:tcW w:w="556"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2022</w:t>
            </w:r>
          </w:p>
        </w:tc>
        <w:tc>
          <w:tcPr>
            <w:tcW w:w="826"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379,000 </w:t>
            </w:r>
          </w:p>
        </w:tc>
        <w:tc>
          <w:tcPr>
            <w:tcW w:w="226"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23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6,363,209 </w:t>
            </w:r>
          </w:p>
        </w:tc>
        <w:tc>
          <w:tcPr>
            <w:tcW w:w="28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513,965 </w:t>
            </w:r>
          </w:p>
        </w:tc>
        <w:tc>
          <w:tcPr>
            <w:tcW w:w="28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224,034 </w:t>
            </w:r>
          </w:p>
        </w:tc>
        <w:tc>
          <w:tcPr>
            <w:tcW w:w="496"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2,347 </w:t>
            </w:r>
          </w:p>
        </w:tc>
        <w:tc>
          <w:tcPr>
            <w:tcW w:w="496"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7,482,555 </w:t>
            </w:r>
          </w:p>
        </w:tc>
        <w:tc>
          <w:tcPr>
            <w:tcW w:w="48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1.The aggregate grant date fair value of equity awards reported in this column has been calculated in accordance with FASB ASC Topic 718, and such fair values differ from the target award values for the NEOs due to (i) the Company using a multi-day average closing price to determine the number of unit subject to each award and (ii) the slightly lower value assigned to PRSUs with a relative TSR performance condition based on the application of the Monte Carlo Simulation model. See Note 7 of the notes to our consolidated financial statements in our Annual Report on Form 10-K for the year ended December 31, 2024, filed with the SEC on February 21, 2025, for a discussion of assumptions made in determining the grant date fair value of the equity awards. These amounts do not correspond to the actual value, if any, that our NEOs will recognize from these awards. Our NEOs will only realize compensation from these awards to the extent they meet the performance and/or vesting requirements of the awards.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2.The amounts reported in this column include the grant date fair value of PRSU awards based upon the probable outcome of such conditions at the time of their grant. For 2024, the values of the PRSU awards assuming the highest level of performance conditions, along with the related fair value amount based on achievement at the target level included in this column, were as follows: Michael Burkland (target - $5,279,916, maximum - $10,559,831), Mr. Zwarenstein (target - $1,074,802, maximum - $2,149,604), Daniel Burkland (target - $1,074,802, maximum - $2,149,604), Mr. Dignan (target - $1,074,802, maximum - $2,149,604) and Mr. Kozanian (target - $1,074,802, maximum - $2,149,604).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3.The amounts reported in this column represent amounts earned under our 2024, 2023 and 2022 Bonus Program(s) based on the achievement of Company and individual performance goals. As discussed in the section above entitled “Compensation Discussion and Analysis - Key Elements of Our 2024 Executive Compensation Program,” the total payments for Messrs. Michael Burkland, Zwarenstein, Daniel Burkland, Dignan and Kozanian, as of the end of 2024 were 98%, 98%, 98%, 98% and 120% of each NEO’s annual target annual cash bonus opportunities, respectively. For Daniel Burkland, this amount reflects the reduction in his base salary and target annual cash bonus opportunity in connection with his transition to the role of Executive Vice President, Go-to-Market Strategy, effective as of November 7, 2024.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4.The amounts reported for 2024 represent disability insurance paid by us for the NEOs (other than Michael Burkland) and Company matching contributions under the Section 401(k) plan. </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5.Mr. Daniel Burkland's 2024 base salary was $425,000 from January 1, 2024 through November 15, 2024, and was $389,500 from November 16, 2024 through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40410"/>
                <wp:effectExtent l="0" t="0" r="0" b="0"/>
                <wp:wrapNone/>
                <wp:docPr id="105" name="Frame6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59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 xml:space="preserve">2024 Grants of Plan-Based Awards Table </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 following table presents information regarding grants of non-equity incentive and equity incentive awards to our NEOs during 2024.</w:t>
      </w:r>
    </w:p>
    <w:tbl>
      <w:tblPr>
        <w:tblW w:w="12099" w:type="dxa"/>
        <w:jc w:val="left"/>
        <w:tblInd w:w="0" w:type="dxa"/>
        <w:tblLayout w:type="fixed"/>
        <w:tblCellMar>
          <w:top w:w="28" w:type="dxa"/>
          <w:left w:w="28" w:type="dxa"/>
          <w:bottom w:w="28" w:type="dxa"/>
          <w:right w:w="28" w:type="dxa"/>
        </w:tblCellMar>
      </w:tblPr>
      <w:tblGrid>
        <w:gridCol w:w="504"/>
        <w:gridCol w:w="281"/>
        <w:gridCol w:w="251"/>
        <w:gridCol w:w="170"/>
        <w:gridCol w:w="170"/>
        <w:gridCol w:w="171"/>
        <w:gridCol w:w="255"/>
        <w:gridCol w:w="255"/>
        <w:gridCol w:w="256"/>
        <w:gridCol w:w="170"/>
        <w:gridCol w:w="170"/>
        <w:gridCol w:w="171"/>
        <w:gridCol w:w="426"/>
        <w:gridCol w:w="310"/>
        <w:gridCol w:w="311"/>
        <w:gridCol w:w="426"/>
        <w:gridCol w:w="310"/>
        <w:gridCol w:w="311"/>
        <w:gridCol w:w="356"/>
        <w:gridCol w:w="290"/>
        <w:gridCol w:w="291"/>
        <w:gridCol w:w="366"/>
        <w:gridCol w:w="280"/>
        <w:gridCol w:w="281"/>
        <w:gridCol w:w="446"/>
        <w:gridCol w:w="290"/>
        <w:gridCol w:w="291"/>
        <w:gridCol w:w="411"/>
        <w:gridCol w:w="235"/>
        <w:gridCol w:w="236"/>
        <w:gridCol w:w="300"/>
        <w:gridCol w:w="300"/>
        <w:gridCol w:w="301"/>
        <w:gridCol w:w="240"/>
        <w:gridCol w:w="240"/>
        <w:gridCol w:w="241"/>
        <w:gridCol w:w="656"/>
        <w:gridCol w:w="215"/>
        <w:gridCol w:w="216"/>
        <w:gridCol w:w="109"/>
        <w:gridCol w:w="109"/>
        <w:gridCol w:w="109"/>
        <w:gridCol w:w="109"/>
        <w:gridCol w:w="109"/>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4"/>
              </w:rPr>
            </w:pPr>
            <w:r>
              <w:rPr>
                <w:rFonts w:ascii="Tenorite;sans-serif" w:hAnsi="Tenorite;sans-serif"/>
                <w:b/>
                <w:color w:val="FFFFFF"/>
                <w:sz w:val="14"/>
              </w:rPr>
              <w:t>Name</w:t>
            </w:r>
          </w:p>
        </w:tc>
        <w:tc>
          <w:tcPr>
            <w:tcW w:w="51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 xml:space="preserve">Grant </w:t>
              <w:br/>
              <w:t>Date</w:t>
            </w:r>
          </w:p>
        </w:tc>
        <w:tc>
          <w:tcPr>
            <w:tcW w:w="76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Grant Approval Date</w:t>
            </w:r>
          </w:p>
        </w:tc>
        <w:tc>
          <w:tcPr>
            <w:tcW w:w="51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4"/>
              </w:rPr>
            </w:pPr>
            <w:r>
              <w:rPr>
                <w:rFonts w:ascii="Tenorite;sans-serif" w:hAnsi="Tenorite;sans-serif"/>
                <w:b/>
                <w:color w:val="FFFFFF"/>
                <w:sz w:val="14"/>
              </w:rPr>
              <w:t>Grant Type</w:t>
            </w:r>
          </w:p>
        </w:tc>
        <w:tc>
          <w:tcPr>
            <w:tcW w:w="104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4"/>
              </w:rPr>
              <w:t xml:space="preserve">Estimated Possible Payouts Under Non-Equity Incentive Plan Awards Target </w:t>
            </w:r>
            <w:r>
              <w:rPr>
                <w:rFonts w:ascii="Tenorite;sans-serif" w:hAnsi="Tenorite;sans-serif"/>
                <w:b/>
                <w:color w:val="FFFFFF"/>
                <w:sz w:val="9"/>
              </w:rPr>
              <w:t>(1)</w:t>
            </w:r>
          </w:p>
          <w:p>
            <w:pPr>
              <w:pStyle w:val="TableContents"/>
              <w:bidi w:val="0"/>
              <w:spacing w:lineRule="auto" w:line="288" w:before="0" w:after="0"/>
              <w:jc w:val="right"/>
              <w:rPr>
                <w:rFonts w:ascii="Tenorite;sans-serif" w:hAnsi="Tenorite;sans-serif"/>
                <w:b/>
                <w:color w:val="FFFFFF"/>
                <w:sz w:val="14"/>
              </w:rPr>
            </w:pPr>
            <w:r>
              <w:rPr>
                <w:rFonts w:ascii="Tenorite;sans-serif" w:hAnsi="Tenorite;sans-serif"/>
                <w:b/>
                <w:color w:val="FFFFFF"/>
                <w:sz w:val="14"/>
              </w:rPr>
              <w:t>($)</w:t>
            </w:r>
          </w:p>
        </w:tc>
        <w:tc>
          <w:tcPr>
            <w:tcW w:w="104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4"/>
              </w:rPr>
              <w:t xml:space="preserve">Estimated Possible Payouts Under Non-Equity Incentive Plan Awards Maximum </w:t>
            </w:r>
            <w:r>
              <w:rPr>
                <w:rFonts w:ascii="Tenorite;sans-serif" w:hAnsi="Tenorite;sans-serif"/>
                <w:b/>
                <w:color w:val="FFFFFF"/>
                <w:sz w:val="9"/>
              </w:rPr>
              <w:t>(1)</w:t>
            </w:r>
          </w:p>
          <w:p>
            <w:pPr>
              <w:pStyle w:val="TableContents"/>
              <w:bidi w:val="0"/>
              <w:spacing w:lineRule="auto" w:line="288" w:before="0" w:after="0"/>
              <w:jc w:val="right"/>
              <w:rPr>
                <w:rFonts w:ascii="Tenorite;sans-serif" w:hAnsi="Tenorite;sans-serif"/>
                <w:b/>
                <w:color w:val="FFFFFF"/>
                <w:sz w:val="14"/>
              </w:rPr>
            </w:pPr>
            <w:r>
              <w:rPr>
                <w:rFonts w:ascii="Tenorite;sans-serif" w:hAnsi="Tenorite;sans-serif"/>
                <w:b/>
                <w:color w:val="FFFFFF"/>
                <w:sz w:val="14"/>
              </w:rPr>
              <w:t>($)</w:t>
            </w:r>
          </w:p>
        </w:tc>
        <w:tc>
          <w:tcPr>
            <w:tcW w:w="93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4"/>
              </w:rPr>
              <w:t>Estimated Possible Payouts Under Equity Incentive Plan Awards Threshold</w:t>
            </w:r>
            <w:r>
              <w:rPr>
                <w:rFonts w:ascii="Tenorite;sans-serif" w:hAnsi="Tenorite;sans-serif"/>
                <w:b/>
                <w:color w:val="FFFFFF"/>
                <w:sz w:val="9"/>
              </w:rPr>
              <w:t xml:space="preserve">(2) </w:t>
            </w:r>
          </w:p>
          <w:p>
            <w:pPr>
              <w:pStyle w:val="TableContents"/>
              <w:bidi w:val="0"/>
              <w:spacing w:lineRule="auto" w:line="288" w:before="0" w:after="0"/>
              <w:jc w:val="right"/>
              <w:rPr>
                <w:rFonts w:ascii="Tenorite;sans-serif" w:hAnsi="Tenorite;sans-serif"/>
                <w:b/>
                <w:color w:val="FFFFFF"/>
                <w:sz w:val="14"/>
              </w:rPr>
            </w:pPr>
            <w:r>
              <w:rPr>
                <w:rFonts w:ascii="Tenorite;sans-serif" w:hAnsi="Tenorite;sans-serif"/>
                <w:b/>
                <w:color w:val="FFFFFF"/>
                <w:sz w:val="14"/>
              </w:rPr>
              <w:t>(#)</w:t>
            </w:r>
          </w:p>
        </w:tc>
        <w:tc>
          <w:tcPr>
            <w:tcW w:w="92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4"/>
              </w:rPr>
              <w:t>Estimated Possible Payouts Under Equity Incentive Plan Awards Target</w:t>
            </w:r>
            <w:r>
              <w:rPr>
                <w:rFonts w:ascii="Tenorite;sans-serif" w:hAnsi="Tenorite;sans-serif"/>
                <w:b/>
                <w:color w:val="FFFFFF"/>
                <w:sz w:val="9"/>
              </w:rPr>
              <w:t>(2)</w:t>
            </w:r>
            <w:r>
              <w:rPr>
                <w:color w:val="FFFFFF"/>
              </w:rPr>
              <w:t xml:space="preserve"> </w:t>
            </w:r>
          </w:p>
          <w:p>
            <w:pPr>
              <w:pStyle w:val="TableContents"/>
              <w:bidi w:val="0"/>
              <w:spacing w:lineRule="auto" w:line="288" w:before="0" w:after="0"/>
              <w:jc w:val="right"/>
              <w:rPr>
                <w:rFonts w:ascii="Tenorite;sans-serif" w:hAnsi="Tenorite;sans-serif"/>
                <w:b/>
                <w:color w:val="FFFFFF"/>
                <w:sz w:val="14"/>
              </w:rPr>
            </w:pPr>
            <w:r>
              <w:rPr>
                <w:rFonts w:ascii="Tenorite;sans-serif" w:hAnsi="Tenorite;sans-serif"/>
                <w:b/>
                <w:color w:val="FFFFFF"/>
                <w:sz w:val="14"/>
              </w:rPr>
              <w:t>(#)</w:t>
            </w:r>
          </w:p>
        </w:tc>
        <w:tc>
          <w:tcPr>
            <w:tcW w:w="102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4"/>
              </w:rPr>
              <w:t>Estimated Possible Payouts Under Equity Incentive Plan Awards Maximum</w:t>
            </w:r>
            <w:r>
              <w:rPr>
                <w:rFonts w:ascii="Tenorite;sans-serif" w:hAnsi="Tenorite;sans-serif"/>
                <w:b/>
                <w:color w:val="FFFFFF"/>
                <w:sz w:val="9"/>
              </w:rPr>
              <w:t>(2)</w:t>
            </w:r>
            <w:r>
              <w:rPr>
                <w:color w:val="FFFFFF"/>
              </w:rPr>
              <w:t xml:space="preserve"> </w:t>
            </w:r>
          </w:p>
          <w:p>
            <w:pPr>
              <w:pStyle w:val="TableContents"/>
              <w:bidi w:val="0"/>
              <w:spacing w:lineRule="auto" w:line="288" w:before="0" w:after="0"/>
              <w:jc w:val="right"/>
              <w:rPr>
                <w:rFonts w:ascii="Tenorite;sans-serif" w:hAnsi="Tenorite;sans-serif"/>
                <w:b/>
                <w:color w:val="FFFFFF"/>
                <w:sz w:val="14"/>
              </w:rPr>
            </w:pPr>
            <w:r>
              <w:rPr>
                <w:rFonts w:ascii="Tenorite;sans-serif" w:hAnsi="Tenorite;sans-serif"/>
                <w:b/>
                <w:color w:val="FFFFFF"/>
                <w:sz w:val="14"/>
              </w:rPr>
              <w:t>(#)</w:t>
            </w:r>
          </w:p>
        </w:tc>
        <w:tc>
          <w:tcPr>
            <w:tcW w:w="88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4"/>
              </w:rPr>
            </w:pPr>
            <w:r>
              <w:rPr>
                <w:rFonts w:ascii="Tenorite;sans-serif" w:hAnsi="Tenorite;sans-serif"/>
                <w:b/>
                <w:color w:val="FFFFFF"/>
                <w:sz w:val="14"/>
              </w:rPr>
              <w:t>All Other Stock Awards: Number of Shares of Stock or Units</w:t>
              <w:br/>
              <w:t>#</w:t>
            </w:r>
          </w:p>
        </w:tc>
        <w:tc>
          <w:tcPr>
            <w:tcW w:w="90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4"/>
              </w:rPr>
            </w:pPr>
            <w:r>
              <w:rPr>
                <w:rFonts w:ascii="Tenorite;sans-serif" w:hAnsi="Tenorite;sans-serif"/>
                <w:b/>
                <w:color w:val="FFFFFF"/>
                <w:sz w:val="14"/>
              </w:rPr>
              <w:t>All Other Option Awards: Number of Securities Underlying Options</w:t>
              <w:br/>
              <w:t>#</w:t>
            </w:r>
          </w:p>
        </w:tc>
        <w:tc>
          <w:tcPr>
            <w:tcW w:w="72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4"/>
              </w:rPr>
            </w:pPr>
            <w:r>
              <w:rPr>
                <w:rFonts w:ascii="Tenorite;sans-serif" w:hAnsi="Tenorite;sans-serif"/>
                <w:b/>
                <w:color w:val="FFFFFF"/>
                <w:sz w:val="14"/>
              </w:rPr>
              <w:t xml:space="preserve">Exercise or Base Price of Option Awards </w:t>
              <w:br/>
              <w:t>($/share)</w:t>
            </w:r>
          </w:p>
        </w:tc>
        <w:tc>
          <w:tcPr>
            <w:tcW w:w="108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4"/>
              </w:rPr>
              <w:t xml:space="preserve">Grant Date Fair Value of Stock and Option Awards </w:t>
            </w:r>
            <w:r>
              <w:rPr>
                <w:rFonts w:ascii="Tenorite;sans-serif" w:hAnsi="Tenorite;sans-serif"/>
                <w:b/>
                <w:color w:val="FFFFFF"/>
                <w:sz w:val="9"/>
              </w:rPr>
              <w:t>(3)</w:t>
            </w:r>
          </w:p>
          <w:p>
            <w:pPr>
              <w:pStyle w:val="TableContents"/>
              <w:bidi w:val="0"/>
              <w:spacing w:lineRule="auto" w:line="288" w:before="0" w:after="0"/>
              <w:jc w:val="right"/>
              <w:rPr>
                <w:rFonts w:ascii="Tenorite;sans-serif" w:hAnsi="Tenorite;sans-serif"/>
                <w:b/>
                <w:color w:val="FFFFFF"/>
                <w:sz w:val="14"/>
              </w:rPr>
            </w:pPr>
            <w:r>
              <w:rPr>
                <w:rFonts w:ascii="Tenorite;sans-serif" w:hAnsi="Tenorite;sans-serif"/>
                <w:b/>
                <w:color w:val="FFFFFF"/>
                <w:sz w:val="14"/>
              </w:rPr>
              <w:t>($)</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Michael Burkland</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585,000 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877,500 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RSU</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87,648 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5,555,130 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PRSU</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43,824 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87,648 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175,296 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5,279,916 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6" w:type="dxa"/>
            <w:gridSpan w:val="3"/>
            <w:vMerge w:val="restart"/>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Barry Zwarenstein</w:t>
            </w:r>
          </w:p>
        </w:tc>
        <w:tc>
          <w:tcPr>
            <w:tcW w:w="5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330,000 </w:t>
            </w:r>
          </w:p>
        </w:tc>
        <w:tc>
          <w:tcPr>
            <w:tcW w:w="31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495,000 </w:t>
            </w:r>
          </w:p>
        </w:tc>
        <w:tc>
          <w:tcPr>
            <w:tcW w:w="31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RSU</w:t>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3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2,261,652 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PRSU</w:t>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8,921 </w:t>
            </w:r>
          </w:p>
        </w:tc>
        <w:tc>
          <w:tcPr>
            <w:tcW w:w="2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17,842 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1,074,802 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Tenorite;sans-serif" w:hAnsi="Tenorite;sans-serif"/>
                <w:b/>
                <w:color w:val="2D3243"/>
                <w:sz w:val="14"/>
              </w:rPr>
              <w:t>Daniel Burkland</w:t>
            </w:r>
            <w:r>
              <w:rPr>
                <w:rFonts w:ascii="Tenorite;sans-serif" w:hAnsi="Tenorite;sans-serif"/>
                <w:b/>
                <w:color w:val="2D3243"/>
                <w:sz w:val="9"/>
              </w:rPr>
              <w:t>(4)</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404,750 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607,133 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RSU</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2,261,652 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PRSU</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8,921 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17,842 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1,074,802 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 xml:space="preserve">Andy </w:t>
              <w:br/>
              <w:t>Dignan</w:t>
            </w:r>
          </w:p>
        </w:tc>
        <w:tc>
          <w:tcPr>
            <w:tcW w:w="5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334,500 </w:t>
            </w:r>
          </w:p>
        </w:tc>
        <w:tc>
          <w:tcPr>
            <w:tcW w:w="31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501,750 </w:t>
            </w:r>
          </w:p>
        </w:tc>
        <w:tc>
          <w:tcPr>
            <w:tcW w:w="31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RSU</w:t>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3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2,261,652 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PRSU</w:t>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8,921 </w:t>
            </w:r>
          </w:p>
        </w:tc>
        <w:tc>
          <w:tcPr>
            <w:tcW w:w="2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17,842 </w:t>
            </w:r>
          </w:p>
        </w:tc>
        <w:tc>
          <w:tcPr>
            <w:tcW w:w="28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1,074,802 </w:t>
            </w:r>
          </w:p>
        </w:tc>
        <w:tc>
          <w:tcPr>
            <w:tcW w:w="2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4"/>
              </w:rPr>
            </w:pPr>
            <w:r>
              <w:rPr>
                <w:rFonts w:ascii="Tenorite;sans-serif" w:hAnsi="Tenorite;sans-serif"/>
                <w:b/>
                <w:color w:val="2D3243"/>
                <w:sz w:val="14"/>
              </w:rPr>
              <w:t>Panos Kozanian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292,500 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438,750 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bottom w:val="single" w:sz="8" w:space="0" w:color="2A4CF9"/>
            </w:tcBorders>
            <w:tcMar>
              <w:top w:w="0" w:type="dxa"/>
              <w:left w:w="0" w:type="dxa"/>
              <w:bottom w:w="30" w:type="dxa"/>
              <w:right w:w="0" w:type="dxa"/>
            </w:tcMar>
            <w:vAlign w:val="center"/>
          </w:tcPr>
          <w:p>
            <w:pPr>
              <w:pStyle w:val="Normal"/>
              <w:bidi w:val="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RSU</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2,261,652 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bottom w:val="single" w:sz="8" w:space="0" w:color="2A4CF9"/>
            </w:tcBorders>
            <w:tcMar>
              <w:top w:w="0" w:type="dxa"/>
              <w:left w:w="0" w:type="dxa"/>
              <w:bottom w:w="30" w:type="dxa"/>
              <w:right w:w="0" w:type="dxa"/>
            </w:tcMar>
            <w:vAlign w:val="center"/>
          </w:tcPr>
          <w:p>
            <w:pPr>
              <w:pStyle w:val="Normal"/>
              <w:bidi w:val="0"/>
              <w:jc w:val="left"/>
              <w:rPr/>
            </w:pPr>
            <w:r>
              <w:rPr/>
            </w:r>
          </w:p>
        </w:tc>
        <w:tc>
          <w:tcPr>
            <w:tcW w:w="511"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2/26/24</w:t>
            </w:r>
          </w:p>
        </w:tc>
        <w:tc>
          <w:tcPr>
            <w:tcW w:w="766"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2/14/24</w:t>
            </w:r>
          </w:p>
        </w:tc>
        <w:tc>
          <w:tcPr>
            <w:tcW w:w="511"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PRSU</w:t>
            </w:r>
          </w:p>
        </w:tc>
        <w:tc>
          <w:tcPr>
            <w:tcW w:w="104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8,921 </w:t>
            </w:r>
          </w:p>
        </w:tc>
        <w:tc>
          <w:tcPr>
            <w:tcW w:w="29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17,842 </w:t>
            </w:r>
          </w:p>
        </w:tc>
        <w:tc>
          <w:tcPr>
            <w:tcW w:w="28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35,684 </w:t>
            </w:r>
          </w:p>
        </w:tc>
        <w:tc>
          <w:tcPr>
            <w:tcW w:w="29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1,074,802 </w:t>
            </w:r>
          </w:p>
        </w:tc>
        <w:tc>
          <w:tcPr>
            <w:tcW w:w="216"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1.These columns set forth the target and maximum annual cash bonus opportunities payable under our 2024 Bonus Program for each NEO. We do not establish threshold annual cash bonus amounts for each individual NEO. Refer to "Compensation Discussion and Analysis - Key Elements of Our 2024 Executive Compensation Program” above for more information.</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2.These columns set forth the number of PRSUs that may be earned and vest based on achievement of the threshold, target and maximum measures under our 2024 PRSU awards. The market-based PRSU awards are subject to threshold, target and maximum opportunity percentages (as a percentage of the target number of PRSUs) of 50%, 100% and 200%, respectively. </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3.The amounts reported reflect the grant date fair value of equity awards granted in 2024 in accordance with FASB ASC Topic 718. See Note 7 of the notes to our consolidated financial statements in our Annual Report on Form 10-K for the year ended December 31, 2024 filed with the SEC on February 21, 2025, for a discussion of assumptions made in determining the grant date fair value of equity awards. These amounts do not correspond to the actual value, if any, that the NEOs will recognize from these awards. Our NEOs will only realize compensation from these awards to the extent they meet the vesting requirements under the awards.</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4.As a result of Mr. Daniel Burkland’s transition to the role of Executive Vice President, Go-to-Market Strategy as of November 7, 2024, his target annual cash bonus opportunity for the portion of 2024 that he served as Executive Vice President, Go-To-Market Strategy was reduced from 100% to 65.5% of his annual base salary effective November 16, 2024. The estimated possible payouts under non-equity inventive plan awards at target and maximum in this row reflect this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40410"/>
                <wp:effectExtent l="0" t="0" r="0" b="0"/>
                <wp:wrapNone/>
                <wp:docPr id="106" name="Frame6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Summary of Employment Offer Letter with CEO</w:t>
      </w:r>
    </w:p>
    <w:p>
      <w:pPr>
        <w:pStyle w:val="TextBody"/>
        <w:bidi w:val="0"/>
        <w:spacing w:lineRule="auto" w:line="384" w:before="0" w:after="180"/>
        <w:jc w:val="left"/>
        <w:rPr>
          <w:rFonts w:ascii="Tenorite;sans-serif" w:hAnsi="Tenorite;sans-serif"/>
          <w:b w:val="false"/>
          <w:i/>
          <w:color w:val="2D3243"/>
          <w:sz w:val="18"/>
        </w:rPr>
      </w:pPr>
      <w:r>
        <w:rPr>
          <w:rFonts w:ascii="Tenorite;sans-serif" w:hAnsi="Tenorite;sans-serif"/>
          <w:b w:val="false"/>
          <w:i/>
          <w:color w:val="2D3243"/>
          <w:sz w:val="18"/>
        </w:rPr>
        <w:t>Michael Burkland’s Employment Offer Letter</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Michael Burkland commenced employment with us as our Chief Executive Officer on November 28, 2022. Michael Burkland’s Employment Offer Letter dated October 10, 2022, provides for an annual base salary of $585,000 plus a target annual cash bonus opportunity equal to 100% of his base salary.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Under the terms of his Employment Offer Letter, Michael Burkland was entitled to and received an RSU award with a target dollar value of $14.0 million, with a vesting commencement date of December 3, 2022. The RSU award will vest in equal quarterly installments over three years, subject to his continued employment on each vesting date. Michael Burkland was also entitled to and received a PRSU award with a target dollar value of $14.0 million, with a vesting commencement date of December 3, 2022. The amount of PRSUs that may be earned pursuant to the PRSU award ranges from 0% to 200% of the target number of PRSUs based on the Company’s RTSR performance as compared to the companies in the S&amp;P Software and Services Select Index during three one-year measurement periods consisting of the Company’s 2023, 2024 and 2025 fiscal years. One-third of the total PRSUs may be earned and settled in shares following the end of each one-year measurement period based on RTSR performance and subject to his continued employment through the payment date, but the amount initially paid in 2024 and 2025 (for the 2023 and 2024 measurement periods) is limited to 100% of the target amount for the year, and any PRSUs resulting from above-target performance in those years will be paid following the end of 2025, subject to his continued employment through the payment date. If the Company’s actual total shareholder return for any measurement period is negative, then no more than 100% of the target amount of PRSUs for such period may be earned. If Michael Burkland's employment with the Company terminates before the payment date in 2026 due to death or disability, 100% (if due to death) or 50% (if due to disability) of the unvested PRSUs (related to any uncompleted period and above target performance in a completed period) may be earned subject to ultimate RTSR performance in each remaining measurement period. Upon a Change in Control Termination (as such term is defined under the Company’s Key Employee Severance Benefit Plan (“KESP”)), the unvested PRSUs will vest on a double-trigger basis (i) at the target level for the uncompleted portions of the measurement periods and (ii) at the actual level of performance measured through the date of the Change in Control based on the per share price paid to common stockholders in such Change in Control. The RSUs and PRSUs are each otherwise be governed by the Company’s 2014 Equity Incentive Plan and standard form of RSU and PRSU award agreement. Michael Burkland was not eligible for (and did not receive) the 2023 annual refresh grant of RSUs and PRSUs to NEOs during the first quarter of 2023, but is eligible for future equity awards, from time to time, in the sole discretion of the Compensation Committee.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Employment Offer Letter designates Michael Burkland as a Tier 1 Participant of our KESP. Michael Burkland is eligible to participate in Company-sponsored vacation policies and employee benefit programs generally available to other executives. His employment with our company is "at-will."</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Michael Burkland is also eligible to receive continued Company-provided healthcare benefits (for himself, his spouse, and eligible dependents) during and following his service as our CEO or as a director, generally on the same basis as was previously provided under his prior Chairman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Outstanding Equity Awards at December 31, 2024, Fiscal Year-End Table </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 following table provides information concerning unexercised stock options or unvested RSU awards and PRSU awards held by our NEOs as of December 31, 2024. The vesting schedule applicable to each outstanding award is described in the footnotes to the table below. Please see the section below entitled “Potential Payments upon Termination or Change in Control” for accelerated vesting provisions that apply in the event of certain specified terminations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40410"/>
                <wp:effectExtent l="0" t="0" r="0" b="0"/>
                <wp:wrapNone/>
                <wp:docPr id="107" name="Frame6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tbl>
      <w:tblPr>
        <w:tblW w:w="10489" w:type="dxa"/>
        <w:jc w:val="left"/>
        <w:tblInd w:w="0" w:type="dxa"/>
        <w:tblLayout w:type="fixed"/>
        <w:tblCellMar>
          <w:top w:w="28" w:type="dxa"/>
          <w:left w:w="28" w:type="dxa"/>
          <w:bottom w:w="28" w:type="dxa"/>
          <w:right w:w="28" w:type="dxa"/>
        </w:tblCellMar>
      </w:tblPr>
      <w:tblGrid>
        <w:gridCol w:w="622"/>
        <w:gridCol w:w="335"/>
        <w:gridCol w:w="304"/>
        <w:gridCol w:w="205"/>
        <w:gridCol w:w="205"/>
        <w:gridCol w:w="206"/>
        <w:gridCol w:w="415"/>
        <w:gridCol w:w="415"/>
        <w:gridCol w:w="416"/>
        <w:gridCol w:w="470"/>
        <w:gridCol w:w="470"/>
        <w:gridCol w:w="471"/>
        <w:gridCol w:w="109"/>
        <w:gridCol w:w="109"/>
        <w:gridCol w:w="109"/>
        <w:gridCol w:w="360"/>
        <w:gridCol w:w="361"/>
        <w:gridCol w:w="296"/>
        <w:gridCol w:w="355"/>
        <w:gridCol w:w="355"/>
        <w:gridCol w:w="356"/>
        <w:gridCol w:w="109"/>
        <w:gridCol w:w="109"/>
        <w:gridCol w:w="109"/>
        <w:gridCol w:w="551"/>
        <w:gridCol w:w="275"/>
        <w:gridCol w:w="276"/>
        <w:gridCol w:w="109"/>
        <w:gridCol w:w="109"/>
        <w:gridCol w:w="109"/>
        <w:gridCol w:w="488"/>
        <w:gridCol w:w="488"/>
        <w:gridCol w:w="441"/>
        <w:gridCol w:w="109"/>
        <w:gridCol w:w="109"/>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15"/>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Option Awards</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Stock Awards</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61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Grant Date</w:t>
            </w:r>
          </w:p>
        </w:tc>
        <w:tc>
          <w:tcPr>
            <w:tcW w:w="1246"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Number of Securities Underlying Unexercised Options</w:t>
              <w:br/>
              <w:t>Exercisable</w:t>
              <w:br/>
              <w:t>(#)</w:t>
            </w:r>
          </w:p>
        </w:tc>
        <w:tc>
          <w:tcPr>
            <w:tcW w:w="1411"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Number of Securities Underlying Unexercised Options</w:t>
              <w:br/>
              <w:t>Unexercisable</w:t>
              <w:br/>
              <w:t>(#)</w:t>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Option</w:t>
              <w:br/>
              <w:t>Exercise</w:t>
              <w:br/>
              <w:t>Price</w:t>
              <w:br/>
              <w:t>($)</w:t>
            </w:r>
          </w:p>
        </w:tc>
        <w:tc>
          <w:tcPr>
            <w:tcW w:w="1066"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Option Expiration Date</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Number of Shares or Units of Stock that have not Vested</w:t>
              <w:br/>
              <w:t>(#)</w:t>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 xml:space="preserve">Market Value </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of Shares</w:t>
            </w:r>
          </w:p>
          <w:p>
            <w:pPr>
              <w:pStyle w:val="TableContents"/>
              <w:bidi w:val="0"/>
              <w:spacing w:lineRule="auto" w:line="288" w:before="0" w:after="0"/>
              <w:jc w:val="right"/>
              <w:rPr>
                <w:color w:val="FFFFFF"/>
              </w:rPr>
            </w:pPr>
            <w:r>
              <w:rPr>
                <w:color w:val="FFFFFF"/>
              </w:rPr>
              <w:t> </w:t>
            </w:r>
            <w:r>
              <w:rPr>
                <w:rFonts w:ascii="Tenorite;sans-serif" w:hAnsi="Tenorite;sans-serif"/>
                <w:b/>
                <w:color w:val="FFFFFF"/>
                <w:sz w:val="16"/>
              </w:rPr>
              <w:t>or Units of</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Stock that</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have not</w:t>
            </w:r>
          </w:p>
          <w:p>
            <w:pPr>
              <w:pStyle w:val="TableContents"/>
              <w:bidi w:val="0"/>
              <w:spacing w:lineRule="auto" w:line="288" w:before="0" w:after="0"/>
              <w:jc w:val="right"/>
              <w:rPr/>
            </w:pPr>
            <w:r>
              <w:rPr>
                <w:rFonts w:ascii="Tenorite;sans-serif" w:hAnsi="Tenorite;sans-serif"/>
                <w:b/>
                <w:color w:val="FFFFFF"/>
                <w:sz w:val="16"/>
              </w:rPr>
              <w:t>Vested</w:t>
            </w:r>
            <w:r>
              <w:rPr>
                <w:rFonts w:ascii="Tenorite;sans-serif" w:hAnsi="Tenorite;sans-serif"/>
                <w:b/>
                <w:color w:val="FFFFFF"/>
                <w:sz w:val="10"/>
              </w:rPr>
              <w:t>(1)</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03/09/16</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54,375 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8.13 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03/09/26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02/23/17</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181,020 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16.25 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12/12/22</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74,967 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(4)</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3,046,659 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12/12/22</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149,933 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6,093,277 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71,214 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2,894,137 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87,648 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(7)</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3,562,015 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02/26/18</w:t>
            </w:r>
          </w:p>
        </w:tc>
        <w:tc>
          <w:tcPr>
            <w:tcW w:w="83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55,376 </w:t>
            </w:r>
          </w:p>
        </w:tc>
        <w:tc>
          <w:tcPr>
            <w:tcW w:w="4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29.89 </w:t>
            </w:r>
          </w:p>
        </w:tc>
        <w:tc>
          <w:tcPr>
            <w:tcW w:w="2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02/26/28</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02/22/19</w:t>
            </w:r>
          </w:p>
        </w:tc>
        <w:tc>
          <w:tcPr>
            <w:tcW w:w="83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25,486 </w:t>
            </w:r>
          </w:p>
        </w:tc>
        <w:tc>
          <w:tcPr>
            <w:tcW w:w="4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53.00 </w:t>
            </w:r>
          </w:p>
        </w:tc>
        <w:tc>
          <w:tcPr>
            <w:tcW w:w="2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02/22/29</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02/24/20</w:t>
            </w:r>
          </w:p>
        </w:tc>
        <w:tc>
          <w:tcPr>
            <w:tcW w:w="83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17,499 </w:t>
            </w:r>
          </w:p>
        </w:tc>
        <w:tc>
          <w:tcPr>
            <w:tcW w:w="4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72.29 </w:t>
            </w:r>
          </w:p>
        </w:tc>
        <w:tc>
          <w:tcPr>
            <w:tcW w:w="2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02/24/30</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02/25/21</w:t>
            </w:r>
          </w:p>
        </w:tc>
        <w:tc>
          <w:tcPr>
            <w:tcW w:w="83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10,946 </w:t>
            </w:r>
          </w:p>
        </w:tc>
        <w:tc>
          <w:tcPr>
            <w:tcW w:w="4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476 </w:t>
            </w:r>
          </w:p>
        </w:tc>
        <w:tc>
          <w:tcPr>
            <w:tcW w:w="47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(2)</w:t>
            </w:r>
          </w:p>
        </w:tc>
        <w:tc>
          <w:tcPr>
            <w:tcW w:w="72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181.20 </w:t>
            </w:r>
          </w:p>
        </w:tc>
        <w:tc>
          <w:tcPr>
            <w:tcW w:w="2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02/25/31</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02/25/21</w:t>
            </w:r>
          </w:p>
        </w:tc>
        <w:tc>
          <w:tcPr>
            <w:tcW w:w="124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945 </w:t>
            </w:r>
          </w:p>
        </w:tc>
        <w:tc>
          <w:tcPr>
            <w:tcW w:w="2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38,405 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124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6,605 </w:t>
            </w:r>
          </w:p>
        </w:tc>
        <w:tc>
          <w:tcPr>
            <w:tcW w:w="2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268,427 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124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2,349 </w:t>
            </w:r>
          </w:p>
        </w:tc>
        <w:tc>
          <w:tcPr>
            <w:tcW w:w="2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(8)</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95,463 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02/27/23</w:t>
            </w:r>
          </w:p>
        </w:tc>
        <w:tc>
          <w:tcPr>
            <w:tcW w:w="124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19,271 </w:t>
            </w:r>
          </w:p>
        </w:tc>
        <w:tc>
          <w:tcPr>
            <w:tcW w:w="2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783,173 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02/27/23</w:t>
            </w:r>
          </w:p>
        </w:tc>
        <w:tc>
          <w:tcPr>
            <w:tcW w:w="124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2D3243"/>
                <w:sz w:val="16"/>
              </w:rPr>
            </w:pPr>
            <w:r>
              <w:rPr>
                <w:rFonts w:ascii="Lato;sans-serif" w:hAnsi="Lato;sans-serif"/>
                <w:b w:val="false"/>
                <w:color w:val="2D3243"/>
                <w:sz w:val="16"/>
              </w:rPr>
              <w:t>7,613 </w:t>
            </w:r>
          </w:p>
        </w:tc>
        <w:tc>
          <w:tcPr>
            <w:tcW w:w="2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(5)</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2D3243"/>
                <w:sz w:val="16"/>
              </w:rPr>
            </w:pPr>
            <w:r>
              <w:rPr>
                <w:rFonts w:ascii="Lato;sans-serif" w:hAnsi="Lato;sans-serif"/>
                <w:b w:val="false"/>
                <w:color w:val="2D3243"/>
                <w:sz w:val="16"/>
              </w:rPr>
              <w:t>309,392 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24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2D3243"/>
                <w:sz w:val="16"/>
              </w:rPr>
            </w:pPr>
            <w:r>
              <w:rPr>
                <w:rFonts w:ascii="Lato;sans-serif" w:hAnsi="Lato;sans-serif"/>
                <w:b w:val="false"/>
                <w:color w:val="2D3243"/>
                <w:sz w:val="16"/>
              </w:rPr>
              <w:t>28,994 </w:t>
            </w:r>
          </w:p>
        </w:tc>
        <w:tc>
          <w:tcPr>
            <w:tcW w:w="2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2D3243"/>
                <w:sz w:val="16"/>
              </w:rPr>
            </w:pPr>
            <w:r>
              <w:rPr>
                <w:rFonts w:ascii="Lato;sans-serif" w:hAnsi="Lato;sans-serif"/>
                <w:b w:val="false"/>
                <w:color w:val="2D3243"/>
                <w:sz w:val="16"/>
              </w:rPr>
              <w:t>1,178,316 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24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2D3243"/>
                <w:sz w:val="16"/>
              </w:rPr>
            </w:pPr>
            <w:r>
              <w:rPr>
                <w:rFonts w:ascii="Lato;sans-serif" w:hAnsi="Lato;sans-serif"/>
                <w:b w:val="false"/>
                <w:color w:val="2D3243"/>
                <w:sz w:val="16"/>
              </w:rPr>
              <w:t>17,842 </w:t>
            </w:r>
          </w:p>
        </w:tc>
        <w:tc>
          <w:tcPr>
            <w:tcW w:w="2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(7)</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2D3243"/>
                <w:sz w:val="16"/>
              </w:rPr>
            </w:pPr>
            <w:r>
              <w:rPr>
                <w:rFonts w:ascii="Lato;sans-serif" w:hAnsi="Lato;sans-serif"/>
                <w:b w:val="false"/>
                <w:color w:val="2D3243"/>
                <w:sz w:val="16"/>
              </w:rPr>
              <w:t>725,099 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Daniel Burkland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03/09/16</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882 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8.13</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03/09/26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11/14/16</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11,459 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14.39</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11/14/26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02/23/17</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55,537 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16.25</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12/18/17</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81,295 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24.60</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12/18/27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02/22/19</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25,486 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53.00</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02/24/20</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17,499 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72.29</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02/25/21</w:t>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10,946 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476 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8"/>
              </w:rPr>
            </w:pPr>
            <w:r>
              <w:rPr>
                <w:rFonts w:ascii="Tenorite;sans-serif" w:hAnsi="Tenorite;sans-serif"/>
                <w:b w:val="false"/>
                <w:color w:val="2D3243"/>
                <w:sz w:val="8"/>
              </w:rPr>
              <w:t>(2)</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181.20</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02/25/21</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945 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38,405 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7,549 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306,791 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2,684 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(8)</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109,078 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02/27/23</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21,102 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857,585 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02/27/23</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8,336 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338,775 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28,994 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1,178,316 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17,842 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(7)</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725,099 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40410"/>
                <wp:effectExtent l="0" t="0" r="0" b="0"/>
                <wp:wrapNone/>
                <wp:docPr id="108" name="Frame6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tbl>
      <w:tblPr>
        <w:tblW w:w="10205" w:type="dxa"/>
        <w:jc w:val="left"/>
        <w:tblInd w:w="0" w:type="dxa"/>
        <w:tblLayout w:type="fixed"/>
        <w:tblCellMar>
          <w:top w:w="28" w:type="dxa"/>
          <w:left w:w="28" w:type="dxa"/>
          <w:bottom w:w="28" w:type="dxa"/>
          <w:right w:w="28" w:type="dxa"/>
        </w:tblCellMar>
      </w:tblPr>
      <w:tblGrid>
        <w:gridCol w:w="477"/>
        <w:gridCol w:w="253"/>
        <w:gridCol w:w="255"/>
        <w:gridCol w:w="207"/>
        <w:gridCol w:w="207"/>
        <w:gridCol w:w="208"/>
        <w:gridCol w:w="436"/>
        <w:gridCol w:w="436"/>
        <w:gridCol w:w="437"/>
        <w:gridCol w:w="490"/>
        <w:gridCol w:w="490"/>
        <w:gridCol w:w="491"/>
        <w:gridCol w:w="109"/>
        <w:gridCol w:w="109"/>
        <w:gridCol w:w="109"/>
        <w:gridCol w:w="295"/>
        <w:gridCol w:w="295"/>
        <w:gridCol w:w="296"/>
        <w:gridCol w:w="361"/>
        <w:gridCol w:w="361"/>
        <w:gridCol w:w="362"/>
        <w:gridCol w:w="109"/>
        <w:gridCol w:w="109"/>
        <w:gridCol w:w="109"/>
        <w:gridCol w:w="468"/>
        <w:gridCol w:w="300"/>
        <w:gridCol w:w="301"/>
        <w:gridCol w:w="109"/>
        <w:gridCol w:w="109"/>
        <w:gridCol w:w="109"/>
        <w:gridCol w:w="488"/>
        <w:gridCol w:w="488"/>
        <w:gridCol w:w="441"/>
        <w:gridCol w:w="109"/>
        <w:gridCol w:w="109"/>
        <w:gridCol w:w="163"/>
      </w:tblGrid>
      <w:tr>
        <w:trPr/>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15"/>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Option Awards</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Stock Awards</w:t>
            </w:r>
          </w:p>
        </w:tc>
        <w:tc>
          <w:tcPr>
            <w:tcW w:w="38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622"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Grant Date</w:t>
            </w:r>
          </w:p>
        </w:tc>
        <w:tc>
          <w:tcPr>
            <w:tcW w:w="1309"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Number of Securities Underlying Unexercised Options</w:t>
              <w:br/>
              <w:t>Exercisable</w:t>
              <w:br/>
              <w:t>(#)</w:t>
            </w:r>
          </w:p>
        </w:tc>
        <w:tc>
          <w:tcPr>
            <w:tcW w:w="1471"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Number of Securities Underlying Unexercised Options</w:t>
              <w:br/>
              <w:t>Unexercisable</w:t>
              <w:br/>
              <w:t>(#)</w:t>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Option</w:t>
              <w:br/>
              <w:t>Exercise</w:t>
              <w:br/>
              <w:t>Price</w:t>
              <w:br/>
              <w:t>($)</w:t>
            </w:r>
          </w:p>
        </w:tc>
        <w:tc>
          <w:tcPr>
            <w:tcW w:w="108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Option Expiration Date</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Number of Shares or Units of Stock that have not Vested</w:t>
              <w:br/>
              <w:t>(#)</w:t>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 xml:space="preserve">Market Value </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of Shares</w:t>
            </w:r>
          </w:p>
          <w:p>
            <w:pPr>
              <w:pStyle w:val="TableContents"/>
              <w:bidi w:val="0"/>
              <w:spacing w:lineRule="auto" w:line="288" w:before="0" w:after="0"/>
              <w:jc w:val="right"/>
              <w:rPr>
                <w:color w:val="FFFFFF"/>
              </w:rPr>
            </w:pPr>
            <w:r>
              <w:rPr>
                <w:color w:val="FFFFFF"/>
              </w:rPr>
              <w:t> </w:t>
            </w:r>
            <w:r>
              <w:rPr>
                <w:rFonts w:ascii="Tenorite;sans-serif" w:hAnsi="Tenorite;sans-serif"/>
                <w:b/>
                <w:color w:val="FFFFFF"/>
                <w:sz w:val="16"/>
              </w:rPr>
              <w:t>or Units of</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Stock that</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have not</w:t>
            </w:r>
          </w:p>
          <w:p>
            <w:pPr>
              <w:pStyle w:val="TableContents"/>
              <w:bidi w:val="0"/>
              <w:spacing w:lineRule="auto" w:line="288" w:before="0" w:after="0"/>
              <w:jc w:val="right"/>
              <w:rPr/>
            </w:pPr>
            <w:r>
              <w:rPr>
                <w:rFonts w:ascii="Tenorite;sans-serif" w:hAnsi="Tenorite;sans-serif"/>
                <w:b/>
                <w:color w:val="FFFFFF"/>
                <w:sz w:val="16"/>
              </w:rPr>
              <w:t>Vested</w:t>
            </w:r>
            <w:r>
              <w:rPr>
                <w:rFonts w:ascii="Tenorite;sans-serif" w:hAnsi="Tenorite;sans-serif"/>
                <w:b/>
                <w:color w:val="FFFFFF"/>
                <w:sz w:val="10"/>
              </w:rPr>
              <w:t>(1)</w:t>
            </w:r>
          </w:p>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w:t>
            </w:r>
          </w:p>
        </w:tc>
        <w:tc>
          <w:tcPr>
            <w:tcW w:w="38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restart"/>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10/01/18</w:t>
            </w:r>
          </w:p>
        </w:tc>
        <w:tc>
          <w:tcPr>
            <w:tcW w:w="872"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320 </w:t>
            </w:r>
          </w:p>
        </w:tc>
        <w:tc>
          <w:tcPr>
            <w:tcW w:w="43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42.25</w:t>
            </w:r>
          </w:p>
        </w:tc>
        <w:tc>
          <w:tcPr>
            <w:tcW w:w="1084"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10/01/28</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05/06/19</w:t>
            </w:r>
          </w:p>
        </w:tc>
        <w:tc>
          <w:tcPr>
            <w:tcW w:w="872"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1,042 </w:t>
            </w:r>
          </w:p>
        </w:tc>
        <w:tc>
          <w:tcPr>
            <w:tcW w:w="43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51.00</w:t>
            </w:r>
          </w:p>
        </w:tc>
        <w:tc>
          <w:tcPr>
            <w:tcW w:w="1084"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05/06/29</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02/05/20</w:t>
            </w:r>
          </w:p>
        </w:tc>
        <w:tc>
          <w:tcPr>
            <w:tcW w:w="872"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731 </w:t>
            </w:r>
          </w:p>
        </w:tc>
        <w:tc>
          <w:tcPr>
            <w:tcW w:w="43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73.28</w:t>
            </w:r>
          </w:p>
        </w:tc>
        <w:tc>
          <w:tcPr>
            <w:tcW w:w="1084"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02/05/30</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02/24/20</w:t>
            </w:r>
          </w:p>
        </w:tc>
        <w:tc>
          <w:tcPr>
            <w:tcW w:w="872"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2,887 </w:t>
            </w:r>
          </w:p>
        </w:tc>
        <w:tc>
          <w:tcPr>
            <w:tcW w:w="43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4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72.29</w:t>
            </w:r>
          </w:p>
        </w:tc>
        <w:tc>
          <w:tcPr>
            <w:tcW w:w="1084"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02/24/30</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872"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5,790 </w:t>
            </w:r>
          </w:p>
        </w:tc>
        <w:tc>
          <w:tcPr>
            <w:tcW w:w="43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2,385 </w:t>
            </w:r>
          </w:p>
        </w:tc>
        <w:tc>
          <w:tcPr>
            <w:tcW w:w="49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(2)</w:t>
            </w:r>
          </w:p>
        </w:tc>
        <w:tc>
          <w:tcPr>
            <w:tcW w:w="88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110.00</w:t>
            </w:r>
          </w:p>
        </w:tc>
        <w:tc>
          <w:tcPr>
            <w:tcW w:w="1084"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02/28/32</w:t>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02/25/21</w:t>
            </w:r>
          </w:p>
        </w:tc>
        <w:tc>
          <w:tcPr>
            <w:tcW w:w="130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126 </w:t>
            </w:r>
          </w:p>
        </w:tc>
        <w:tc>
          <w:tcPr>
            <w:tcW w:w="30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5,121 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130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3,775 </w:t>
            </w:r>
          </w:p>
        </w:tc>
        <w:tc>
          <w:tcPr>
            <w:tcW w:w="30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153,416 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11/23/22</w:t>
            </w:r>
          </w:p>
        </w:tc>
        <w:tc>
          <w:tcPr>
            <w:tcW w:w="130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17,307 </w:t>
            </w:r>
          </w:p>
        </w:tc>
        <w:tc>
          <w:tcPr>
            <w:tcW w:w="30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703,356 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02/27/23</w:t>
            </w:r>
          </w:p>
        </w:tc>
        <w:tc>
          <w:tcPr>
            <w:tcW w:w="130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20,981 </w:t>
            </w:r>
          </w:p>
        </w:tc>
        <w:tc>
          <w:tcPr>
            <w:tcW w:w="30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852,668 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11/24/23</w:t>
            </w:r>
          </w:p>
        </w:tc>
        <w:tc>
          <w:tcPr>
            <w:tcW w:w="130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20,601 </w:t>
            </w:r>
          </w:p>
        </w:tc>
        <w:tc>
          <w:tcPr>
            <w:tcW w:w="30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837,225 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30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28,994 </w:t>
            </w:r>
          </w:p>
        </w:tc>
        <w:tc>
          <w:tcPr>
            <w:tcW w:w="30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1,178,316 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309"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17,842 </w:t>
            </w:r>
          </w:p>
        </w:tc>
        <w:tc>
          <w:tcPr>
            <w:tcW w:w="30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(7)</w:t>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725,099 </w:t>
            </w:r>
          </w:p>
        </w:tc>
        <w:tc>
          <w:tcPr>
            <w:tcW w:w="44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Panos Kozanian</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02/16/21</w:t>
            </w:r>
          </w:p>
        </w:tc>
        <w:tc>
          <w:tcPr>
            <w:tcW w:w="8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9,661 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421 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(3)</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182.74</w:t>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02/16/31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tcMar>
              <w:top w:w="0" w:type="dxa"/>
              <w:left w:w="0" w:type="dxa"/>
              <w:bottom w:w="0" w:type="dxa"/>
              <w:right w:w="0" w:type="dxa"/>
            </w:tcMar>
            <w:vAlign w:val="center"/>
          </w:tcPr>
          <w:p>
            <w:pPr>
              <w:pStyle w:val="Normal"/>
              <w:bidi w:val="0"/>
              <w:jc w:val="left"/>
              <w:rPr/>
            </w:pPr>
            <w:r>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8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7,237 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2,981 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(2)</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110.00</w:t>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tcMar>
              <w:top w:w="0" w:type="dxa"/>
              <w:left w:w="0" w:type="dxa"/>
              <w:bottom w:w="0" w:type="dxa"/>
              <w:right w:w="0" w:type="dxa"/>
            </w:tcMar>
            <w:vAlign w:val="center"/>
          </w:tcPr>
          <w:p>
            <w:pPr>
              <w:pStyle w:val="Normal"/>
              <w:bidi w:val="0"/>
              <w:jc w:val="left"/>
              <w:rPr/>
            </w:pPr>
            <w:r>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02/16/21</w:t>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(9)</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33,325 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tcMar>
              <w:top w:w="0" w:type="dxa"/>
              <w:left w:w="0" w:type="dxa"/>
              <w:bottom w:w="0" w:type="dxa"/>
              <w:right w:w="0" w:type="dxa"/>
            </w:tcMar>
            <w:vAlign w:val="center"/>
          </w:tcPr>
          <w:p>
            <w:pPr>
              <w:pStyle w:val="Normal"/>
              <w:bidi w:val="0"/>
              <w:jc w:val="left"/>
              <w:rPr/>
            </w:pPr>
            <w:r>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02/28/22</w:t>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4,718 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191,740 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tcMar>
              <w:top w:w="0" w:type="dxa"/>
              <w:left w:w="0" w:type="dxa"/>
              <w:bottom w:w="0" w:type="dxa"/>
              <w:right w:w="0" w:type="dxa"/>
            </w:tcMar>
            <w:vAlign w:val="center"/>
          </w:tcPr>
          <w:p>
            <w:pPr>
              <w:pStyle w:val="Normal"/>
              <w:bidi w:val="0"/>
              <w:jc w:val="left"/>
              <w:rPr/>
            </w:pPr>
            <w:r>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08/08/22</w:t>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9,630 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391,363 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tcMar>
              <w:top w:w="0" w:type="dxa"/>
              <w:left w:w="0" w:type="dxa"/>
              <w:bottom w:w="0" w:type="dxa"/>
              <w:right w:w="0" w:type="dxa"/>
            </w:tcMar>
            <w:vAlign w:val="center"/>
          </w:tcPr>
          <w:p>
            <w:pPr>
              <w:pStyle w:val="Normal"/>
              <w:bidi w:val="0"/>
              <w:jc w:val="left"/>
              <w:rPr/>
            </w:pPr>
            <w:r>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02/27/23</w:t>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20,247 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822,838 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vMerge w:val="continue"/>
            <w:tcBorders/>
            <w:tcMar>
              <w:top w:w="0" w:type="dxa"/>
              <w:left w:w="0" w:type="dxa"/>
              <w:bottom w:w="0" w:type="dxa"/>
              <w:right w:w="0" w:type="dxa"/>
            </w:tcMar>
            <w:vAlign w:val="center"/>
          </w:tcPr>
          <w:p>
            <w:pPr>
              <w:pStyle w:val="Normal"/>
              <w:bidi w:val="0"/>
              <w:jc w:val="left"/>
              <w:rPr/>
            </w:pPr>
            <w:r>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02/27/23</w:t>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7,999 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325,079 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28,994 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(6)</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1,178,316 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6"/>
              </w:rPr>
            </w:pPr>
            <w:r>
              <w:rPr>
                <w:rFonts w:ascii="Tenorite;sans-serif" w:hAnsi="Tenorite;sans-serif"/>
                <w:b w:val="false"/>
                <w:color w:val="2D3243"/>
                <w:sz w:val="16"/>
              </w:rPr>
              <w:t>02/26/24</w:t>
            </w:r>
          </w:p>
        </w:tc>
        <w:tc>
          <w:tcPr>
            <w:tcW w:w="1309"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17,842 </w:t>
            </w:r>
          </w:p>
        </w:tc>
        <w:tc>
          <w:tcPr>
            <w:tcW w:w="30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bottom w:w="3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(7)</w:t>
            </w:r>
          </w:p>
        </w:tc>
        <w:tc>
          <w:tcPr>
            <w:tcW w:w="976" w:type="dxa"/>
            <w:gridSpan w:val="2"/>
            <w:tcBorders>
              <w:bottom w:val="single" w:sz="8" w:space="0" w:color="2A4CF9"/>
            </w:tcBorders>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725,099 </w:t>
            </w:r>
          </w:p>
        </w:tc>
        <w:tc>
          <w:tcPr>
            <w:tcW w:w="441" w:type="dxa"/>
            <w:tcBorders>
              <w:bottom w:val="single" w:sz="8" w:space="0" w:color="2A4CF9"/>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6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1.The amounts listed in this column represent the product of the closing market price of our Common Stock as of December 31, 2024, the last trading day of 2024, of $40.64 per share and the number of shares of stock or units subject to the award.</w:t>
      </w:r>
    </w:p>
    <w:p>
      <w:pPr>
        <w:pStyle w:val="TextBody"/>
        <w:bidi w:val="0"/>
        <w:spacing w:lineRule="auto" w:line="348" w:before="6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2.Award is subject to a four-year vesting schedule and the NEO’s continued service with us on each vesting date, with 1/48th of the options vesting on each monthly anniversary following the applicable vesting commencement date, until all options are vested.</w:t>
      </w:r>
    </w:p>
    <w:p>
      <w:pPr>
        <w:pStyle w:val="TextBody"/>
        <w:bidi w:val="0"/>
        <w:spacing w:lineRule="auto" w:line="348" w:before="6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3.Award is subject to a four-year vesting schedule and the NEO’s continued service with us on each vesting date, with 25% of the total number of options vesting on the first anniversary of the vesting commencement date, and 1/36th of the total number of options vesting on each monthly anniversary following the applicable vesting commencement date until all options are vested.</w:t>
      </w:r>
    </w:p>
    <w:p>
      <w:pPr>
        <w:pStyle w:val="TextBody"/>
        <w:bidi w:val="0"/>
        <w:spacing w:lineRule="auto" w:line="348" w:before="6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4.Award is subject to a three-year vesting schedule and the NEO’s continued service with us on each vesting date, with 1/12th of the total number of RSUs vesting every three months after the vesting commencement date, until all RSUs are vested.</w:t>
      </w:r>
    </w:p>
    <w:p>
      <w:pPr>
        <w:pStyle w:val="TextBody"/>
        <w:bidi w:val="0"/>
        <w:spacing w:lineRule="auto" w:line="348" w:before="6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5.The amount of PRSUs that may be earned pursuant to the PRSU Award ranges from 0% to 200% of the target number of PRSUs based on the Company’s RTSR performance as compared to the companies in the S&amp;P Software and Services Select Index during three one-year measurement periods consisting of the Company’s 2023, 2024 and 2025 fiscal years. One-third of the total PRSUs may be earned and settled in shares following the end of each one-year measurement period based on RTSR performance and subject to continued employment through the payment date, but the amount initially paid in 2024 and 2025 (for the 2023 and 2024 measurement periods) is limited to 100% of the target amount for the year, and any PRSUs resulting from above-target performance in those years will be paid following the end of 2025, subject to the NEO's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40410"/>
                <wp:effectExtent l="0" t="0" r="0" b="0"/>
                <wp:wrapNone/>
                <wp:docPr id="109" name="Frame6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48" w:before="60" w:after="60"/>
        <w:jc w:val="left"/>
        <w:rPr>
          <w:rFonts w:ascii="Tenorite;sans-serif" w:hAnsi="Tenorite;sans-serif"/>
          <w:b w:val="false"/>
          <w:color w:val="2D3243"/>
          <w:sz w:val="16"/>
        </w:rPr>
      </w:pPr>
      <w:r>
        <w:rPr>
          <w:rFonts w:ascii="Tenorite;sans-serif" w:hAnsi="Tenorite;sans-serif"/>
          <w:b w:val="false"/>
          <w:color w:val="2D3243"/>
          <w:sz w:val="16"/>
        </w:rPr>
        <w:t>employment through the payment date. If the Company’s actual total shareholder return for any measurement period is negative, then no more than 100% of the target amount of PRSUs for such period may be earned.</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6.Award is subject to a four-year vesting schedule and the NEO’s continued service with us on each vesting date, with 1/16th of the total number of RSUs vesting every three months after the vesting commencement date, until all RSUs are vested.</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7.The amount of PRSUs that may be earned pursuant to the PRSU Award ranges from 0% to 200% of the target number of PRSUs based on the Company’s RTSR performance as compared to the companies in the S&amp;P Software and Services Select Index during three measurement periods. The first measurement period is a one-year measurement period (2024), the second measurement period is a two-year measurement period (2024-2025), and the third measurement period is a three-year measurement period (2024-2026). One-third of the total PRSUs may be earned and settled in shares following the end of each measurement period based on RTSR performance and subject to continued employment through the payment date. If the Company’s actual total shareholder return for any measurement period is negative, then no more than 100% of the target amount of PRSUs for such period may be earned.</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8.The amount that may be earned pursuant to the PRSUs ranges from 0% to 200% of the target number based on the Company’s RTSR performance as compared to the companies in the S&amp;P Software and Services Select Index during three one-year measurement periods consisting of the Company’s 2022, 2023 and 2024 fiscal years. One-third of the total PRSUs may be earned and settled in shares following the end of each one-year measurement period based on RTSR performance and subject to continued employment through the payment date, but the amount initially paid in 2023 and 2024 (for the 2022 and 2023 measurement periods) is limited to 100% of the target amount for the year, and any PRSUs resulting from above-target performance in those years will be paid following the end of 2024, subject to the executive's continued employment through the payment date. If the Company’s actual total shareholder return for any measurement period is negative, then no more than 100% of the target amount of PRSUs for such period may be earned.</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9.Award is subject to a four-year vesting schedule and the NEO’s continued service with the Company on each vesting date, with 25% of the total number of RSUs vesting on the first anniversary of the vesting commencement date, and 1/16th of the total number of RSUs vesting every three months thereafter until all RSUs are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2024 Option Exercises and Stock Vested Table </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 following table presents information concerning option exercises and RSU (including PRSU) awards that vested for our NEOs during the year ended December 31, 2024.</w:t>
      </w:r>
    </w:p>
    <w:tbl>
      <w:tblPr>
        <w:tblW w:w="9744" w:type="dxa"/>
        <w:jc w:val="left"/>
        <w:tblInd w:w="0" w:type="dxa"/>
        <w:tblLayout w:type="fixed"/>
        <w:tblCellMar>
          <w:top w:w="28" w:type="dxa"/>
          <w:left w:w="28" w:type="dxa"/>
          <w:bottom w:w="28" w:type="dxa"/>
          <w:right w:w="28" w:type="dxa"/>
        </w:tblCellMar>
      </w:tblPr>
      <w:tblGrid>
        <w:gridCol w:w="649"/>
        <w:gridCol w:w="573"/>
        <w:gridCol w:w="578"/>
        <w:gridCol w:w="694"/>
        <w:gridCol w:w="694"/>
        <w:gridCol w:w="696"/>
        <w:gridCol w:w="499"/>
        <w:gridCol w:w="499"/>
        <w:gridCol w:w="516"/>
        <w:gridCol w:w="109"/>
        <w:gridCol w:w="109"/>
        <w:gridCol w:w="109"/>
        <w:gridCol w:w="674"/>
        <w:gridCol w:w="674"/>
        <w:gridCol w:w="676"/>
        <w:gridCol w:w="499"/>
        <w:gridCol w:w="499"/>
        <w:gridCol w:w="516"/>
        <w:gridCol w:w="109"/>
        <w:gridCol w:w="109"/>
        <w:gridCol w:w="109"/>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Option Awards</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6"/>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6"/>
              </w:rPr>
            </w:pPr>
            <w:r>
              <w:rPr>
                <w:rFonts w:ascii="Tenorite;sans-serif" w:hAnsi="Tenorite;sans-serif"/>
                <w:b/>
                <w:color w:val="FFFFFF"/>
                <w:sz w:val="16"/>
              </w:rPr>
              <w:t>Stock Awards</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Name</w:t>
            </w:r>
          </w:p>
        </w:tc>
        <w:tc>
          <w:tcPr>
            <w:tcW w:w="208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Number of Shares </w:t>
              <w:br/>
              <w:t>Acquired on Exercise</w:t>
            </w:r>
          </w:p>
        </w:tc>
        <w:tc>
          <w:tcPr>
            <w:tcW w:w="151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Value Realized </w:t>
              <w:br/>
              <w:t>on Exercise (1)</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Number of Shares </w:t>
              <w:br/>
              <w:t>Acquired on Vesting</w:t>
            </w:r>
          </w:p>
        </w:tc>
        <w:tc>
          <w:tcPr>
            <w:tcW w:w="1514"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 xml:space="preserve">Value Realized </w:t>
              <w:br/>
              <w:t>on Vesting (2)</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160,743 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8,247,851 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138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6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5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43,429 </w:t>
            </w:r>
          </w:p>
        </w:tc>
        <w:tc>
          <w:tcPr>
            <w:tcW w:w="6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2,132,028 </w:t>
            </w:r>
          </w:p>
        </w:tc>
        <w:tc>
          <w:tcPr>
            <w:tcW w:w="5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Daniel Burkland</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65,175 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3,176,637 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138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69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5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44,505 </w:t>
            </w:r>
          </w:p>
        </w:tc>
        <w:tc>
          <w:tcPr>
            <w:tcW w:w="67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2,051,485 </w:t>
            </w:r>
          </w:p>
        </w:tc>
        <w:tc>
          <w:tcPr>
            <w:tcW w:w="51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Panos Kozanian</w:t>
            </w:r>
          </w:p>
        </w:tc>
        <w:tc>
          <w:tcPr>
            <w:tcW w:w="138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69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51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43,653 </w:t>
            </w:r>
          </w:p>
        </w:tc>
        <w:tc>
          <w:tcPr>
            <w:tcW w:w="67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2,101,600 </w:t>
            </w:r>
          </w:p>
        </w:tc>
        <w:tc>
          <w:tcPr>
            <w:tcW w:w="51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1.Amount represents the excess of the fair market value of the shares of our Common Stock at the time of the exercise over the exercise price of the stock options multiplied by the number of shares exercised.</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2.Amount is determined based on the closing market price of our Common Stock on the vesting date of such shares multiplied by the number of shares vested. Each vested share was settled through the issuance of one share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Potential Payments upon Termination or Change in Control </w:t>
      </w:r>
    </w:p>
    <w:p>
      <w:pPr>
        <w:pStyle w:val="TextBody"/>
        <w:bidi w:val="0"/>
        <w:spacing w:lineRule="auto" w:line="384" w:before="0" w:after="0"/>
        <w:jc w:val="left"/>
        <w:rPr>
          <w:rFonts w:ascii="Tenorite;sans-serif" w:hAnsi="Tenorite;sans-serif"/>
          <w:b w:val="false"/>
          <w:color w:val="2D3243"/>
          <w:sz w:val="18"/>
        </w:rPr>
      </w:pPr>
      <w:r>
        <w:rPr>
          <w:rFonts w:ascii="Tenorite;sans-serif" w:hAnsi="Tenorite;sans-serif"/>
          <w:b w:val="false"/>
          <w:color w:val="2D3243"/>
          <w:sz w:val="18"/>
        </w:rPr>
        <w:t xml:space="preserve">Our Compensation Committee has approved the Severance Plan to provide consistency in severance payments and benefit rights for our senior executives, including our NEOs, upon certain qualifying terminations of employment, whether or not in connection with a change in control of our company. When Mr. Daniel Burkland transitioned to the role of Executive Vice President, Go-to-Market Strategy effective November 7, 2024, he was no longer an executive officer of the Company. Accordingly, after November 7, 2024, Mr. Daniel Burkland was not entitled to severance payments or benefits under our Severance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40410"/>
                <wp:effectExtent l="0" t="0" r="0" b="0"/>
                <wp:wrapNone/>
                <wp:docPr id="110" name="Frame7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120" w:after="180"/>
        <w:jc w:val="left"/>
        <w:rPr>
          <w:rFonts w:ascii="Tenorite;sans-serif" w:hAnsi="Tenorite;sans-serif"/>
          <w:b w:val="false"/>
          <w:color w:val="2D3243"/>
          <w:sz w:val="18"/>
        </w:rPr>
      </w:pPr>
      <w:r>
        <w:rPr>
          <w:rFonts w:ascii="Tenorite;sans-serif" w:hAnsi="Tenorite;sans-serif"/>
          <w:b w:val="false"/>
          <w:color w:val="2D3243"/>
          <w:sz w:val="18"/>
        </w:rPr>
        <w:t>Under the Severance Plan, if an NEO’s employment with us is terminated by us without “cause” (as defined in the 2014 Plan) (other than due to death or disability), and such termination is not in connection with a “change in control” (as defined in the Severance Plan) of the Company, then the NEO (other than Mr. Daniel Burkland) is eligible to receive:</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a lump sum cash payment equal to 12 months (in the case of our CEO), or a lump sum cash payment equal to nine months (in the case of Mr. Zwarenstein), or six months (in the case of Messrs. Dignan and Kozanian) of his then-current annual base salary, and</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either payment of the premiums for his continued post-termination health insurance coverage, or continued coverage under our health insurance plans for up to 12 months (in the case of our CEO), or up to nine months (in the case of Mr. Zwarenstein), or six months (in the case of Messrs. Dignan and Kozanian).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If our CEO terminates his employment with us pursuant to a “constructive termination” (as defined in the Severance Plan), and such termination is not in connection with a “change in control” (as defined in the Severance Plan) of the Company, then he is eligible to receive the same payments and benefits as described above in the event of a termination without “cause.”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an NEO’s employment with us is terminated by us without cause (other than due to death or disability) or by the NEO pursuant to a “constructive termination” (as defined in the Severance Plan), and in each case, such qualifying termination occurs within three months prior to, on or within 12 months after a change in control of the Company, then the NEO (other than Daniel Burkland) is eligible to receive:</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a lump sum cash payment equal to 18 months (in the case of our CEO), or a lump sum cash payment equal to 15 months (in the case of Mr. Zwarenstein), or 12 months (in the case of Messrs. Dignan and Kozanian) of his then-current base salary and his target annual cash bonus opportunity,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either payment of the premiums for his continued post-termination health insurance coverage for up to 18 months (in the case of our CEO), or up to 15 months (in the case of Mr. Zwarenstein), or 12 months (in the case of Messrs. Dignan and Kozanian), and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full accelerated vesting of his then-outstanding and unvested equity awards.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If the payments or benefits payable under the Severance Plan would be subject to the excise tax imposed under Section 4999 of the Code, then those payments or benefits will be reduced if such reduction would result in a higher net after tax benefit to the affected NEO. Each NEO must execute and deliver an effective release of claims and continue to comply with any applicable restrictive covenants in order to receive the payments and benefits provided for under the Severance Plan.</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addition to the benefits under the Severance Plan, pursuant to the Employment Offer Letter, our CEO is also eligible to receive continued company-provided healthcare benefits (for himself, his spouse, and eligible dependents) during and following his service as our CEO or as a director, generally on the same basis as was previously provided under his prior Chairman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40410"/>
                <wp:effectExtent l="0" t="0" r="0" b="0"/>
                <wp:wrapNone/>
                <wp:docPr id="111" name="Frame7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 table below sets forth the estimated payments and benefits that would be provided to each of our NEOs upon a qualifying termination of employment under the Severance Plan and, for our CEO, under the Employment Offer Letter, as of December 31, 2024.</w:t>
      </w:r>
    </w:p>
    <w:tbl>
      <w:tblPr>
        <w:tblW w:w="10205" w:type="dxa"/>
        <w:jc w:val="left"/>
        <w:tblInd w:w="0" w:type="dxa"/>
        <w:tblLayout w:type="fixed"/>
        <w:tblCellMar>
          <w:top w:w="28" w:type="dxa"/>
          <w:left w:w="28" w:type="dxa"/>
          <w:bottom w:w="28" w:type="dxa"/>
          <w:right w:w="28" w:type="dxa"/>
        </w:tblCellMar>
      </w:tblPr>
      <w:tblGrid>
        <w:gridCol w:w="627"/>
        <w:gridCol w:w="376"/>
        <w:gridCol w:w="353"/>
        <w:gridCol w:w="928"/>
        <w:gridCol w:w="448"/>
        <w:gridCol w:w="450"/>
        <w:gridCol w:w="443"/>
        <w:gridCol w:w="1857"/>
        <w:gridCol w:w="213"/>
        <w:gridCol w:w="109"/>
        <w:gridCol w:w="109"/>
        <w:gridCol w:w="109"/>
        <w:gridCol w:w="512"/>
        <w:gridCol w:w="2827"/>
        <w:gridCol w:w="247"/>
        <w:gridCol w:w="109"/>
        <w:gridCol w:w="109"/>
        <w:gridCol w:w="109"/>
        <w:gridCol w:w="109"/>
        <w:gridCol w:w="161"/>
      </w:tblGrid>
      <w:tr>
        <w:trPr/>
        <w:tc>
          <w:tcPr>
            <w:tcW w:w="6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color w:val="FFFFFF"/>
                <w:sz w:val="16"/>
              </w:rPr>
              <w:t>Name</w:t>
            </w:r>
            <w:r>
              <w:rPr>
                <w:rFonts w:ascii="Tenorite;sans-serif" w:hAnsi="Tenorite;sans-serif"/>
                <w:b/>
                <w:color w:val="FFFFFF"/>
                <w:sz w:val="10"/>
              </w:rPr>
              <w:t>(1)</w:t>
            </w:r>
          </w:p>
        </w:tc>
        <w:tc>
          <w:tcPr>
            <w:tcW w:w="182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FFFFFF"/>
                <w:sz w:val="16"/>
              </w:rPr>
            </w:pPr>
            <w:r>
              <w:rPr>
                <w:rFonts w:ascii="Tenorite;sans-serif" w:hAnsi="Tenorite;sans-serif"/>
                <w:b/>
                <w:color w:val="FFFFFF"/>
                <w:sz w:val="16"/>
              </w:rPr>
              <w:t>Type of Benefit</w:t>
            </w:r>
          </w:p>
        </w:tc>
        <w:tc>
          <w:tcPr>
            <w:tcW w:w="2513"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6"/>
              </w:rPr>
              <w:t xml:space="preserve">Involuntary Termination Without Cause Not In Connection With a Change in Control </w:t>
            </w:r>
            <w:r>
              <w:rPr>
                <w:rFonts w:ascii="Tenorite;sans-serif" w:hAnsi="Tenorite;sans-serif"/>
                <w:b/>
                <w:color w:val="FFFFFF"/>
                <w:sz w:val="10"/>
              </w:rPr>
              <w:t>(2)</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Involuntary Termination Without Cause or Termination Due to a Constructive Termination, each in connection with a Change in Control</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base salary</w:t>
            </w:r>
          </w:p>
        </w:tc>
        <w:tc>
          <w:tcPr>
            <w:tcW w:w="443"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857" w:type="dxa"/>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585,000 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2827" w:type="dxa"/>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877,500 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bonus</w:t>
            </w:r>
          </w:p>
        </w:tc>
        <w:tc>
          <w:tcPr>
            <w:tcW w:w="23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877,500 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Value of accelerated vesting of equity awards</w:t>
            </w:r>
            <w:r>
              <w:rPr>
                <w:rFonts w:ascii="Tenorite;sans-serif" w:hAnsi="Tenorite;sans-serif"/>
                <w:b w:val="false"/>
                <w:color w:val="2D3243"/>
                <w:sz w:val="10"/>
              </w:rPr>
              <w:t>(3)</w:t>
            </w:r>
          </w:p>
        </w:tc>
        <w:tc>
          <w:tcPr>
            <w:tcW w:w="23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15,596,088 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Company-paid health care premiums</w:t>
            </w:r>
          </w:p>
        </w:tc>
        <w:tc>
          <w:tcPr>
            <w:tcW w:w="23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35,832 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53,748 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Total</w:t>
            </w:r>
          </w:p>
        </w:tc>
        <w:tc>
          <w:tcPr>
            <w:tcW w:w="443"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1857"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620,832</w:t>
            </w:r>
            <w:r>
              <w:rPr>
                <w:color w:val="2D3243"/>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2827"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17,404,836</w:t>
            </w:r>
            <w:r>
              <w:rPr>
                <w:color w:val="2D3243"/>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Barry Zwarenstein</w:t>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base salary</w:t>
            </w:r>
          </w:p>
        </w:tc>
        <w:tc>
          <w:tcPr>
            <w:tcW w:w="443"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857"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330,000 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2827"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550,000 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restart"/>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bonus</w:t>
            </w:r>
          </w:p>
        </w:tc>
        <w:tc>
          <w:tcPr>
            <w:tcW w:w="23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412,500 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Value of accelerated vesting of equity awards</w:t>
            </w:r>
            <w:r>
              <w:rPr>
                <w:rFonts w:ascii="Tenorite;sans-serif" w:hAnsi="Tenorite;sans-serif"/>
                <w:b w:val="false"/>
                <w:color w:val="2D3243"/>
                <w:sz w:val="10"/>
              </w:rPr>
              <w:t>(3)</w:t>
            </w:r>
          </w:p>
        </w:tc>
        <w:tc>
          <w:tcPr>
            <w:tcW w:w="23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3,398,276 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Company-paid health care premiums</w:t>
            </w:r>
          </w:p>
        </w:tc>
        <w:tc>
          <w:tcPr>
            <w:tcW w:w="23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19,926 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33,210 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shd w:fill="F0F1F2" w:val="clear"/>
            <w:tcMar>
              <w:top w:w="0" w:type="dxa"/>
              <w:left w:w="0" w:type="dxa"/>
              <w:bottom w:w="0" w:type="dxa"/>
              <w:right w:w="0" w:type="dxa"/>
            </w:tcMar>
            <w:vAlign w:val="center"/>
          </w:tcPr>
          <w:p>
            <w:pPr>
              <w:pStyle w:val="Normal"/>
              <w:bidi w:val="0"/>
              <w:jc w:val="left"/>
              <w:rPr/>
            </w:pPr>
            <w:r>
              <w:rPr/>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Total</w:t>
            </w:r>
          </w:p>
        </w:tc>
        <w:tc>
          <w:tcPr>
            <w:tcW w:w="443"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1857"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349,926</w:t>
            </w:r>
            <w:r>
              <w:rPr>
                <w:color w:val="2D3243"/>
              </w:rPr>
              <w:t>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2827"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4,393,986</w:t>
            </w:r>
            <w:r>
              <w:rPr>
                <w:color w:val="2D3243"/>
              </w:rPr>
              <w:t>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Andy Dignan</w:t>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base salary</w:t>
            </w:r>
          </w:p>
        </w:tc>
        <w:tc>
          <w:tcPr>
            <w:tcW w:w="443"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857" w:type="dxa"/>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223,000 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2827" w:type="dxa"/>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446,000 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bonus</w:t>
            </w:r>
          </w:p>
        </w:tc>
        <w:tc>
          <w:tcPr>
            <w:tcW w:w="23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334,500 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Value of accelerated vesting of equity awards</w:t>
            </w:r>
            <w:r>
              <w:rPr>
                <w:rFonts w:ascii="Tenorite;sans-serif" w:hAnsi="Tenorite;sans-serif"/>
                <w:b w:val="false"/>
                <w:color w:val="2D3243"/>
                <w:sz w:val="10"/>
              </w:rPr>
              <w:t>(3)</w:t>
            </w:r>
          </w:p>
        </w:tc>
        <w:tc>
          <w:tcPr>
            <w:tcW w:w="23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4,455,201 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Company-paid health care premiums</w:t>
            </w:r>
          </w:p>
        </w:tc>
        <w:tc>
          <w:tcPr>
            <w:tcW w:w="23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17,916 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35,832 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Total</w:t>
            </w:r>
          </w:p>
        </w:tc>
        <w:tc>
          <w:tcPr>
            <w:tcW w:w="443"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1857"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240,916</w:t>
            </w:r>
            <w:r>
              <w:rPr>
                <w:color w:val="2D3243"/>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2827"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5,271,533</w:t>
            </w:r>
            <w:r>
              <w:rPr>
                <w:color w:val="2D3243"/>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Panos Kozanian</w:t>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base salary</w:t>
            </w:r>
          </w:p>
        </w:tc>
        <w:tc>
          <w:tcPr>
            <w:tcW w:w="443"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857"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225,000 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2827"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450,000 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restart"/>
            <w:tcBorders>
              <w:bottom w:val="single" w:sz="8" w:space="0" w:color="2A4CF9"/>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Cash severance - bonus</w:t>
            </w:r>
          </w:p>
        </w:tc>
        <w:tc>
          <w:tcPr>
            <w:tcW w:w="23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292,500 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bottom w:val="single" w:sz="8" w:space="0" w:color="2A4CF9"/>
            </w:tcBorders>
            <w:shd w:fill="F0F1F2" w:val="clear"/>
            <w:tcMar>
              <w:top w:w="0" w:type="dxa"/>
              <w:left w:w="0" w:type="dxa"/>
              <w:right w:w="0" w:type="dxa"/>
            </w:tcMar>
            <w:vAlign w:val="center"/>
          </w:tcPr>
          <w:p>
            <w:pPr>
              <w:pStyle w:val="Normal"/>
              <w:bidi w:val="0"/>
              <w:jc w:val="left"/>
              <w:rPr/>
            </w:pPr>
            <w:r>
              <w:rPr/>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0"/>
              <w:jc w:val="left"/>
              <w:rPr/>
            </w:pPr>
            <w:r>
              <w:rPr>
                <w:rFonts w:ascii="Tenorite;sans-serif" w:hAnsi="Tenorite;sans-serif"/>
                <w:b w:val="false"/>
                <w:color w:val="2D3243"/>
                <w:sz w:val="16"/>
              </w:rPr>
              <w:t>Value of accelerated vesting of equity awards</w:t>
            </w:r>
            <w:r>
              <w:rPr>
                <w:rFonts w:ascii="Tenorite;sans-serif" w:hAnsi="Tenorite;sans-serif"/>
                <w:b w:val="false"/>
                <w:color w:val="2D3243"/>
                <w:sz w:val="10"/>
              </w:rPr>
              <w:t>(3)</w:t>
            </w:r>
          </w:p>
        </w:tc>
        <w:tc>
          <w:tcPr>
            <w:tcW w:w="23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3,667,760 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bottom w:val="single" w:sz="8" w:space="0" w:color="2A4CF9"/>
            </w:tcBorders>
            <w:shd w:fill="F0F1F2" w:val="clear"/>
            <w:tcMar>
              <w:top w:w="0" w:type="dxa"/>
              <w:left w:w="0" w:type="dxa"/>
              <w:right w:w="0" w:type="dxa"/>
            </w:tcMar>
            <w:vAlign w:val="center"/>
          </w:tcPr>
          <w:p>
            <w:pPr>
              <w:pStyle w:val="Normal"/>
              <w:bidi w:val="0"/>
              <w:jc w:val="left"/>
              <w:rPr/>
            </w:pPr>
            <w:r>
              <w:rPr/>
            </w:r>
          </w:p>
        </w:tc>
        <w:tc>
          <w:tcPr>
            <w:tcW w:w="1826"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Company-paid health care premiums</w:t>
            </w:r>
          </w:p>
        </w:tc>
        <w:tc>
          <w:tcPr>
            <w:tcW w:w="2300"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11,472 </w:t>
            </w:r>
          </w:p>
        </w:tc>
        <w:tc>
          <w:tcPr>
            <w:tcW w:w="2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22,944 </w:t>
            </w:r>
          </w:p>
        </w:tc>
        <w:tc>
          <w:tcPr>
            <w:tcW w:w="24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vMerge w:val="continue"/>
            <w:tcBorders>
              <w:bottom w:val="single" w:sz="8" w:space="0" w:color="2A4CF9"/>
            </w:tcBorders>
            <w:shd w:fill="F0F1F2" w:val="clear"/>
            <w:tcMar>
              <w:top w:w="0" w:type="dxa"/>
              <w:left w:w="0" w:type="dxa"/>
              <w:right w:w="0" w:type="dxa"/>
            </w:tcMar>
            <w:vAlign w:val="center"/>
          </w:tcPr>
          <w:p>
            <w:pPr>
              <w:pStyle w:val="Normal"/>
              <w:bidi w:val="0"/>
              <w:jc w:val="left"/>
              <w:rPr/>
            </w:pPr>
            <w:r>
              <w:rPr/>
            </w:r>
          </w:p>
        </w:tc>
        <w:tc>
          <w:tcPr>
            <w:tcW w:w="1826" w:type="dxa"/>
            <w:gridSpan w:val="3"/>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Total</w:t>
            </w:r>
          </w:p>
        </w:tc>
        <w:tc>
          <w:tcPr>
            <w:tcW w:w="443" w:type="dxa"/>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1857" w:type="dxa"/>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236,472</w:t>
            </w:r>
            <w:r>
              <w:rPr>
                <w:color w:val="2D3243"/>
              </w:rPr>
              <w:t> </w:t>
            </w:r>
          </w:p>
        </w:tc>
        <w:tc>
          <w:tcPr>
            <w:tcW w:w="213"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w:t>
            </w:r>
          </w:p>
        </w:tc>
        <w:tc>
          <w:tcPr>
            <w:tcW w:w="2827" w:type="dxa"/>
            <w:tcBorders>
              <w:bottom w:val="single" w:sz="8" w:space="0" w:color="2A4CF9"/>
            </w:tcBorders>
            <w:shd w:fill="F0F1F2" w:val="clear"/>
            <w:tcMar>
              <w:top w:w="0" w:type="dxa"/>
              <w:left w:w="0" w:type="dxa"/>
              <w:bottom w:w="30" w:type="dxa"/>
              <w:right w:w="0" w:type="dxa"/>
            </w:tcMar>
            <w:vAlign w:val="center"/>
          </w:tcPr>
          <w:p>
            <w:pPr>
              <w:pStyle w:val="TableContents"/>
              <w:bidi w:val="0"/>
              <w:spacing w:lineRule="auto" w:line="288" w:before="0" w:after="283"/>
              <w:jc w:val="right"/>
              <w:rPr/>
            </w:pPr>
            <w:r>
              <w:rPr>
                <w:rFonts w:ascii="Tenorite;sans-serif" w:hAnsi="Tenorite;sans-serif"/>
                <w:b/>
                <w:color w:val="2D3243"/>
                <w:sz w:val="16"/>
              </w:rPr>
              <w:t>4,433,204</w:t>
            </w:r>
            <w:r>
              <w:rPr>
                <w:color w:val="2D3243"/>
              </w:rPr>
              <w:t> </w:t>
            </w:r>
          </w:p>
        </w:tc>
        <w:tc>
          <w:tcPr>
            <w:tcW w:w="247" w:type="dxa"/>
            <w:tcBorders>
              <w:bottom w:val="single" w:sz="8" w:space="0" w:color="2A4CF9"/>
            </w:tcBorders>
            <w:shd w:fill="F0F1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1.Mr. Daniel Burkland was not entitled to severance benefits under our Severance Plan as of December 31, 2024.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2.Mr. Michael Burkland is also entitled to the same payments and benefits in the event of a constructive termination of employment.</w:t>
      </w:r>
    </w:p>
    <w:p>
      <w:pPr>
        <w:pStyle w:val="TextBody"/>
        <w:bidi w:val="0"/>
        <w:spacing w:lineRule="auto" w:line="360" w:before="0" w:after="240"/>
        <w:ind w:left="0" w:right="0" w:hanging="450"/>
        <w:jc w:val="left"/>
        <w:rPr>
          <w:rFonts w:ascii="Tenorite;sans-serif" w:hAnsi="Tenorite;sans-serif"/>
          <w:b w:val="false"/>
          <w:color w:val="2D3243"/>
          <w:sz w:val="16"/>
        </w:rPr>
      </w:pPr>
      <w:r>
        <w:rPr>
          <w:rFonts w:ascii="Tenorite;sans-serif" w:hAnsi="Tenorite;sans-serif"/>
          <w:b w:val="false"/>
          <w:color w:val="2D3243"/>
          <w:sz w:val="16"/>
        </w:rPr>
        <w:t>3.Amount represents the aggregate intrinsic value of the equity awards to vest upon either an involuntary termination of employment without cause or a termination of employment due to a constructive termination, each in connection with a change in control of the Company, which was calculated based on the closing market price of $40.64 per share of our Common Stock at December 31, 2024, the last trading day of 2024. In addition, if a successor entity refused to assume or replace a NEO’s outstanding equity awards at the time of the change in control of the Company, all such outstanding awards would become fully vested as of immediately prior to the closing of the change in control under the terms of our 2014 Plan, in these same amounts, regardless of whether such NEO experiences a termination of employment.</w:t>
      </w:r>
    </w:p>
    <w:p>
      <w:pPr>
        <w:pStyle w:val="TextBody"/>
        <w:bidi w:val="0"/>
        <w:spacing w:lineRule="auto" w:line="384" w:before="0" w:after="180"/>
        <w:jc w:val="left"/>
        <w:rPr>
          <w:rFonts w:ascii="Tenorite;sans-serif" w:hAnsi="Tenorite;sans-serif"/>
          <w:b/>
          <w:color w:val="2D3243"/>
          <w:sz w:val="18"/>
        </w:rPr>
      </w:pPr>
      <w:r>
        <w:rPr>
          <w:rFonts w:ascii="Tenorite;sans-serif" w:hAnsi="Tenorite;sans-serif"/>
          <w:b/>
          <w:color w:val="2D3243"/>
          <w:sz w:val="18"/>
        </w:rPr>
        <w:t>Post-Termination Arrangements for Messrs. Zwarenstein and Daniel Burkland</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As previously disclosed, on February 20, 2025, the Company announced that Mr. Zwarenstein decided to retire from his position as the Chief Financial Officer of the Company, effective as of March 31, 2025. In connection with Mr. Zwarenstein’s retirement, on February 20, 2025, the Company and Mr. Zwarenstein entered into an Employment Transition Agreement (the “Transition Agreement”). Pursuant to the Transition Agreement, (i) from April 1, 2025 through June 30, 2025, Mr. Zwarenstein will remain employed by Five9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40410"/>
                <wp:effectExtent l="0" t="0" r="0" b="0"/>
                <wp:wrapNone/>
                <wp:docPr id="112" name="Frame7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assist with the transition of the role of Chief Financial Officer to his successor (but will no longer be an executive officer of the Company), and (ii) from July 1, 2025 through September 30, 2025, Mr. Zwarenstein will continue to provide transition and advisory services as a consultant to the Company. As consideration for the transition and advisory services he provides pursuant to the Transition Agreement, Mr. Zwarenstein will be paid an hourly rate, will be eligible to earn a pro-rated potion of his 2025 annual bonus for the portion of 2025 that occurred prior to April 1, 2025, and will receive subsidized COBRA benefits while he provides services as a consultant, each as further described in the Transition Agreement. The Transition Agreement also contains customary terms including provisions regarding confidentiality and assignment of inventions.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As previously disclosed, on February 7, 2025, Mr. Daniel Burkland and the Company entered into a six-month consulting agreement (the “Consulting Agreement”) with an effective date of March 8, 2025. Pursuant to the Consulting Agreement, Mr. Daniel Burkland has transitioned from the role of Executive Vice President, Go-to-Market Strategy to a consultant to the Company, under which he provides transition and advisory services in the areas of sales, marketing, partnerships and customer relationships. As consideration for his services, Mr. Daniel Burkland will be paid an hourly rate as set forth in the Consulting Agreement. The Consulting Agreement also contains customary terms including provisions regarding confidentiality and assignment of inventions.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pPr>
      <w:r>
        <w:rPr>
          <w:rFonts w:ascii="Tenorite;sans-serif" w:hAnsi="Tenorite;sans-serif"/>
          <w:b/>
          <w:color w:val="2A4CF9"/>
          <w:sz w:val="24"/>
        </w:rPr>
        <w:t>CEO Pay Ratio</w:t>
      </w:r>
      <w:r>
        <w:rPr>
          <w:color w:val="EE2724"/>
        </w:rPr>
        <w:t xml:space="preserve"> </w:t>
      </w:r>
    </w:p>
    <w:p>
      <w:pPr>
        <w:pStyle w:val="TextBody"/>
        <w:bidi w:val="0"/>
        <w:spacing w:lineRule="auto" w:line="384" w:before="0" w:after="140"/>
        <w:jc w:val="left"/>
        <w:rPr>
          <w:rFonts w:ascii="Tenorite;sans-serif" w:hAnsi="Tenorite;sans-serif"/>
          <w:b w:val="false"/>
          <w:color w:val="2D3243"/>
          <w:sz w:val="18"/>
        </w:rPr>
      </w:pPr>
      <w:r>
        <w:rPr>
          <w:rFonts w:ascii="Tenorite;sans-serif" w:hAnsi="Tenorite;sans-serif"/>
          <w:b w:val="false"/>
          <w:color w:val="2D3243"/>
          <w:sz w:val="18"/>
        </w:rPr>
        <w:t>In accordance with Item 402(u) of Regulation S-K, we are providing below disclosure relating to the ratio of the median of the annual total compensation of all of our employees (other than our Chief Executive Officer) and the annual total compensation of our Chief Executive Officer, Mr. Michael Burkland (our “CEO”).</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Since it has been three years since we identified a median employee for purposes of the CEO pay ratio calculation, as defined by Item 402(u) of Regulation S-K, we completed an assessment to identify a new median employee for 2024.</w:t>
      </w:r>
    </w:p>
    <w:p>
      <w:pPr>
        <w:pStyle w:val="TextBody"/>
        <w:bidi w:val="0"/>
        <w:spacing w:lineRule="auto" w:line="384" w:before="0" w:after="120"/>
        <w:jc w:val="left"/>
        <w:rPr>
          <w:rFonts w:ascii="Tenorite;sans-serif" w:hAnsi="Tenorite;sans-serif"/>
          <w:b w:val="false"/>
          <w:color w:val="2D3243"/>
          <w:sz w:val="18"/>
        </w:rPr>
      </w:pPr>
      <w:r>
        <w:rPr>
          <w:rFonts w:ascii="Tenorite;sans-serif" w:hAnsi="Tenorite;sans-serif"/>
          <w:b w:val="false"/>
          <w:color w:val="2D3243"/>
          <w:sz w:val="18"/>
        </w:rPr>
        <w:t>The methodology we used to identify our median employee for 2024 was as follows:</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We selected December 31, 2024, the last day of our 2024 fiscal year, as the determination date for purposes of identifying our median employee.</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We selected our median employee based on 2,812 full-time and part-time employees who were included as employees on our payroll records as of the determination date. As permitted under Item 402(u), we have excluded the 266 employees of Acqueon, Inc., which we acquired in August 2024.</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We selected our median employee using a compensation measure that consisted of cash compensation payable and paid during 2024 (base salary rate, hourly wages and quarterly and annual incentive compensation) and the grant date fair value of equity awards granted in 2024. We annualized base salary rate and quarterly and annual incentive compensation for any full-time and part-time employees who commenced work during 2024 to reflect a full calendar year.</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We did not rely on the data privacy or de minimis exceptions allowed by SEC rules to exclude any non-U.S. employees from our employee population, nor did we use any cost-of-living adjustment. </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We converted amounts paid to non-U.S. employees in foreign currencies to U.S. dollars using foreign currency exchange rates in effect as of December 31, 2024.</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 xml:space="preserve">All employees except for our CEO were ranked from lowest to highest with the median employee determined from this list. </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We calculated the annual total compensation of our median employee in the same manner that we calculated the total compensation of our CEO for purposes of the 2024 Summary Compensation Table. This annual total compensation amount for our median employee was then compared to the annual total compensation of our CEO (as required by Item 402(u) of Regulation S-K) to determine the pay ratio.</w:t>
      </w:r>
    </w:p>
    <w:p>
      <w:pPr>
        <w:pStyle w:val="TextBody"/>
        <w:bidi w:val="0"/>
        <w:spacing w:lineRule="auto" w:line="384" w:before="0" w:after="180"/>
        <w:ind w:left="0" w:right="0" w:firstLine="720"/>
        <w:jc w:val="left"/>
        <w:rPr>
          <w:rFonts w:ascii="Tenorite;sans-serif" w:hAnsi="Tenorite;sans-serif"/>
          <w:b w:val="false"/>
          <w:color w:val="2D3243"/>
          <w:sz w:val="18"/>
        </w:rPr>
      </w:pPr>
      <w:r>
        <w:rPr>
          <w:rFonts w:ascii="Tenorite;sans-serif" w:hAnsi="Tenorite;sans-serif"/>
          <w:b w:val="false"/>
          <w:color w:val="2D3243"/>
          <w:sz w:val="18"/>
        </w:rPr>
        <w:t>For 2024:</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The median of the annual total compensation of all our employees was $147,350;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40410"/>
                <wp:effectExtent l="0" t="0" r="0" b="0"/>
                <wp:wrapNone/>
                <wp:docPr id="113" name="Frame7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 xml:space="preserve">The annual total compensation of our CEO, Michael Burkland, was $11,997,464; and </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The ratio of the annual total compensation of our CEO to the median of the annual total compensation of all our employees was 81 to 1.</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Please note that this pay ratio is significantly higher than our CEO pay ratio in 2023 as our CEO Michael Burkland was not eligible for (and did not receive) an equity award in 2023 as he had previously received a new hire equity award in December 2022. In 2024, Michael Burkland received a more customary "refresh" equity award.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This ratio is a reasonable estimate calculated in a manner consistent with SEC rules.</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Because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enorite;sans-serif" w:hAnsi="Tenorite;sans-serif"/>
          <w:b/>
          <w:color w:val="2A4CF9"/>
          <w:sz w:val="24"/>
        </w:rPr>
      </w:pPr>
      <w:r>
        <w:rPr>
          <w:rFonts w:ascii="Tenorite;sans-serif" w:hAnsi="Tenorite;sans-serif"/>
          <w:b/>
          <w:color w:val="2A4CF9"/>
          <w:sz w:val="24"/>
        </w:rPr>
        <w:t xml:space="preserve">Pay versus Performance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As required by Item 402(v) of Regulation S-K, we are providing the following information about the relationship between executive "compensation actually paid" (as defined by Item 402(v) and as further described below) to our named executive officers and certain company financial performance measures.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following table provides information showing the relationship during 2024, 2023, 2022, 2021 and 2020 between (1) executive "compensation actually paid” to (a) each person serving as our principal executive officer or PEO (also referred to as our CEO) and (b) our non-PEO named executive officers (also referred to below as our "other NEOs"), on an average basis, and (2) the Company’s financial performance. The Company selected performance measure (the "CSM") included in the charts below is Revenue and Adjusted EBITDA is included as a supplemental measure because it is almost equally important. Both of the measures are described in more detail in the "Compensation Discussion and Analysis - Key Elements of Our 2024 Executive Compensation Program" section above. </w:t>
      </w:r>
    </w:p>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 xml:space="preserve">2024 Pay Versus Performance Table </w:t>
      </w:r>
    </w:p>
    <w:tbl>
      <w:tblPr>
        <w:tblW w:w="14177" w:type="dxa"/>
        <w:jc w:val="left"/>
        <w:tblInd w:w="0" w:type="dxa"/>
        <w:tblLayout w:type="fixed"/>
        <w:tblCellMar>
          <w:top w:w="28" w:type="dxa"/>
          <w:left w:w="28" w:type="dxa"/>
          <w:bottom w:w="28" w:type="dxa"/>
          <w:right w:w="28" w:type="dxa"/>
        </w:tblCellMar>
      </w:tblPr>
      <w:tblGrid>
        <w:gridCol w:w="173"/>
        <w:gridCol w:w="153"/>
        <w:gridCol w:w="155"/>
        <w:gridCol w:w="606"/>
        <w:gridCol w:w="355"/>
        <w:gridCol w:w="356"/>
        <w:gridCol w:w="621"/>
        <w:gridCol w:w="355"/>
        <w:gridCol w:w="356"/>
        <w:gridCol w:w="606"/>
        <w:gridCol w:w="355"/>
        <w:gridCol w:w="356"/>
        <w:gridCol w:w="606"/>
        <w:gridCol w:w="355"/>
        <w:gridCol w:w="356"/>
        <w:gridCol w:w="516"/>
        <w:gridCol w:w="355"/>
        <w:gridCol w:w="356"/>
        <w:gridCol w:w="606"/>
        <w:gridCol w:w="355"/>
        <w:gridCol w:w="356"/>
        <w:gridCol w:w="574"/>
        <w:gridCol w:w="212"/>
        <w:gridCol w:w="145"/>
        <w:gridCol w:w="574"/>
        <w:gridCol w:w="211"/>
        <w:gridCol w:w="146"/>
        <w:gridCol w:w="109"/>
        <w:gridCol w:w="109"/>
        <w:gridCol w:w="109"/>
        <w:gridCol w:w="109"/>
        <w:gridCol w:w="109"/>
        <w:gridCol w:w="330"/>
        <w:gridCol w:w="331"/>
        <w:gridCol w:w="136"/>
        <w:gridCol w:w="435"/>
        <w:gridCol w:w="436"/>
        <w:gridCol w:w="226"/>
        <w:gridCol w:w="386"/>
        <w:gridCol w:w="350"/>
        <w:gridCol w:w="351"/>
        <w:gridCol w:w="109"/>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2" w:space="0" w:color="000000"/>
              <w:left w:val="single" w:sz="2" w:space="0" w:color="000000"/>
            </w:tcBorders>
            <w:shd w:fill="2A4CF9" w:val="clear"/>
            <w:tcMar>
              <w:top w:w="3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2"/>
              </w:rPr>
            </w:pPr>
            <w:r>
              <w:rPr>
                <w:rFonts w:ascii="Tenorite;sans-serif" w:hAnsi="Tenorite;sans-serif"/>
                <w:b/>
                <w:color w:val="FFFFFF"/>
                <w:sz w:val="12"/>
              </w:rPr>
              <w:t xml:space="preserve">Year </w:t>
              <w:br/>
              <w:t>(a)</w:t>
            </w:r>
          </w:p>
        </w:tc>
        <w:tc>
          <w:tcPr>
            <w:tcW w:w="1317" w:type="dxa"/>
            <w:gridSpan w:val="3"/>
            <w:vMerge w:val="restart"/>
            <w:tcBorders>
              <w:top w:val="single" w:sz="2" w:space="0" w:color="000000"/>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2"/>
              </w:rPr>
            </w:pPr>
            <w:r>
              <w:rPr>
                <w:rFonts w:ascii="Tenorite;sans-serif" w:hAnsi="Tenorite;sans-serif"/>
                <w:b/>
                <w:color w:val="FFFFFF"/>
                <w:sz w:val="12"/>
              </w:rPr>
              <w:t>Summary Compensation Table Total for Michael Burkland</w:t>
              <w:br/>
              <w:t>(b)</w:t>
            </w:r>
          </w:p>
        </w:tc>
        <w:tc>
          <w:tcPr>
            <w:tcW w:w="1332" w:type="dxa"/>
            <w:gridSpan w:val="3"/>
            <w:vMerge w:val="restart"/>
            <w:tcBorders>
              <w:top w:val="single" w:sz="2" w:space="0" w:color="000000"/>
            </w:tcBorders>
            <w:shd w:fill="2A4CF9" w:val="clear"/>
            <w:tcMar>
              <w:top w:w="3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2"/>
              </w:rPr>
              <w:t>Compensation Actually Paid to Michael Burkland (c)</w:t>
            </w:r>
            <w:r>
              <w:rPr>
                <w:rFonts w:ascii="Tenorite;sans-serif" w:hAnsi="Tenorite;sans-serif"/>
                <w:b/>
                <w:color w:val="FFFFFF"/>
                <w:sz w:val="8"/>
              </w:rPr>
              <w:t>(1)(8)</w:t>
            </w:r>
          </w:p>
        </w:tc>
        <w:tc>
          <w:tcPr>
            <w:tcW w:w="1317" w:type="dxa"/>
            <w:gridSpan w:val="3"/>
            <w:vMerge w:val="restart"/>
            <w:tcBorders>
              <w:top w:val="single" w:sz="2" w:space="0" w:color="000000"/>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2"/>
              </w:rPr>
            </w:pPr>
            <w:r>
              <w:rPr>
                <w:rFonts w:ascii="Tenorite;sans-serif" w:hAnsi="Tenorite;sans-serif"/>
                <w:b/>
                <w:color w:val="FFFFFF"/>
                <w:sz w:val="12"/>
              </w:rPr>
              <w:t xml:space="preserve">Summary Compensation Table Total </w:t>
              <w:br/>
              <w:t xml:space="preserve">for Rowan Trollope </w:t>
              <w:br/>
              <w:t>(b)</w:t>
            </w:r>
          </w:p>
        </w:tc>
        <w:tc>
          <w:tcPr>
            <w:tcW w:w="1317" w:type="dxa"/>
            <w:gridSpan w:val="3"/>
            <w:vMerge w:val="restart"/>
            <w:tcBorders>
              <w:top w:val="single" w:sz="2" w:space="0" w:color="000000"/>
            </w:tcBorders>
            <w:shd w:fill="2A4CF9" w:val="clear"/>
            <w:tcMar>
              <w:top w:w="3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2"/>
              </w:rPr>
            </w:pPr>
            <w:r>
              <w:rPr>
                <w:rFonts w:ascii="Tenorite;sans-serif" w:hAnsi="Tenorite;sans-serif"/>
                <w:b/>
                <w:color w:val="FFFFFF"/>
                <w:sz w:val="12"/>
              </w:rPr>
              <w:t>Compensation Actually Paid to Rowan Trollope</w:t>
            </w:r>
          </w:p>
          <w:p>
            <w:pPr>
              <w:pStyle w:val="TableContents"/>
              <w:bidi w:val="0"/>
              <w:spacing w:lineRule="auto" w:line="288" w:before="0" w:after="0"/>
              <w:jc w:val="right"/>
              <w:rPr/>
            </w:pPr>
            <w:r>
              <w:rPr>
                <w:rFonts w:ascii="Tenorite;sans-serif" w:hAnsi="Tenorite;sans-serif"/>
                <w:b/>
                <w:color w:val="FFFFFF"/>
                <w:sz w:val="12"/>
              </w:rPr>
              <w:t>(c)</w:t>
            </w:r>
            <w:r>
              <w:rPr>
                <w:rFonts w:ascii="Tenorite;sans-serif" w:hAnsi="Tenorite;sans-serif"/>
                <w:b/>
                <w:color w:val="FFFFFF"/>
                <w:sz w:val="8"/>
              </w:rPr>
              <w:t>(2)(8)</w:t>
            </w:r>
          </w:p>
        </w:tc>
        <w:tc>
          <w:tcPr>
            <w:tcW w:w="1227" w:type="dxa"/>
            <w:gridSpan w:val="3"/>
            <w:vMerge w:val="restart"/>
            <w:tcBorders>
              <w:top w:val="single" w:sz="2" w:space="0" w:color="000000"/>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2"/>
              </w:rPr>
            </w:pPr>
            <w:r>
              <w:rPr>
                <w:rFonts w:ascii="Tenorite;sans-serif" w:hAnsi="Tenorite;sans-serif"/>
                <w:b/>
                <w:color w:val="FFFFFF"/>
                <w:sz w:val="12"/>
              </w:rPr>
              <w:t xml:space="preserve">Average Summary Compensation Table Total for Other NEOs </w:t>
              <w:br/>
              <w:t>(d)</w:t>
            </w:r>
          </w:p>
        </w:tc>
        <w:tc>
          <w:tcPr>
            <w:tcW w:w="1317" w:type="dxa"/>
            <w:gridSpan w:val="3"/>
            <w:vMerge w:val="restart"/>
            <w:tcBorders>
              <w:top w:val="single" w:sz="2" w:space="0" w:color="000000"/>
            </w:tcBorders>
            <w:shd w:fill="2A4CF9" w:val="clear"/>
            <w:tcMar>
              <w:top w:w="3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2"/>
              </w:rPr>
            </w:pPr>
            <w:r>
              <w:rPr>
                <w:rFonts w:ascii="Tenorite;sans-serif" w:hAnsi="Tenorite;sans-serif"/>
                <w:b/>
                <w:color w:val="FFFFFF"/>
                <w:sz w:val="12"/>
              </w:rPr>
              <w:t xml:space="preserve">Average Compensation </w:t>
            </w:r>
          </w:p>
          <w:p>
            <w:pPr>
              <w:pStyle w:val="TableContents"/>
              <w:bidi w:val="0"/>
              <w:spacing w:lineRule="auto" w:line="288" w:before="0" w:after="0"/>
              <w:jc w:val="right"/>
              <w:rPr>
                <w:rFonts w:ascii="Tenorite;sans-serif" w:hAnsi="Tenorite;sans-serif"/>
                <w:b/>
                <w:color w:val="FFFFFF"/>
                <w:sz w:val="12"/>
              </w:rPr>
            </w:pPr>
            <w:r>
              <w:rPr>
                <w:rFonts w:ascii="Tenorite;sans-serif" w:hAnsi="Tenorite;sans-serif"/>
                <w:b/>
                <w:color w:val="FFFFFF"/>
                <w:sz w:val="12"/>
              </w:rPr>
              <w:t xml:space="preserve">Actually Paid to Other NEOs </w:t>
            </w:r>
          </w:p>
          <w:p>
            <w:pPr>
              <w:pStyle w:val="TableContents"/>
              <w:bidi w:val="0"/>
              <w:spacing w:lineRule="auto" w:line="288" w:before="0" w:after="0"/>
              <w:jc w:val="right"/>
              <w:rPr/>
            </w:pPr>
            <w:r>
              <w:rPr>
                <w:rFonts w:ascii="Tenorite;sans-serif" w:hAnsi="Tenorite;sans-serif"/>
                <w:b/>
                <w:color w:val="FFFFFF"/>
                <w:sz w:val="12"/>
              </w:rPr>
              <w:t>(e)</w:t>
            </w:r>
            <w:r>
              <w:rPr>
                <w:rFonts w:ascii="Tenorite;sans-serif" w:hAnsi="Tenorite;sans-serif"/>
                <w:b/>
                <w:color w:val="FFFFFF"/>
                <w:sz w:val="8"/>
              </w:rPr>
              <w:t>(3)(8)</w:t>
            </w:r>
          </w:p>
        </w:tc>
        <w:tc>
          <w:tcPr>
            <w:tcW w:w="1862" w:type="dxa"/>
            <w:gridSpan w:val="6"/>
            <w:tcBorders>
              <w:bottom w:val="single" w:sz="8" w:space="0" w:color="FFFFFF"/>
            </w:tcBorders>
            <w:shd w:fill="2A4CF9" w:val="clear"/>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color w:val="FFFFFF"/>
                <w:sz w:val="12"/>
              </w:rPr>
            </w:pPr>
            <w:r>
              <w:rPr>
                <w:rFonts w:ascii="Tenorite;sans-serif" w:hAnsi="Tenorite;sans-serif"/>
                <w:b/>
                <w:color w:val="FFFFFF"/>
                <w:sz w:val="12"/>
              </w:rPr>
              <w:t>Value of Initial Fixed $100 Investment Based 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2"/>
              </w:rPr>
            </w:pPr>
            <w:r>
              <w:rPr>
                <w:rFonts w:ascii="Tenorite;sans-serif" w:hAnsi="Tenorite;sans-serif"/>
                <w:b/>
                <w:color w:val="FFFFFF"/>
                <w:sz w:val="12"/>
              </w:rPr>
              <w:t>(in thousands)</w:t>
            </w:r>
          </w:p>
        </w:tc>
        <w:tc>
          <w:tcPr>
            <w:tcW w:w="108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2" w:space="0" w:color="000000"/>
              <w:left w:val="single" w:sz="2" w:space="0" w:color="000000"/>
            </w:tcBorders>
            <w:shd w:fill="2A4CF9" w:val="clear"/>
            <w:tcMar>
              <w:top w:w="3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32"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22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931"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0"/>
              <w:jc w:val="center"/>
              <w:rPr>
                <w:rFonts w:ascii="Tenorite;sans-serif" w:hAnsi="Tenorite;sans-serif"/>
                <w:b/>
                <w:color w:val="FFFFFF"/>
                <w:sz w:val="12"/>
              </w:rPr>
            </w:pPr>
            <w:r>
              <w:rPr>
                <w:rFonts w:ascii="Tenorite;sans-serif" w:hAnsi="Tenorite;sans-serif"/>
                <w:b/>
                <w:color w:val="FFFFFF"/>
                <w:sz w:val="12"/>
              </w:rPr>
              <w:t xml:space="preserve">Peer </w:t>
            </w:r>
          </w:p>
          <w:p>
            <w:pPr>
              <w:pStyle w:val="TableContents"/>
              <w:bidi w:val="0"/>
              <w:spacing w:lineRule="auto" w:line="288" w:before="0" w:after="0"/>
              <w:jc w:val="center"/>
              <w:rPr>
                <w:rFonts w:ascii="Tenorite;sans-serif" w:hAnsi="Tenorite;sans-serif"/>
                <w:b/>
                <w:color w:val="FFFFFF"/>
                <w:sz w:val="12"/>
              </w:rPr>
            </w:pPr>
            <w:r>
              <w:rPr>
                <w:rFonts w:ascii="Tenorite;sans-serif" w:hAnsi="Tenorite;sans-serif"/>
                <w:b/>
                <w:color w:val="FFFFFF"/>
                <w:sz w:val="12"/>
              </w:rPr>
              <w:t xml:space="preserve">Group Total Shareholder Return </w:t>
            </w:r>
          </w:p>
          <w:p>
            <w:pPr>
              <w:pStyle w:val="TableContents"/>
              <w:bidi w:val="0"/>
              <w:spacing w:lineRule="auto" w:line="288" w:before="0" w:after="0"/>
              <w:jc w:val="center"/>
              <w:rPr/>
            </w:pPr>
            <w:r>
              <w:rPr>
                <w:rFonts w:ascii="Tenorite;sans-serif" w:hAnsi="Tenorite;sans-serif"/>
                <w:b/>
                <w:color w:val="FFFFFF"/>
                <w:sz w:val="12"/>
              </w:rPr>
              <w:t>(g)</w:t>
            </w:r>
            <w:r>
              <w:rPr>
                <w:rFonts w:ascii="Tenorite;sans-serif" w:hAnsi="Tenorite;sans-serif"/>
                <w:b/>
                <w:color w:val="FFFFFF"/>
                <w:sz w:val="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FFFFFF"/>
            </w:tcBorders>
            <w:shd w:fill="2A4C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2" w:space="0" w:color="000000"/>
              <w:left w:val="single" w:sz="2" w:space="0" w:color="000000"/>
            </w:tcBorders>
            <w:shd w:fill="2A4CF9" w:val="clear"/>
            <w:tcMar>
              <w:top w:w="3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32"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22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1317" w:type="dxa"/>
            <w:gridSpan w:val="3"/>
            <w:vMerge w:val="continue"/>
            <w:tcBorders>
              <w:top w:val="single" w:sz="2" w:space="0" w:color="000000"/>
            </w:tcBorders>
            <w:shd w:fill="2A4CF9" w:val="clear"/>
            <w:tcMar>
              <w:top w:w="30" w:type="dxa"/>
              <w:left w:w="0" w:type="dxa"/>
              <w:bottom w:w="0" w:type="dxa"/>
              <w:right w:w="0" w:type="dxa"/>
            </w:tcMar>
            <w:vAlign w:val="center"/>
          </w:tcPr>
          <w:p>
            <w:pPr>
              <w:pStyle w:val="Normal"/>
              <w:bidi w:val="0"/>
              <w:jc w:val="left"/>
              <w:rPr/>
            </w:pPr>
            <w:r>
              <w:rPr/>
            </w:r>
          </w:p>
        </w:tc>
        <w:tc>
          <w:tcPr>
            <w:tcW w:w="931"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2"/>
              </w:rPr>
            </w:pPr>
            <w:r>
              <w:rPr>
                <w:rFonts w:ascii="Tenorite;sans-serif" w:hAnsi="Tenorite;sans-serif"/>
                <w:b/>
                <w:color w:val="FFFFFF"/>
                <w:sz w:val="12"/>
              </w:rPr>
              <w:t xml:space="preserve">Total Shareholder Return </w:t>
              <w:br/>
              <w:t>(f)</w:t>
            </w:r>
          </w:p>
        </w:tc>
        <w:tc>
          <w:tcPr>
            <w:tcW w:w="931"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2"/>
              </w:rPr>
            </w:pPr>
            <w:r>
              <w:rPr>
                <w:rFonts w:ascii="Tenorite;sans-serif" w:hAnsi="Tenorite;sans-serif"/>
                <w:b/>
                <w:color w:val="FFFFFF"/>
                <w:sz w:val="12"/>
              </w:rPr>
              <w:t>Nasdaq Computer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2"/>
              </w:rPr>
            </w:pPr>
            <w:r>
              <w:rPr>
                <w:rFonts w:ascii="Tenorite;sans-serif" w:hAnsi="Tenorite;sans-serif"/>
                <w:b/>
                <w:color w:val="FFFFFF"/>
                <w:sz w:val="12"/>
              </w:rPr>
              <w:t xml:space="preserve">Net </w:t>
            </w:r>
          </w:p>
          <w:p>
            <w:pPr>
              <w:pStyle w:val="TableContents"/>
              <w:bidi w:val="0"/>
              <w:spacing w:lineRule="auto" w:line="288" w:before="0" w:after="0"/>
              <w:jc w:val="right"/>
              <w:rPr>
                <w:rFonts w:ascii="Tenorite;sans-serif" w:hAnsi="Tenorite;sans-serif"/>
                <w:b/>
                <w:color w:val="FFFFFF"/>
                <w:sz w:val="12"/>
              </w:rPr>
            </w:pPr>
            <w:r>
              <w:rPr>
                <w:rFonts w:ascii="Tenorite;sans-serif" w:hAnsi="Tenorite;sans-serif"/>
                <w:b/>
                <w:color w:val="FFFFFF"/>
                <w:sz w:val="12"/>
              </w:rPr>
              <w:t xml:space="preserve">Loss </w:t>
            </w:r>
          </w:p>
          <w:p>
            <w:pPr>
              <w:pStyle w:val="TableContents"/>
              <w:bidi w:val="0"/>
              <w:spacing w:lineRule="auto" w:line="288" w:before="0" w:after="0"/>
              <w:jc w:val="right"/>
              <w:rPr/>
            </w:pPr>
            <w:r>
              <w:rPr>
                <w:rFonts w:ascii="Tenorite;sans-serif" w:hAnsi="Tenorite;sans-serif"/>
                <w:b/>
                <w:color w:val="FFFFFF"/>
                <w:sz w:val="12"/>
              </w:rPr>
              <w:t>(h)</w:t>
            </w:r>
            <w:r>
              <w:rPr>
                <w:rFonts w:ascii="Tenorite;sans-serif" w:hAnsi="Tenorite;sans-serif"/>
                <w:b/>
                <w:color w:val="FFFFFF"/>
                <w:sz w:val="8"/>
              </w:rPr>
              <w:t>(5)</w:t>
            </w:r>
          </w:p>
        </w:tc>
        <w:tc>
          <w:tcPr>
            <w:tcW w:w="109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2"/>
                <w:u w:val="single"/>
              </w:rPr>
            </w:pPr>
            <w:r>
              <w:rPr>
                <w:rFonts w:ascii="Tenorite;sans-serif" w:hAnsi="Tenorite;sans-serif"/>
                <w:b/>
                <w:color w:val="FFFFFF"/>
                <w:sz w:val="12"/>
                <w:u w:val="single"/>
              </w:rPr>
              <w:t>CSM</w:t>
            </w:r>
          </w:p>
          <w:p>
            <w:pPr>
              <w:pStyle w:val="TableContents"/>
              <w:bidi w:val="0"/>
              <w:spacing w:lineRule="auto" w:line="288" w:before="0" w:after="0"/>
              <w:jc w:val="right"/>
              <w:rPr>
                <w:rFonts w:ascii="Tenorite;sans-serif" w:hAnsi="Tenorite;sans-serif"/>
                <w:b/>
                <w:color w:val="FFFFFF"/>
                <w:sz w:val="12"/>
              </w:rPr>
            </w:pPr>
            <w:r>
              <w:rPr>
                <w:rFonts w:ascii="Tenorite;sans-serif" w:hAnsi="Tenorite;sans-serif"/>
                <w:b/>
                <w:color w:val="FFFFFF"/>
                <w:sz w:val="12"/>
              </w:rPr>
              <w:t>Revenue</w:t>
            </w:r>
          </w:p>
          <w:p>
            <w:pPr>
              <w:pStyle w:val="TableContents"/>
              <w:bidi w:val="0"/>
              <w:spacing w:lineRule="auto" w:line="288" w:before="0" w:after="0"/>
              <w:jc w:val="right"/>
              <w:rPr/>
            </w:pPr>
            <w:r>
              <w:rPr>
                <w:color w:val="FFFFFF"/>
              </w:rPr>
              <w:t> </w:t>
            </w:r>
            <w:r>
              <w:rPr>
                <w:rFonts w:ascii="Tenorite;sans-serif" w:hAnsi="Tenorite;sans-serif"/>
                <w:b/>
                <w:color w:val="FFFFFF"/>
                <w:sz w:val="12"/>
              </w:rPr>
              <w:t>(i)</w:t>
            </w:r>
            <w:r>
              <w:rPr>
                <w:rFonts w:ascii="Tenorite;sans-serif" w:hAnsi="Tenorite;sans-serif"/>
                <w:b/>
                <w:color w:val="FFFFFF"/>
                <w:sz w:val="8"/>
              </w:rPr>
              <w:t>(6)</w:t>
            </w:r>
          </w:p>
        </w:tc>
        <w:tc>
          <w:tcPr>
            <w:tcW w:w="1087"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pPr>
            <w:r>
              <w:rPr>
                <w:rFonts w:ascii="Tenorite;sans-serif" w:hAnsi="Tenorite;sans-serif"/>
                <w:b/>
                <w:color w:val="FFFFFF"/>
                <w:sz w:val="12"/>
              </w:rPr>
              <w:t xml:space="preserve">Supplemental </w:t>
            </w:r>
            <w:r>
              <w:rPr>
                <w:rFonts w:ascii="Tenorite;sans-serif" w:hAnsi="Tenorite;sans-serif"/>
                <w:b/>
                <w:color w:val="FFFFFF"/>
                <w:sz w:val="12"/>
                <w:u w:val="single"/>
              </w:rPr>
              <w:t>Measure</w:t>
            </w:r>
            <w:r>
              <w:rPr>
                <w:color w:val="FFFFFF"/>
              </w:rPr>
              <w:t xml:space="preserve"> </w:t>
            </w:r>
            <w:r>
              <w:rPr>
                <w:rFonts w:ascii="Tenorite;sans-serif" w:hAnsi="Tenorite;sans-serif"/>
                <w:b/>
                <w:color w:val="FFFFFF"/>
                <w:sz w:val="12"/>
              </w:rPr>
              <w:t>Adjusted EBITDA</w:t>
            </w:r>
          </w:p>
          <w:p>
            <w:pPr>
              <w:pStyle w:val="TableContents"/>
              <w:bidi w:val="0"/>
              <w:spacing w:lineRule="auto" w:line="288" w:before="0" w:after="0"/>
              <w:jc w:val="right"/>
              <w:rPr/>
            </w:pPr>
            <w:r>
              <w:rPr>
                <w:rFonts w:ascii="Tenorite;sans-serif" w:hAnsi="Tenorite;sans-serif"/>
                <w:b/>
                <w:color w:val="FFFFFF"/>
                <w:sz w:val="12"/>
              </w:rPr>
              <w:t>(j)</w:t>
            </w:r>
            <w:r>
              <w:rPr>
                <w:rFonts w:ascii="Tenorite;sans-serif" w:hAnsi="Tenorite;sans-serif"/>
                <w:b/>
                <w:color w:val="FFFFFF"/>
                <w:sz w:val="8"/>
              </w:rPr>
              <w:t>(7)</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11,997,464 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(12,596,573)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4,126,696 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(670,424)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(12,795)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1,041,938 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195,982 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2023</w:t>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1,195,211 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3,136,538 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4,361,681 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4,919,123 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120 </w:t>
            </w:r>
          </w:p>
        </w:tc>
        <w:tc>
          <w:tcPr>
            <w:tcW w:w="14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213 </w:t>
            </w:r>
          </w:p>
        </w:tc>
        <w:tc>
          <w:tcPr>
            <w:tcW w:w="14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(81,764)</w:t>
            </w:r>
          </w:p>
        </w:tc>
        <w:tc>
          <w:tcPr>
            <w:tcW w:w="13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910,488 </w:t>
            </w:r>
          </w:p>
        </w:tc>
        <w:tc>
          <w:tcPr>
            <w:tcW w:w="2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166,265 </w:t>
            </w:r>
          </w:p>
        </w:tc>
        <w:tc>
          <w:tcPr>
            <w:tcW w:w="35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2022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38,225,785 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35,344,854 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11,137,770 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(7,178,662)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7,857,310 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1,669,124 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(94,650)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778,846 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140,436 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2021</w:t>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10,825,689 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4,461,892 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4,617,926 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1,270,926 </w:t>
            </w:r>
          </w:p>
        </w:tc>
        <w:tc>
          <w:tcPr>
            <w:tcW w:w="35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209 </w:t>
            </w:r>
          </w:p>
        </w:tc>
        <w:tc>
          <w:tcPr>
            <w:tcW w:w="145"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200 </w:t>
            </w:r>
          </w:p>
        </w:tc>
        <w:tc>
          <w:tcPr>
            <w:tcW w:w="14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(53,000)</w:t>
            </w:r>
          </w:p>
        </w:tc>
        <w:tc>
          <w:tcPr>
            <w:tcW w:w="13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609,591 </w:t>
            </w:r>
          </w:p>
        </w:tc>
        <w:tc>
          <w:tcPr>
            <w:tcW w:w="226"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110,503 </w:t>
            </w:r>
          </w:p>
        </w:tc>
        <w:tc>
          <w:tcPr>
            <w:tcW w:w="351"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enorite;sans-serif" w:hAnsi="Tenorite;sans-serif"/>
                <w:b w:val="false"/>
                <w:color w:val="2D3243"/>
                <w:sz w:val="14"/>
              </w:rPr>
            </w:pPr>
            <w:r>
              <w:rPr>
                <w:rFonts w:ascii="Tenorite;sans-serif" w:hAnsi="Tenorite;sans-serif"/>
                <w:b w:val="false"/>
                <w:color w:val="2D3243"/>
                <w:sz w:val="14"/>
              </w:rPr>
              <w:t>2020</w:t>
            </w:r>
          </w:p>
        </w:tc>
        <w:tc>
          <w:tcPr>
            <w:tcW w:w="96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2D3243"/>
              </w:rPr>
            </w:pPr>
            <w:r>
              <w:rPr>
                <w:color w:val="2D3243"/>
              </w:rPr>
              <w:t>— </w:t>
            </w:r>
          </w:p>
        </w:tc>
        <w:tc>
          <w:tcPr>
            <w:tcW w:w="35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6,417,891 </w:t>
            </w:r>
          </w:p>
        </w:tc>
        <w:tc>
          <w:tcPr>
            <w:tcW w:w="35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37,440,834 </w:t>
            </w:r>
          </w:p>
        </w:tc>
        <w:tc>
          <w:tcPr>
            <w:tcW w:w="35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3,003,657 </w:t>
            </w:r>
          </w:p>
        </w:tc>
        <w:tc>
          <w:tcPr>
            <w:tcW w:w="35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15,448,098 </w:t>
            </w:r>
          </w:p>
        </w:tc>
        <w:tc>
          <w:tcPr>
            <w:tcW w:w="35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266 </w:t>
            </w:r>
          </w:p>
        </w:tc>
        <w:tc>
          <w:tcPr>
            <w:tcW w:w="145"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157 </w:t>
            </w:r>
          </w:p>
        </w:tc>
        <w:tc>
          <w:tcPr>
            <w:tcW w:w="14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(42,130)</w:t>
            </w:r>
          </w:p>
        </w:tc>
        <w:tc>
          <w:tcPr>
            <w:tcW w:w="13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434,908 </w:t>
            </w:r>
          </w:p>
        </w:tc>
        <w:tc>
          <w:tcPr>
            <w:tcW w:w="226"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2A4CF9"/>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enorite;sans-serif" w:hAnsi="Tenorite;sans-serif"/>
                <w:b w:val="false"/>
                <w:color w:val="2D3243"/>
                <w:sz w:val="14"/>
              </w:rPr>
            </w:pPr>
            <w:r>
              <w:rPr>
                <w:rFonts w:ascii="Tenorite;sans-serif" w:hAnsi="Tenorite;sans-serif"/>
                <w:b w:val="false"/>
                <w:color w:val="2D3243"/>
                <w:sz w:val="14"/>
              </w:rPr>
              <w:t>85,681 </w:t>
            </w:r>
          </w:p>
        </w:tc>
        <w:tc>
          <w:tcPr>
            <w:tcW w:w="351" w:type="dxa"/>
            <w:tcBorders>
              <w:bottom w:val="single" w:sz="8" w:space="0" w:color="2A4CF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1.Michael Burkland served as our CEO beginning on November 28, 2022 and for all of 2023 and 2024.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2.Mr. Rowan Trollope served as our CEO for the entirety of 2020 and 2021, and through November 28, 2022, for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40410"/>
                <wp:effectExtent l="0" t="0" r="0" b="0"/>
                <wp:wrapNone/>
                <wp:docPr id="114" name="Frame7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3.The NEOs included in this calculation for each year are: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a.2024 - Barry Zwarenstein, Daniel Burkland, Andy Dignan and Panos Kozanian.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b.2023 - Barry Zwarenstein, Daniel Burkland, Andy Dignan and Panos Kozanian.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c.2022 - Barry Zwarenstein, Daniel Burkland, Scott Welch and Panos Kozanian.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d.2021 - Barry Zwarenstein, Daniel Burkland and Scott Welch. </w:t>
      </w:r>
    </w:p>
    <w:p>
      <w:pPr>
        <w:pStyle w:val="TextBody"/>
        <w:bidi w:val="0"/>
        <w:spacing w:lineRule="auto" w:line="360" w:before="0" w:after="18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e.2020 - Barry Zwarenstein, Daniel Burkland and Scott Welch.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4.For each of 2024, 2023, 2022, 2021 and 2020, total shareholder return for the Company and the peer group was calculated as the yearly percentage change in cumulative total shareholder return based on a deemed fixed investment of $100 at market close on December 31, 2019. The yearly percentage change in cumulative total shareholder return was measured as the quotient of (a) the difference between stock price per share at the end and the beginning of the Measurement Period, divided by (b) stock price per share at the beginning of the Measurement Period. For purposes of this pay versus performance disclosure, our peer group is the NASDAQ Computer Index (the "Peer Group"). Beginning in 2023, we started to compare our Common Stock to the NASDAQ Computer Index and ceased using the NASDAQ Computer and Data Processing Index as that index is no longer available. Because fiscal years are presented in the table in reverse chronological order (from top to bottom), the table should be read from bottom to top for purposes of understanding cumulative returns over time.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 xml:space="preserve">5.Net loss attributable to Five9, Inc. as reported in the consolidated financial statements included in our Annual Report on Form 10-K for the year ended December 31, 2024 filed with the SEC on February 21, 2025. </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6.Revenue as reported in the consolidated financial statements included in our Annual Report on Form 10-K for the year ended December 31, 2024.</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7.Adjusted EBITDA as reported in the consolidated financial statements included in our Annual Report on Form 10-K for the year ended December 31, 2024 filed with the SEC on February 21, 2025. Adjusted EBITDA is calculated as net income (loss) before (1) depreciation and amortization, (2) stock-based compensation, (3) interest expense, (4) gain on early extinguishment of debt, (5) interest (income) and other, (6) exit costs related to the closure and relocation of our Russian operations, (7) acquisition and related transaction costs and one-time integration costs, (8) impairment charge related to closure of operating lease facilities, (9) lease amortization for finance leases, (10) costs related to a reduction in force plan, (11) provision for income taxes, and (12) other items that do not directly affect what we consider to be our core operating performance.</w:t>
      </w:r>
    </w:p>
    <w:p>
      <w:pPr>
        <w:pStyle w:val="TextBody"/>
        <w:bidi w:val="0"/>
        <w:spacing w:lineRule="auto" w:line="360" w:before="0" w:after="60"/>
        <w:ind w:left="0" w:right="0" w:hanging="450"/>
        <w:jc w:val="left"/>
        <w:rPr>
          <w:rFonts w:ascii="Tenorite;sans-serif" w:hAnsi="Tenorite;sans-serif"/>
          <w:b w:val="false"/>
          <w:color w:val="2D3243"/>
          <w:sz w:val="16"/>
        </w:rPr>
      </w:pPr>
      <w:r>
        <w:rPr>
          <w:rFonts w:ascii="Tenorite;sans-serif" w:hAnsi="Tenorite;sans-serif"/>
          <w:b w:val="false"/>
          <w:color w:val="2D3243"/>
          <w:sz w:val="16"/>
        </w:rPr>
        <w:t>8.The additional table below sets forth each of the amounts required by Item 402(v) of Regulation S-K to be deducted from and added to the amount of total compensation as reflected in the applicable Summary Compensation Table, to calculate Compensation Actually Paid.</w:t>
      </w:r>
    </w:p>
    <w:tbl>
      <w:tblPr>
        <w:tblW w:w="10205" w:type="dxa"/>
        <w:jc w:val="left"/>
        <w:tblInd w:w="0" w:type="dxa"/>
        <w:tblLayout w:type="fixed"/>
        <w:tblCellMar>
          <w:top w:w="28" w:type="dxa"/>
          <w:left w:w="28" w:type="dxa"/>
          <w:bottom w:w="28" w:type="dxa"/>
          <w:right w:w="28" w:type="dxa"/>
        </w:tblCellMar>
      </w:tblPr>
      <w:tblGrid>
        <w:gridCol w:w="2077"/>
        <w:gridCol w:w="1825"/>
        <w:gridCol w:w="1829"/>
        <w:gridCol w:w="189"/>
        <w:gridCol w:w="903"/>
        <w:gridCol w:w="113"/>
        <w:gridCol w:w="210"/>
        <w:gridCol w:w="921"/>
        <w:gridCol w:w="127"/>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07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6"/>
            <w:tcBorders/>
            <w:shd w:fill="2A4CF9" w:val="clear"/>
            <w:tcMar>
              <w:top w:w="0" w:type="dxa"/>
              <w:left w:w="0" w:type="dxa"/>
              <w:bottom w:w="0" w:type="dxa"/>
              <w:right w:w="0" w:type="dxa"/>
            </w:tcMar>
            <w:vAlign w:val="center"/>
          </w:tcPr>
          <w:p>
            <w:pPr>
              <w:pStyle w:val="TableContents"/>
              <w:bidi w:val="0"/>
              <w:spacing w:lineRule="auto" w:line="288" w:before="0" w:after="283"/>
              <w:jc w:val="center"/>
              <w:rPr>
                <w:rFonts w:ascii="Tenorite;sans-serif" w:hAnsi="Tenorite;sans-serif"/>
                <w:b/>
                <w:color w:val="FFFFFF"/>
                <w:sz w:val="12"/>
              </w:rPr>
            </w:pPr>
            <w:r>
              <w:rPr>
                <w:rFonts w:ascii="Tenorite;sans-serif" w:hAnsi="Tenorite;sans-serif"/>
                <w:b/>
                <w:color w:val="FFFFFF"/>
                <w:sz w:val="12"/>
              </w:rPr>
              <w:t>2024</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gridSpan w:val="5"/>
            <w:tcBorders/>
          </w:tcPr>
          <w:p>
            <w:pPr>
              <w:pStyle w:val="TableContents"/>
              <w:bidi w:val="0"/>
              <w:spacing w:before="0" w:after="283"/>
              <w:jc w:val="left"/>
              <w:rPr>
                <w:sz w:val="4"/>
                <w:szCs w:val="4"/>
              </w:rPr>
            </w:pPr>
            <w:r>
              <w:rPr>
                <w:sz w:val="4"/>
                <w:szCs w:val="4"/>
              </w:rPr>
            </w:r>
          </w:p>
        </w:tc>
      </w:tr>
      <w:tr>
        <w:trPr/>
        <w:tc>
          <w:tcPr>
            <w:tcW w:w="573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2"/>
              </w:rPr>
            </w:pPr>
            <w:r>
              <w:rPr>
                <w:rFonts w:ascii="Tenorite;sans-serif" w:hAnsi="Tenorite;sans-serif"/>
                <w:b/>
                <w:color w:val="FFFFFF"/>
                <w:sz w:val="12"/>
              </w:rPr>
              <w:t>Michael Burkland</w:t>
            </w:r>
          </w:p>
        </w:tc>
        <w:tc>
          <w:tcPr>
            <w:tcW w:w="1258" w:type="dxa"/>
            <w:gridSpan w:val="3"/>
            <w:tcBorders>
              <w:top w:val="single" w:sz="8" w:space="0" w:color="FFFFFF"/>
            </w:tcBorders>
            <w:shd w:fill="2A4CF9"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2"/>
              </w:rPr>
            </w:pPr>
            <w:r>
              <w:rPr>
                <w:rFonts w:ascii="Tenorite;sans-serif" w:hAnsi="Tenorite;sans-serif"/>
                <w:b/>
                <w:color w:val="FFFFFF"/>
                <w:sz w:val="12"/>
              </w:rPr>
              <w:t>Other NEOs Average</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Total Compensation for covered fiscal year (FY) from Summary Compensation Table (SCT)</w:t>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11,997,464 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4,126,696 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DEDUCT: grant date fair value (GDFV) of equity awards granted during FY</w:t>
            </w:r>
          </w:p>
        </w:tc>
        <w:tc>
          <w:tcPr>
            <w:tcW w:w="189"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(10,835,046)</w:t>
            </w:r>
          </w:p>
        </w:tc>
        <w:tc>
          <w:tcPr>
            <w:tcW w:w="1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(3,336,454)</w:t>
            </w:r>
          </w:p>
        </w:tc>
        <w:tc>
          <w:tcPr>
            <w:tcW w:w="12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ADD: Fair value (FV) as of FY-end of equity awards granted during the year that are outstanding and unvested as of FY-end</w:t>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3,838,398 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1,370,523 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ADD: change as of end of FY in FV of awards granted in any prior year that are outstanding and unvested as of FY-end</w:t>
            </w:r>
          </w:p>
        </w:tc>
        <w:tc>
          <w:tcPr>
            <w:tcW w:w="189"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(6,109,782)</w:t>
            </w:r>
          </w:p>
        </w:tc>
        <w:tc>
          <w:tcPr>
            <w:tcW w:w="1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(1,639,340)</w:t>
            </w:r>
          </w:p>
        </w:tc>
        <w:tc>
          <w:tcPr>
            <w:tcW w:w="12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ADD: vesting date FV for any equity awards granted during the year that vested at the end of or during FY</w:t>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652,923 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265,794 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ADD: change as of the vesting date (from end of prior FY) in FV for any equity awards granted in any prior year that vested at the end of or during FY</w:t>
            </w:r>
          </w:p>
        </w:tc>
        <w:tc>
          <w:tcPr>
            <w:tcW w:w="189"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(4,970,782)</w:t>
            </w:r>
          </w:p>
        </w:tc>
        <w:tc>
          <w:tcPr>
            <w:tcW w:w="113"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shd w:fill="F0F1F2"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(1,061,123)</w:t>
            </w:r>
          </w:p>
        </w:tc>
        <w:tc>
          <w:tcPr>
            <w:tcW w:w="127" w:type="dxa"/>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DEDUCT: FV at the end of the prior FY for awards granted in any prior year that failed to meet applicable vesting conditions during FY</w:t>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(7,169,748)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(396,520)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0F1F2" w:val="clear"/>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4"/>
              </w:rPr>
            </w:pPr>
            <w:r>
              <w:rPr>
                <w:rFonts w:ascii="Tenorite;sans-serif" w:hAnsi="Tenorite;sans-serif"/>
                <w:b w:val="false"/>
                <w:color w:val="2D3243"/>
                <w:sz w:val="14"/>
              </w:rPr>
              <w:t>Compensation Actually Paid (as defined by SEC rule)</w:t>
            </w:r>
          </w:p>
        </w:tc>
        <w:tc>
          <w:tcPr>
            <w:tcW w:w="189"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03"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(12,596,573)</w:t>
            </w:r>
          </w:p>
        </w:tc>
        <w:tc>
          <w:tcPr>
            <w:tcW w:w="113" w:type="dxa"/>
            <w:tcBorders>
              <w:top w:val="single" w:sz="8" w:space="0" w:color="000000"/>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2"/>
              </w:rPr>
            </w:pPr>
            <w:r>
              <w:rPr>
                <w:rFonts w:ascii="Tenorite;sans-serif" w:hAnsi="Tenorite;sans-serif"/>
                <w:b w:val="false"/>
                <w:color w:val="2D3243"/>
                <w:sz w:val="12"/>
              </w:rPr>
              <w:t>$</w:t>
            </w:r>
          </w:p>
        </w:tc>
        <w:tc>
          <w:tcPr>
            <w:tcW w:w="921" w:type="dxa"/>
            <w:tcBorders>
              <w:top w:val="single" w:sz="8" w:space="0" w:color="000000"/>
            </w:tcBorders>
            <w:shd w:fill="F0F1F2" w:val="clear"/>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2"/>
              </w:rPr>
            </w:pPr>
            <w:r>
              <w:rPr>
                <w:rFonts w:ascii="Tenorite;sans-serif" w:hAnsi="Tenorite;sans-serif"/>
                <w:b w:val="false"/>
                <w:color w:val="2D3243"/>
                <w:sz w:val="12"/>
              </w:rPr>
              <w:t>(670,424)</w:t>
            </w:r>
          </w:p>
        </w:tc>
        <w:tc>
          <w:tcPr>
            <w:tcW w:w="127" w:type="dxa"/>
            <w:tcBorders>
              <w:top w:val="single" w:sz="8" w:space="0" w:color="000000"/>
            </w:tcBorders>
            <w:shd w:fill="F0F1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0F1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bottom w:val="single" w:sz="8" w:space="0" w:color="2A4CF9"/>
            </w:tcBorders>
            <w:shd w:fill="F0F1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bottom w:val="single" w:sz="8" w:space="0" w:color="2A4CF9"/>
            </w:tcBorders>
            <w:shd w:fill="F0F1F2" w:val="clear"/>
            <w:tcMar>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bottom w:val="single" w:sz="8" w:space="0" w:color="2A4CF9"/>
            </w:tcBorders>
            <w:shd w:fill="F0F1F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2A4CF9"/>
            </w:tcBorders>
            <w:shd w:fill="F0F1F2"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40410"/>
                <wp:effectExtent l="0" t="0" r="0" b="0"/>
                <wp:wrapNone/>
                <wp:docPr id="115" name="Frame7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69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Financial Performance Measures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key objectives of our executive compensation program are to attract, retain and motivate superior executive talent while maintaining an appropriate cost structure. In addition, we seek to implement a “pay-for-performance” philosophy by designing our executive compensation program to link a substantial portion of our NEOs’ target total direct compensation to the achievement of financial and strategic performance objectives that directly correlate to key Company objectives and the long-term enhancement of stockholder value. Thus, the Compensation Committee believes that the compensation paid to our NEOs should be closely aligned with our corporate performance on both a short-term and long-term basis, linked to specific, measurable results such as revenue and Adjusted EBITDA, and that such compensation should assist us in motivating and retaining the key executive officers critical to our long-term success. Finally, our executive compensation program is designed to maintain an appropriate balance of short-term and long-term incentive compensation opportunities to ensure an appropriate focus on operational objectives and the creation of long-term stockholder value.</w:t>
      </w:r>
    </w:p>
    <w:p>
      <w:pPr>
        <w:pStyle w:val="TextBody"/>
        <w:bidi w:val="0"/>
        <w:spacing w:lineRule="auto" w:line="288" w:before="0" w:after="60"/>
        <w:jc w:val="left"/>
        <w:rPr>
          <w:rFonts w:ascii="Tenorite;sans-serif" w:hAnsi="Tenorite;sans-serif"/>
          <w:b/>
          <w:i/>
          <w:color w:val="2D3243"/>
          <w:sz w:val="20"/>
        </w:rPr>
      </w:pPr>
      <w:r>
        <w:rPr>
          <w:rFonts w:ascii="Tenorite;sans-serif" w:hAnsi="Tenorite;sans-serif"/>
          <w:b/>
          <w:i/>
          <w:color w:val="2D3243"/>
          <w:sz w:val="20"/>
        </w:rPr>
        <w:t>Analysis of the Information Presented in the Pay versus Performance Table</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In accordance with Item 402(v) of Regulation S-K, we are providing the following descriptions of the relationships between information presented in the Pay versus Performance Table.</w:t>
      </w:r>
    </w:p>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 xml:space="preserve">Total Shareholder Return (TSR):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 xml:space="preserve">The graphs below shows the relationship between (i)"compensation actually paid" ("CAP") to each of our CEOs and the average of the CAP to our other NEOs and the total shareholder return of Five9, Inc. and (ii) the total shareholder return of Five9, Inc. and our Peer Group over the five fiscal years ending December 31, 2024, based on the hypothetical investment of $100 on December 31, 2019. </w:t>
      </w:r>
    </w:p>
    <w:p>
      <w:pPr>
        <w:pStyle w:val="TextBody"/>
        <w:bidi w:val="0"/>
        <w:spacing w:before="0" w:after="0"/>
        <w:jc w:val="left"/>
        <w:rPr/>
      </w:pPr>
      <w:r>
        <w:rPr/>
        <w:drawing>
          <wp:inline distT="0" distB="0" distL="0" distR="0">
            <wp:extent cx="5838825" cy="3200400"/>
            <wp:effectExtent l="0" t="0" r="0" b="0"/>
            <wp:docPr id="11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1" descr=""/>
                    <pic:cNvPicPr>
                      <a:picLocks noChangeAspect="1" noChangeArrowheads="1"/>
                    </pic:cNvPicPr>
                  </pic:nvPicPr>
                  <pic:blipFill>
                    <a:blip r:embed="rId42"/>
                    <a:stretch>
                      <a:fillRect/>
                    </a:stretch>
                  </pic:blipFill>
                  <pic:spPr bwMode="auto">
                    <a:xfrm>
                      <a:off x="0" y="0"/>
                      <a:ext cx="5838825" cy="32004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40410"/>
                <wp:effectExtent l="0" t="0" r="0" b="0"/>
                <wp:wrapNone/>
                <wp:docPr id="117" name="Frame7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before="0" w:after="0"/>
        <w:jc w:val="left"/>
        <w:rPr/>
      </w:pPr>
      <w:r>
        <w:rPr/>
        <w:drawing>
          <wp:inline distT="0" distB="0" distL="0" distR="0">
            <wp:extent cx="5838825" cy="3200400"/>
            <wp:effectExtent l="0" t="0" r="0" b="0"/>
            <wp:docPr id="11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2" descr=""/>
                    <pic:cNvPicPr>
                      <a:picLocks noChangeAspect="1" noChangeArrowheads="1"/>
                    </pic:cNvPicPr>
                  </pic:nvPicPr>
                  <pic:blipFill>
                    <a:blip r:embed="rId43"/>
                    <a:stretch>
                      <a:fillRect/>
                    </a:stretch>
                  </pic:blipFill>
                  <pic:spPr bwMode="auto">
                    <a:xfrm>
                      <a:off x="0" y="0"/>
                      <a:ext cx="5838825" cy="3200400"/>
                    </a:xfrm>
                    <a:prstGeom prst="rect">
                      <a:avLst/>
                    </a:prstGeom>
                  </pic:spPr>
                </pic:pic>
              </a:graphicData>
            </a:graphic>
          </wp:inline>
        </w:drawing>
      </w:r>
    </w:p>
    <w:p>
      <w:pPr>
        <w:pStyle w:val="TextBody"/>
        <w:bidi w:val="0"/>
        <w:spacing w:lineRule="auto" w:line="288" w:before="0" w:after="240"/>
        <w:jc w:val="left"/>
        <w:rPr/>
      </w:pPr>
      <w:r>
        <w:rPr>
          <w:rFonts w:ascii="Tenorite;sans-serif" w:hAnsi="Tenorite;sans-serif"/>
          <w:b/>
          <w:color w:val="2D3243"/>
          <w:sz w:val="20"/>
        </w:rPr>
        <w:t>Net Loss:</w:t>
      </w:r>
      <w:r>
        <w:rPr>
          <w:color w:val="FF0090"/>
        </w:rPr>
        <w:t xml:space="preserve">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graph below shows the relationship between CAP to each of our CEOs and the average of the CAP to our other NEOs and net loss attributable to Five9, Inc. over the five fiscal years ending December 31, 2024, as reported in the Company’s consolidated financial statements.</w:t>
      </w:r>
    </w:p>
    <w:p>
      <w:pPr>
        <w:pStyle w:val="TextBody"/>
        <w:bidi w:val="0"/>
        <w:spacing w:before="0" w:after="0"/>
        <w:jc w:val="left"/>
        <w:rPr/>
      </w:pPr>
      <w:r>
        <w:rPr/>
        <w:drawing>
          <wp:inline distT="0" distB="0" distL="0" distR="0">
            <wp:extent cx="5838825" cy="3105150"/>
            <wp:effectExtent l="0" t="0" r="0" b="0"/>
            <wp:docPr id="11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3" descr=""/>
                    <pic:cNvPicPr>
                      <a:picLocks noChangeAspect="1" noChangeArrowheads="1"/>
                    </pic:cNvPicPr>
                  </pic:nvPicPr>
                  <pic:blipFill>
                    <a:blip r:embed="rId44"/>
                    <a:stretch>
                      <a:fillRect/>
                    </a:stretch>
                  </pic:blipFill>
                  <pic:spPr bwMode="auto">
                    <a:xfrm>
                      <a:off x="0" y="0"/>
                      <a:ext cx="5838825" cy="31051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40410"/>
                <wp:effectExtent l="0" t="0" r="0" b="0"/>
                <wp:wrapNone/>
                <wp:docPr id="120" name="Frame7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54"/>
        <w:gridCol w:w="654"/>
        <w:gridCol w:w="92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Executive Compensation</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 xml:space="preserve">Revenue and Adjusted EBITDA: </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Revenue is the CSM for 2023 and Adjusted EBITDA is the supplemental measure, each of which are key performance indicators used by us in managing our business, and are linked to our growth and profitability and the creation of long-term stockholder value. The graphs below show the relationship between CAP to each of our CEOs and the average of the CAP to our other NEOs and our revenue and Adjusted EBITDA over the five fiscal years ending December 31, 2024.</w:t>
      </w:r>
    </w:p>
    <w:p>
      <w:pPr>
        <w:pStyle w:val="TextBody"/>
        <w:bidi w:val="0"/>
        <w:spacing w:before="0" w:after="0"/>
        <w:jc w:val="left"/>
        <w:rPr/>
      </w:pPr>
      <w:r>
        <w:rPr/>
        <w:drawing>
          <wp:inline distT="0" distB="0" distL="0" distR="0">
            <wp:extent cx="5838825" cy="3200400"/>
            <wp:effectExtent l="0" t="0" r="0" b="0"/>
            <wp:docPr id="12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4" descr=""/>
                    <pic:cNvPicPr>
                      <a:picLocks noChangeAspect="1" noChangeArrowheads="1"/>
                    </pic:cNvPicPr>
                  </pic:nvPicPr>
                  <pic:blipFill>
                    <a:blip r:embed="rId45"/>
                    <a:stretch>
                      <a:fillRect/>
                    </a:stretch>
                  </pic:blipFill>
                  <pic:spPr bwMode="auto">
                    <a:xfrm>
                      <a:off x="0" y="0"/>
                      <a:ext cx="5838825" cy="3200400"/>
                    </a:xfrm>
                    <a:prstGeom prst="rect">
                      <a:avLst/>
                    </a:prstGeom>
                  </pic:spPr>
                </pic:pic>
              </a:graphicData>
            </a:graphic>
          </wp:inline>
        </w:drawing>
      </w:r>
    </w:p>
    <w:p>
      <w:pPr>
        <w:pStyle w:val="TextBody"/>
        <w:bidi w:val="0"/>
        <w:spacing w:before="0" w:after="0"/>
        <w:jc w:val="left"/>
        <w:rPr/>
      </w:pPr>
      <w:r>
        <w:rPr/>
        <w:drawing>
          <wp:inline distT="0" distB="0" distL="0" distR="0">
            <wp:extent cx="5838825" cy="3200400"/>
            <wp:effectExtent l="0" t="0" r="0" b="0"/>
            <wp:docPr id="12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5" descr=""/>
                    <pic:cNvPicPr>
                      <a:picLocks noChangeAspect="1" noChangeArrowheads="1"/>
                    </pic:cNvPicPr>
                  </pic:nvPicPr>
                  <pic:blipFill>
                    <a:blip r:embed="rId46"/>
                    <a:stretch>
                      <a:fillRect/>
                    </a:stretch>
                  </pic:blipFill>
                  <pic:spPr bwMode="auto">
                    <a:xfrm>
                      <a:off x="0" y="0"/>
                      <a:ext cx="5838825" cy="32004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40410"/>
                <wp:effectExtent l="0" t="0" r="0" b="0"/>
                <wp:wrapNone/>
                <wp:docPr id="123" name="Frame7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474"/>
        <w:gridCol w:w="474"/>
        <w:gridCol w:w="67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88" w:before="0" w:after="240"/>
        <w:jc w:val="left"/>
        <w:rPr>
          <w:rFonts w:ascii="Tenorite;sans-serif" w:hAnsi="Tenorite;sans-serif"/>
          <w:b/>
          <w:color w:val="2D3243"/>
          <w:sz w:val="20"/>
        </w:rPr>
      </w:pPr>
      <w:r>
        <w:rPr>
          <w:rFonts w:ascii="Tenorite;sans-serif" w:hAnsi="Tenorite;sans-serif"/>
          <w:b/>
          <w:color w:val="2D3243"/>
          <w:sz w:val="20"/>
        </w:rPr>
        <w:t>Tabular List:</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following table lists the three financial performance measures that we believe represent the most important financial performance measures we use to link CAP to our NEOs for fiscal year 2024 to our performance:</w:t>
      </w:r>
    </w:p>
    <w:tbl>
      <w:tblPr>
        <w:tblW w:w="3179" w:type="dxa"/>
        <w:jc w:val="center"/>
        <w:tblInd w:w="0" w:type="dxa"/>
        <w:tblLayout w:type="fixed"/>
        <w:tblCellMar>
          <w:top w:w="28" w:type="dxa"/>
          <w:left w:w="28" w:type="dxa"/>
          <w:bottom w:w="28" w:type="dxa"/>
          <w:right w:w="28" w:type="dxa"/>
        </w:tblCellMar>
      </w:tblPr>
      <w:tblGrid>
        <w:gridCol w:w="1017"/>
        <w:gridCol w:w="895"/>
        <w:gridCol w:w="1267"/>
      </w:tblGrid>
      <w:tr>
        <w:trPr/>
        <w:tc>
          <w:tcPr>
            <w:tcW w:w="101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2A4CF9"/>
            </w:tcBorders>
            <w:tcMar>
              <w:top w:w="30" w:type="dxa"/>
              <w:left w:w="0" w:type="dxa"/>
              <w:bottom w:w="0" w:type="dxa"/>
              <w:right w:w="0" w:type="dxa"/>
            </w:tcMar>
            <w:vAlign w:val="center"/>
          </w:tcPr>
          <w:p>
            <w:pPr>
              <w:pStyle w:val="TableContents"/>
              <w:bidi w:val="0"/>
              <w:spacing w:lineRule="auto" w:line="384" w:before="0" w:after="60"/>
              <w:jc w:val="left"/>
              <w:rPr/>
            </w:pPr>
            <w:r>
              <w:rPr>
                <w:color w:val="2D3243"/>
              </w:rPr>
              <w:t>•</w:t>
            </w:r>
            <w:r>
              <w:rPr>
                <w:rFonts w:ascii="Tenorite;sans-serif" w:hAnsi="Tenorite;sans-serif"/>
                <w:b w:val="false"/>
                <w:color w:val="2D3243"/>
                <w:sz w:val="18"/>
              </w:rPr>
              <w:t>Revenue</w:t>
            </w:r>
          </w:p>
        </w:tc>
      </w:tr>
      <w:tr>
        <w:trPr/>
        <w:tc>
          <w:tcPr>
            <w:tcW w:w="3179" w:type="dxa"/>
            <w:gridSpan w:val="3"/>
            <w:tcBorders>
              <w:top w:val="single" w:sz="8" w:space="0" w:color="81848E"/>
            </w:tcBorders>
            <w:tcMar>
              <w:top w:w="30" w:type="dxa"/>
              <w:left w:w="0" w:type="dxa"/>
              <w:bottom w:w="0" w:type="dxa"/>
              <w:right w:w="0" w:type="dxa"/>
            </w:tcMar>
            <w:vAlign w:val="center"/>
          </w:tcPr>
          <w:p>
            <w:pPr>
              <w:pStyle w:val="TableContents"/>
              <w:bidi w:val="0"/>
              <w:spacing w:lineRule="auto" w:line="384" w:before="0" w:after="60"/>
              <w:jc w:val="left"/>
              <w:rPr/>
            </w:pPr>
            <w:r>
              <w:rPr>
                <w:color w:val="2D3243"/>
              </w:rPr>
              <w:t>•</w:t>
            </w:r>
            <w:r>
              <w:rPr>
                <w:rFonts w:ascii="Tenorite;sans-serif" w:hAnsi="Tenorite;sans-serif"/>
                <w:b w:val="false"/>
                <w:color w:val="2D3243"/>
                <w:sz w:val="18"/>
              </w:rPr>
              <w:t>Adjusted EBITDA</w:t>
            </w:r>
          </w:p>
        </w:tc>
      </w:tr>
      <w:tr>
        <w:trPr/>
        <w:tc>
          <w:tcPr>
            <w:tcW w:w="3179" w:type="dxa"/>
            <w:gridSpan w:val="3"/>
            <w:tcBorders>
              <w:top w:val="single" w:sz="8" w:space="0" w:color="81848E"/>
              <w:bottom w:val="single" w:sz="8" w:space="0" w:color="2A4CF9"/>
            </w:tcBorders>
            <w:tcMar>
              <w:top w:w="30" w:type="dxa"/>
              <w:left w:w="0" w:type="dxa"/>
              <w:bottom w:w="30" w:type="dxa"/>
              <w:right w:w="0" w:type="dxa"/>
            </w:tcMar>
            <w:vAlign w:val="center"/>
          </w:tcPr>
          <w:p>
            <w:pPr>
              <w:pStyle w:val="TableContents"/>
              <w:bidi w:val="0"/>
              <w:spacing w:lineRule="auto" w:line="384" w:before="0" w:after="60"/>
              <w:jc w:val="left"/>
              <w:rPr/>
            </w:pPr>
            <w:r>
              <w:rPr>
                <w:color w:val="2D3243"/>
              </w:rPr>
              <w:t>•</w:t>
            </w:r>
            <w:r>
              <w:rPr>
                <w:rFonts w:ascii="Tenorite;sans-serif" w:hAnsi="Tenorite;sans-serif"/>
                <w:b w:val="false"/>
                <w:color w:val="2D3243"/>
                <w:sz w:val="18"/>
              </w:rPr>
              <w:t>Relative total shareholder return</w:t>
            </w:r>
          </w:p>
        </w:tc>
      </w:tr>
    </w:tbl>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For more information regarding how each of these performance measures are used in our executive compensation program, see the “Compensation Discussion and Analysis” section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40410"/>
                <wp:effectExtent l="0" t="0" r="0" b="0"/>
                <wp:wrapNone/>
                <wp:docPr id="124" name="Frame7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Table of Contents</w:t>
            </w:r>
          </w:p>
        </w:tc>
      </w:tr>
    </w:tbl>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Equity Compensation Plan Information</w:t>
      </w:r>
    </w:p>
    <w:p>
      <w:pPr>
        <w:pStyle w:val="TextBody"/>
        <w:bidi w:val="0"/>
        <w:spacing w:lineRule="auto" w:line="384" w:before="0" w:after="60"/>
        <w:jc w:val="left"/>
        <w:rPr>
          <w:rFonts w:ascii="Tenorite;sans-serif" w:hAnsi="Tenorite;sans-serif"/>
          <w:b w:val="false"/>
          <w:color w:val="2D3243"/>
          <w:sz w:val="18"/>
        </w:rPr>
      </w:pPr>
      <w:r>
        <w:rPr>
          <w:rFonts w:ascii="Tenorite;sans-serif" w:hAnsi="Tenorite;sans-serif"/>
          <w:b w:val="false"/>
          <w:color w:val="2D3243"/>
          <w:sz w:val="18"/>
        </w:rPr>
        <w:t>The following table summarizes certain information with respect to our Common Stock that may be issued under the equity compensation plans as of December 31, 2024:</w:t>
      </w:r>
    </w:p>
    <w:tbl>
      <w:tblPr>
        <w:tblW w:w="10205" w:type="dxa"/>
        <w:jc w:val="left"/>
        <w:tblInd w:w="0" w:type="dxa"/>
        <w:tblLayout w:type="fixed"/>
        <w:tblCellMar>
          <w:top w:w="28" w:type="dxa"/>
          <w:left w:w="28" w:type="dxa"/>
          <w:bottom w:w="28" w:type="dxa"/>
          <w:right w:w="28" w:type="dxa"/>
        </w:tblCellMar>
      </w:tblPr>
      <w:tblGrid>
        <w:gridCol w:w="1203"/>
        <w:gridCol w:w="1058"/>
        <w:gridCol w:w="1059"/>
        <w:gridCol w:w="694"/>
        <w:gridCol w:w="563"/>
        <w:gridCol w:w="565"/>
        <w:gridCol w:w="109"/>
        <w:gridCol w:w="109"/>
        <w:gridCol w:w="109"/>
        <w:gridCol w:w="447"/>
        <w:gridCol w:w="1307"/>
        <w:gridCol w:w="232"/>
        <w:gridCol w:w="109"/>
        <w:gridCol w:w="109"/>
        <w:gridCol w:w="109"/>
        <w:gridCol w:w="759"/>
        <w:gridCol w:w="643"/>
        <w:gridCol w:w="644"/>
        <w:gridCol w:w="109"/>
        <w:gridCol w:w="109"/>
        <w:gridCol w:w="159"/>
      </w:tblGrid>
      <w:tr>
        <w:trPr/>
        <w:tc>
          <w:tcPr>
            <w:tcW w:w="12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32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Number of Securities to be Issued Upon Exercise of Outstanding Options and Warrants and Vesting of Restricted Stock Units</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2A4CF9" w:val="clear"/>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FFFFFF"/>
                <w:sz w:val="16"/>
              </w:rPr>
            </w:pPr>
            <w:r>
              <w:rPr>
                <w:rFonts w:ascii="Tenorite;sans-serif" w:hAnsi="Tenorite;sans-serif"/>
                <w:b/>
                <w:color w:val="FFFFFF"/>
                <w:sz w:val="16"/>
              </w:rPr>
              <w:t>Weighted-average Exercise Price of Outstanding Options and Warrants</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Number of Securities Remaining Available for Future Issuance Under Equity Compensation Plans (Excluding Securities Reflected in Column (a)</w:t>
            </w:r>
          </w:p>
        </w:tc>
        <w:tc>
          <w:tcPr>
            <w:tcW w:w="37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(a)</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(b)</w:t>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2A4CF9" w:val="clear"/>
            <w:tcMar>
              <w:top w:w="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FFFFFF"/>
                <w:sz w:val="16"/>
              </w:rPr>
            </w:pPr>
            <w:r>
              <w:rPr>
                <w:rFonts w:ascii="Tenorite;sans-serif" w:hAnsi="Tenorite;sans-serif"/>
                <w:b/>
                <w:color w:val="FFFFFF"/>
                <w:sz w:val="16"/>
              </w:rPr>
              <w:t>(c)</w:t>
            </w:r>
          </w:p>
        </w:tc>
        <w:tc>
          <w:tcPr>
            <w:tcW w:w="37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2A4C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enorite;sans-serif" w:hAnsi="Tenorite;sans-serif"/>
                <w:b w:val="false"/>
                <w:color w:val="2D3243"/>
                <w:sz w:val="16"/>
              </w:rPr>
            </w:pPr>
            <w:r>
              <w:rPr>
                <w:rFonts w:ascii="Tenorite;sans-serif" w:hAnsi="Tenorite;sans-serif"/>
                <w:b w:val="false"/>
                <w:color w:val="2D3243"/>
                <w:sz w:val="16"/>
              </w:rPr>
              <w:t>Equity compensation plans approved by stockholders</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6,681,249 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(1)</w:t>
            </w:r>
          </w:p>
        </w:tc>
        <w:tc>
          <w:tcPr>
            <w:tcW w:w="447" w:type="dxa"/>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w:t>
            </w:r>
          </w:p>
        </w:tc>
        <w:tc>
          <w:tcPr>
            <w:tcW w:w="1307" w:type="dxa"/>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55.66 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(2)</w:t>
            </w:r>
          </w:p>
        </w:tc>
        <w:tc>
          <w:tcPr>
            <w:tcW w:w="14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19,803,273 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(3)</w:t>
            </w:r>
          </w:p>
        </w:tc>
      </w:tr>
      <w:tr>
        <w:trPr/>
        <w:tc>
          <w:tcPr>
            <w:tcW w:w="332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enorite;sans-serif" w:hAnsi="Tenorite;sans-serif"/>
                <w:b/>
                <w:color w:val="2D3243"/>
                <w:sz w:val="16"/>
              </w:rPr>
            </w:pPr>
            <w:r>
              <w:rPr>
                <w:rFonts w:ascii="Tenorite;sans-serif" w:hAnsi="Tenorite;sans-serif"/>
                <w:b/>
                <w:color w:val="2D3243"/>
                <w:sz w:val="16"/>
              </w:rPr>
              <w:t>Equity compensation plans not approved by stockholders</w:t>
            </w:r>
          </w:p>
        </w:tc>
        <w:tc>
          <w:tcPr>
            <w:tcW w:w="1257"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6,710 </w:t>
            </w:r>
          </w:p>
        </w:tc>
        <w:tc>
          <w:tcPr>
            <w:tcW w:w="56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88" w:before="0" w:after="0"/>
              <w:jc w:val="left"/>
              <w:rPr>
                <w:rFonts w:ascii="Tenorite;sans-serif" w:hAnsi="Tenorite;sans-serif"/>
                <w:b w:val="false"/>
                <w:color w:val="2D3243"/>
                <w:sz w:val="10"/>
              </w:rPr>
            </w:pPr>
            <w:r>
              <w:rPr>
                <w:rFonts w:ascii="Tenorite;sans-serif" w:hAnsi="Tenorite;sans-serif"/>
                <w:b w:val="false"/>
                <w:color w:val="2D3243"/>
                <w:sz w:val="10"/>
              </w:rPr>
              <w:t>(4)</w:t>
            </w:r>
          </w:p>
        </w:tc>
        <w:tc>
          <w:tcPr>
            <w:tcW w:w="1754"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14.33 </w:t>
            </w:r>
          </w:p>
        </w:tc>
        <w:tc>
          <w:tcPr>
            <w:tcW w:w="232"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2D3243"/>
              </w:rPr>
            </w:pPr>
            <w:r>
              <w:rPr>
                <w:color w:val="2D3243"/>
              </w:rPr>
              <w:t>— </w:t>
            </w:r>
          </w:p>
        </w:tc>
        <w:tc>
          <w:tcPr>
            <w:tcW w:w="64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enorite;sans-serif" w:hAnsi="Tenorite;sans-serif"/>
                <w:b/>
                <w:color w:val="2D3243"/>
                <w:sz w:val="16"/>
              </w:rPr>
            </w:pPr>
            <w:r>
              <w:rPr>
                <w:rFonts w:ascii="Tenorite;sans-serif" w:hAnsi="Tenorite;sans-serif"/>
                <w:b/>
                <w:color w:val="2D3243"/>
                <w:sz w:val="16"/>
              </w:rPr>
              <w:t>Total</w:t>
            </w:r>
          </w:p>
        </w:tc>
        <w:tc>
          <w:tcPr>
            <w:tcW w:w="1257"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6,687,959 </w:t>
            </w:r>
          </w:p>
        </w:tc>
        <w:tc>
          <w:tcPr>
            <w:tcW w:w="56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Tenorite;sans-serif" w:hAnsi="Tenorite;sans-serif"/>
                <w:b w:val="false"/>
                <w:color w:val="2D3243"/>
                <w:sz w:val="16"/>
              </w:rPr>
            </w:pPr>
            <w:r>
              <w:rPr>
                <w:rFonts w:ascii="Tenorite;sans-serif" w:hAnsi="Tenorite;sans-serif"/>
                <w:b w:val="false"/>
                <w:color w:val="2D3243"/>
                <w:sz w:val="16"/>
              </w:rPr>
              <w:t>19,803,273 </w:t>
            </w:r>
          </w:p>
        </w:tc>
        <w:tc>
          <w:tcPr>
            <w:tcW w:w="64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bottom w:val="single" w:sz="8" w:space="0" w:color="2A4CF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double" w:sz="8" w:space="0" w:color="000000"/>
              <w:bottom w:val="single" w:sz="8" w:space="0" w:color="2A4CF9"/>
            </w:tcBorders>
            <w:tcMar>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2A4CF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1.Includes 852,898 shares underlying outstanding stock options and 5,828,351 shares underlying outstanding RSUs.</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2.The weighted-average exercise price does not take into account shares issuable upon the vesting of outstanding RSUs, which have no exercise price.</w:t>
      </w:r>
    </w:p>
    <w:p>
      <w:pPr>
        <w:pStyle w:val="TextBody"/>
        <w:bidi w:val="0"/>
        <w:spacing w:lineRule="auto" w:line="360" w:before="0" w:after="6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3.Includes 15,505,634 shares of Common Stock reserved for issuance under the 2014 Plan and 4,297,639 shares of Common Stock reserved for issuance under the Company's 2014 Employee Stock Purchase Plan. </w:t>
      </w:r>
    </w:p>
    <w:p>
      <w:pPr>
        <w:pStyle w:val="TextBody"/>
        <w:bidi w:val="0"/>
        <w:spacing w:lineRule="auto" w:line="360" w:before="0" w:after="240"/>
        <w:ind w:left="0" w:right="0" w:hanging="360"/>
        <w:jc w:val="left"/>
        <w:rPr>
          <w:rFonts w:ascii="Tenorite;sans-serif" w:hAnsi="Tenorite;sans-serif"/>
          <w:b w:val="false"/>
          <w:color w:val="2D3243"/>
          <w:sz w:val="16"/>
        </w:rPr>
      </w:pPr>
      <w:r>
        <w:rPr>
          <w:rFonts w:ascii="Tenorite;sans-serif" w:hAnsi="Tenorite;sans-serif"/>
          <w:b w:val="false"/>
          <w:color w:val="2D3243"/>
          <w:sz w:val="16"/>
        </w:rPr>
        <w:t xml:space="preserve">4.Represents assumed unvested stock options in connection with the acquisition of Inference Solutions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40410"/>
                <wp:effectExtent l="0" t="0" r="0" b="0"/>
                <wp:wrapNone/>
                <wp:docPr id="125" name="Frame8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Transactions With Related Persons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Other than the compensation arrangements with our non-employee directors and executive officers, there have been no transactions since January 1, 2024 (and there are no currently proposed transactions) in which:</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we have been or are to be a participant;</w:t>
      </w:r>
    </w:p>
    <w:p>
      <w:pPr>
        <w:pStyle w:val="TextBody"/>
        <w:bidi w:val="0"/>
        <w:spacing w:lineRule="auto" w:line="384" w:before="0" w:after="60"/>
        <w:ind w:left="0" w:right="0" w:hanging="360"/>
        <w:jc w:val="left"/>
        <w:rPr/>
      </w:pPr>
      <w:r>
        <w:rPr>
          <w:color w:val="2D3243"/>
        </w:rPr>
        <w:t>•</w:t>
      </w:r>
      <w:r>
        <w:rPr>
          <w:rFonts w:ascii="Tenorite;sans-serif" w:hAnsi="Tenorite;sans-serif"/>
          <w:b w:val="false"/>
          <w:color w:val="2D3243"/>
          <w:sz w:val="18"/>
        </w:rPr>
        <w:t>the amount involved exceeds $120,000; and</w:t>
      </w:r>
    </w:p>
    <w:p>
      <w:pPr>
        <w:pStyle w:val="TextBody"/>
        <w:bidi w:val="0"/>
        <w:spacing w:lineRule="auto" w:line="384" w:before="0" w:after="180"/>
        <w:ind w:left="0" w:right="0" w:hanging="360"/>
        <w:jc w:val="left"/>
        <w:rPr/>
      </w:pPr>
      <w:r>
        <w:rPr>
          <w:color w:val="2D3243"/>
        </w:rPr>
        <w:t>•</w:t>
      </w:r>
      <w:r>
        <w:rPr>
          <w:rFonts w:ascii="Tenorite;sans-serif" w:hAnsi="Tenorite;sans-serif"/>
          <w:b w:val="false"/>
          <w:color w:val="2D3243"/>
          <w:sz w:val="18"/>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pStyle w:val="TextBody"/>
        <w:bidi w:val="0"/>
        <w:spacing w:lineRule="auto" w:line="288" w:before="0" w:after="180"/>
        <w:jc w:val="left"/>
        <w:rPr>
          <w:rFonts w:ascii="Tenorite;sans-serif" w:hAnsi="Tenorite;sans-serif"/>
          <w:b/>
          <w:color w:val="2A4CF9"/>
          <w:sz w:val="24"/>
        </w:rPr>
      </w:pPr>
      <w:r>
        <w:rPr>
          <w:rFonts w:ascii="Tenorite;sans-serif" w:hAnsi="Tenorite;sans-serif"/>
          <w:b/>
          <w:color w:val="2A4CF9"/>
          <w:sz w:val="24"/>
        </w:rPr>
        <w:t>Policies and Procedures for Related Party Transactions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Pursuant to our Audit Committee Charter and our Related Party Transactions Policy, our Audit Committee has the primary responsibility for reviewing and approving or disapproving “related party transactions,” which are transactions between us and related persons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or any of their immediate family members, or any firm, corporation or other entity in which any of the foregoing persons is employed or is a partner or principal or in a similar position or in which such person has more than a 5% beneficial ownership interest, in each case since the beginning of the most recently completed fiscal year. Our Related Party Transactions Policy provides that all potential “related party transactions” must be submitted to our Chief Financial Officer or our Chief Legal Officer/General Counsel for initial review and, if reasonably likely to constitute a related party transaction, such transaction shall be submitted to our Audit Committee for review and approval or disapproval. The decision of the Audit Committee with respect to a related party transaction is then reported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40410"/>
                <wp:effectExtent l="0" t="0" r="0" b="0"/>
                <wp:wrapNone/>
                <wp:docPr id="126" name="Frame8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r>
    </w:tbl>
    <w:p>
      <w:pPr>
        <w:pStyle w:val="TextBody"/>
        <w:bidi w:val="0"/>
        <w:spacing w:lineRule="auto" w:line="264" w:before="300" w:after="420"/>
        <w:jc w:val="left"/>
        <w:rPr>
          <w:rFonts w:ascii="Tenorite;sans-serif" w:hAnsi="Tenorite;sans-serif"/>
          <w:b w:val="false"/>
          <w:color w:val="2D3243"/>
          <w:sz w:val="64"/>
        </w:rPr>
      </w:pPr>
      <w:r>
        <w:rPr>
          <w:rFonts w:ascii="Tenorite;sans-serif" w:hAnsi="Tenorite;sans-serif"/>
          <w:b w:val="false"/>
          <w:color w:val="2D3243"/>
          <w:sz w:val="64"/>
        </w:rPr>
        <w:t>Delivery Of Documents To Stockholders Sharing An Address</w:t>
      </w:r>
    </w:p>
    <w:p>
      <w:pPr>
        <w:pStyle w:val="TextBody"/>
        <w:bidi w:val="0"/>
        <w:spacing w:lineRule="auto" w:line="384" w:before="0" w:after="300"/>
        <w:jc w:val="left"/>
        <w:rPr>
          <w:rFonts w:ascii="Tenorite;sans-serif" w:hAnsi="Tenorite;sans-serif"/>
          <w:b w:val="false"/>
          <w:color w:val="2D3243"/>
          <w:sz w:val="18"/>
        </w:rPr>
      </w:pPr>
      <w:r>
        <w:rPr>
          <w:rFonts w:ascii="Tenorite;sans-serif" w:hAnsi="Tenorite;sans-serif"/>
          <w:b w:val="false"/>
          <w:color w:val="2D3243"/>
          <w:sz w:val="18"/>
        </w:rPr>
        <w:t>A number of brokers with account holders who are Five9, Inc. stockholders will be “householding” our proxy materials. A single Notice, set of proxy materials and annual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and/or separate proxy statement and annual report, please notify your broker and direct your written request to Five9, Inc., 3001 Bishop Drive, Suite 350, San Ramon, CA 94583, Attention: Secretary, or call 925-201-2000 ext. 5959. The Company undertakes to deliver promptly to a stockholder upon such written or oral request a separate Notice, set of proxy materials or annual report. Stockholders who currently receive multiple copies of the proxy materials at their address and would like to request “householding” of their communications should contact their broker.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Availability Of Annual Report On Form 10-K</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Our Annual Report on Form 10-K is available online at www.five9.com in the Investor Relations section. We will provide to any stockholder, without charge, upon written request, a copy of the Annual Report on Form 10-K for the fiscal year ended December 31, 2024, as filed with the SEC. Such requests should be addressed to Five9, Inc., 3001 Bishop Drive, Suite 350, San Ramon, CA 94583, Attention: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40410"/>
                <wp:effectExtent l="0" t="0" r="0" b="0"/>
                <wp:wrapNone/>
                <wp:docPr id="127" name="Frame8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tbl>
      <w:tblPr>
        <w:tblW w:w="22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f414a3427b4e569da780bdc4ac5731_13">
              <w:r>
                <w:rPr>
                  <w:rStyle w:val="InternetLink"/>
                  <w:rFonts w:ascii="Tenorite;sans-serif" w:hAnsi="Tenorite;sans-serif"/>
                  <w:b w:val="false"/>
                  <w:strike w:val="false"/>
                  <w:dstrike w:val="false"/>
                  <w:color w:val="000000"/>
                  <w:sz w:val="16"/>
                  <w:u w:val="none"/>
                  <w:effect w:val="none"/>
                </w:rPr>
                <w:t>Table of Contents</w:t>
              </w:r>
            </w:hyperlink>
          </w:p>
        </w:tc>
      </w:tr>
    </w:tbl>
    <w:p>
      <w:pPr>
        <w:pStyle w:val="TextBody"/>
        <w:bidi w:val="0"/>
        <w:spacing w:lineRule="auto" w:line="264" w:before="0" w:after="420"/>
        <w:jc w:val="left"/>
        <w:rPr>
          <w:rFonts w:ascii="Tenorite;sans-serif" w:hAnsi="Tenorite;sans-serif"/>
          <w:b w:val="false"/>
          <w:color w:val="2D3243"/>
          <w:sz w:val="64"/>
        </w:rPr>
      </w:pPr>
      <w:r>
        <w:rPr>
          <w:rFonts w:ascii="Tenorite;sans-serif" w:hAnsi="Tenorite;sans-serif"/>
          <w:b w:val="false"/>
          <w:color w:val="2D3243"/>
          <w:sz w:val="64"/>
        </w:rPr>
        <w:t>Other Matters</w:t>
      </w:r>
    </w:p>
    <w:p>
      <w:pPr>
        <w:pStyle w:val="TextBody"/>
        <w:bidi w:val="0"/>
        <w:spacing w:lineRule="auto" w:line="384" w:before="0" w:after="180"/>
        <w:jc w:val="left"/>
        <w:rPr>
          <w:rFonts w:ascii="Tenorite;sans-serif" w:hAnsi="Tenorite;sans-serif"/>
          <w:b w:val="false"/>
          <w:color w:val="2D3243"/>
          <w:sz w:val="18"/>
        </w:rPr>
      </w:pPr>
      <w:r>
        <w:rPr>
          <w:rFonts w:ascii="Tenorite;sans-serif" w:hAnsi="Tenorite;sans-serif"/>
          <w:b w:val="false"/>
          <w:color w:val="2D3243"/>
          <w:sz w:val="18"/>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6359" w:type="dxa"/>
        <w:jc w:val="center"/>
        <w:tblInd w:w="0" w:type="dxa"/>
        <w:tblLayout w:type="fixed"/>
        <w:tblCellMar>
          <w:top w:w="28" w:type="dxa"/>
          <w:left w:w="28" w:type="dxa"/>
          <w:bottom w:w="28" w:type="dxa"/>
          <w:right w:w="28" w:type="dxa"/>
        </w:tblCellMar>
      </w:tblPr>
      <w:tblGrid>
        <w:gridCol w:w="716"/>
        <w:gridCol w:w="631"/>
        <w:gridCol w:w="633"/>
        <w:gridCol w:w="1281"/>
        <w:gridCol w:w="1281"/>
        <w:gridCol w:w="1817"/>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By Order of the Board of Directors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742950"/>
                  <wp:effectExtent l="0" t="0" r="0" b="0"/>
                  <wp:docPr id="12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6" descr=""/>
                          <pic:cNvPicPr>
                            <a:picLocks noChangeAspect="1" noChangeArrowheads="1"/>
                          </pic:cNvPicPr>
                        </pic:nvPicPr>
                        <pic:blipFill>
                          <a:blip r:embed="rId47"/>
                          <a:stretch>
                            <a:fillRect/>
                          </a:stretch>
                        </pic:blipFill>
                        <pic:spPr bwMode="auto">
                          <a:xfrm>
                            <a:off x="0" y="0"/>
                            <a:ext cx="1828800" cy="742950"/>
                          </a:xfrm>
                          <a:prstGeom prst="rect">
                            <a:avLst/>
                          </a:prstGeom>
                        </pic:spPr>
                      </pic:pic>
                    </a:graphicData>
                  </a:graphic>
                </wp:inline>
              </w:drawing>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color w:val="2D3243"/>
                <w:sz w:val="16"/>
              </w:rPr>
            </w:pPr>
            <w:r>
              <w:rPr>
                <w:rFonts w:ascii="Tenorite;sans-serif" w:hAnsi="Tenorite;sans-serif"/>
                <w:b/>
                <w:color w:val="2D3243"/>
                <w:sz w:val="16"/>
              </w:rPr>
              <w:t>Michael Burkland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Chairman of the Board and Chief Executive Officer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San Ramon, California</w:t>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April 7, 2025</w:t>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40410"/>
                <wp:effectExtent l="0" t="0" r="0" b="0"/>
                <wp:wrapNone/>
                <wp:docPr id="129" name="Frame8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446" w:type="dxa"/>
                        <w:jc w:val="center"/>
                        <w:tblInd w:w="0" w:type="dxa"/>
                        <w:tblLayout w:type="fixed"/>
                        <w:tblCellMar>
                          <w:top w:w="28" w:type="dxa"/>
                          <w:left w:w="28" w:type="dxa"/>
                          <w:bottom w:w="28" w:type="dxa"/>
                          <w:right w:w="28" w:type="dxa"/>
                        </w:tblCellMar>
                      </w:tblPr>
                      <w:tblGrid>
                        <w:gridCol w:w="396"/>
                        <w:gridCol w:w="348"/>
                        <w:gridCol w:w="350"/>
                        <w:gridCol w:w="109"/>
                        <w:gridCol w:w="109"/>
                        <w:gridCol w:w="109"/>
                        <w:gridCol w:w="593"/>
                        <w:gridCol w:w="593"/>
                        <w:gridCol w:w="83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enorite;sans-serif" w:hAnsi="Tenorite;sans-serif"/>
                                <w:b/>
                                <w:color w:val="2D3243"/>
                                <w:sz w:val="16"/>
                              </w:rPr>
                            </w:pPr>
                            <w:r>
                              <w:rPr>
                                <w:rFonts w:ascii="Tenorite;sans-serif" w:hAnsi="Tenorite;sans-serif"/>
                                <w:b/>
                                <w:color w:val="2D3243"/>
                                <w:sz w:val="16"/>
                              </w:rPr>
                              <w:t>Five9,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enorite;sans-serif" w:hAnsi="Tenorite;sans-serif"/>
                                <w:b w:val="false"/>
                                <w:color w:val="2D3243"/>
                                <w:sz w:val="16"/>
                              </w:rPr>
                            </w:pPr>
                            <w:r>
                              <w:rPr>
                                <w:rFonts w:ascii="Tenorite;sans-serif" w:hAnsi="Tenorite;sans-serif"/>
                                <w:b w:val="false"/>
                                <w:color w:val="2D3243"/>
                                <w:sz w:val="16"/>
                              </w:rPr>
                              <w:t>77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enorite;sans-serif" w:hAnsi="Tenorite;sans-serif"/>
                                <w:b w:val="false"/>
                                <w:color w:val="2D3243"/>
                                <w:sz w:val="16"/>
                              </w:rPr>
                            </w:pPr>
                            <w:r>
                              <w:rPr>
                                <w:rFonts w:ascii="Tenorite;sans-serif" w:hAnsi="Tenorite;sans-serif"/>
                                <w:b w:val="false"/>
                                <w:color w:val="2D3243"/>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0275"/>
            <wp:effectExtent l="0" t="0" r="0" b="0"/>
            <wp:docPr id="13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7" descr=""/>
                    <pic:cNvPicPr>
                      <a:picLocks noChangeAspect="1" noChangeArrowheads="1"/>
                    </pic:cNvPicPr>
                  </pic:nvPicPr>
                  <pic:blipFill>
                    <a:blip r:embed="rId48"/>
                    <a:stretch>
                      <a:fillRect/>
                    </a:stretch>
                  </pic:blipFill>
                  <pic:spPr bwMode="auto">
                    <a:xfrm>
                      <a:off x="0" y="0"/>
                      <a:ext cx="7543800" cy="98202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80"/>
        <w:jc w:val="center"/>
        <w:rPr/>
      </w:pPr>
      <w:r>
        <w:rPr/>
        <w:drawing>
          <wp:inline distT="0" distB="0" distL="0" distR="0">
            <wp:extent cx="6629400" cy="8572500"/>
            <wp:effectExtent l="0" t="0" r="0" b="0"/>
            <wp:docPr id="13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8" descr=""/>
                    <pic:cNvPicPr>
                      <a:picLocks noChangeAspect="1" noChangeArrowheads="1"/>
                    </pic:cNvPicPr>
                  </pic:nvPicPr>
                  <pic:blipFill>
                    <a:blip r:embed="rId49"/>
                    <a:stretch>
                      <a:fillRect/>
                    </a:stretch>
                  </pic:blipFill>
                  <pic:spPr bwMode="auto">
                    <a:xfrm>
                      <a:off x="0" y="0"/>
                      <a:ext cx="6629400" cy="85725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629400" cy="8572500"/>
            <wp:effectExtent l="0" t="0" r="0" b="0"/>
            <wp:docPr id="13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9" descr=""/>
                    <pic:cNvPicPr>
                      <a:picLocks noChangeAspect="1" noChangeArrowheads="1"/>
                    </pic:cNvPicPr>
                  </pic:nvPicPr>
                  <pic:blipFill>
                    <a:blip r:embed="rId50"/>
                    <a:stretch>
                      <a:fillRect/>
                    </a:stretch>
                  </pic:blipFill>
                  <pic:spPr bwMode="auto">
                    <a:xfrm>
                      <a:off x="0" y="0"/>
                      <a:ext cx="6629400" cy="8572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Tenorite">
    <w:altName w:val="sans-serif"/>
    <w:charset w:val="01"/>
    <w:family w:val="auto"/>
    <w:pitch w:val="default"/>
  </w:font>
  <w:font w:name="Wingdings">
    <w:altName w:val="sans-serif"/>
    <w:charset w:val="02"/>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gif"/><Relationship Id="rId28" Type="http://schemas.openxmlformats.org/officeDocument/2006/relationships/image" Target="media/image23.gif"/><Relationship Id="rId29" Type="http://schemas.openxmlformats.org/officeDocument/2006/relationships/image" Target="media/image23.gif"/><Relationship Id="rId30" Type="http://schemas.openxmlformats.org/officeDocument/2006/relationships/image" Target="media/image23.gif"/><Relationship Id="rId31" Type="http://schemas.openxmlformats.org/officeDocument/2006/relationships/image" Target="media/image23.gif"/><Relationship Id="rId32" Type="http://schemas.openxmlformats.org/officeDocument/2006/relationships/image" Target="media/image23.gif"/><Relationship Id="rId33" Type="http://schemas.openxmlformats.org/officeDocument/2006/relationships/image" Target="media/image23.gif"/><Relationship Id="rId34" Type="http://schemas.openxmlformats.org/officeDocument/2006/relationships/image" Target="media/image23.gif"/><Relationship Id="rId35" Type="http://schemas.openxmlformats.org/officeDocument/2006/relationships/image" Target="media/image23.gif"/><Relationship Id="rId36" Type="http://schemas.openxmlformats.org/officeDocument/2006/relationships/image" Target="media/image22.gif"/><Relationship Id="rId37" Type="http://schemas.openxmlformats.org/officeDocument/2006/relationships/image" Target="media/image22.gif"/><Relationship Id="rId38" Type="http://schemas.openxmlformats.org/officeDocument/2006/relationships/image" Target="media/image23.gif"/><Relationship Id="rId39" Type="http://schemas.openxmlformats.org/officeDocument/2006/relationships/image" Target="media/image22.gif"/><Relationship Id="rId40" Type="http://schemas.openxmlformats.org/officeDocument/2006/relationships/image" Target="media/image23.gif"/><Relationship Id="rId41" Type="http://schemas.openxmlformats.org/officeDocument/2006/relationships/image" Target="media/image24.jpeg"/><Relationship Id="rId42" Type="http://schemas.openxmlformats.org/officeDocument/2006/relationships/image" Target="media/image25.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28.jpeg"/><Relationship Id="rId46" Type="http://schemas.openxmlformats.org/officeDocument/2006/relationships/image" Target="media/image29.jpeg"/><Relationship Id="rId47" Type="http://schemas.openxmlformats.org/officeDocument/2006/relationships/image" Target="media/image3.jpeg"/><Relationship Id="rId48" Type="http://schemas.openxmlformats.org/officeDocument/2006/relationships/image" Target="media/image30.jpeg"/><Relationship Id="rId49" Type="http://schemas.openxmlformats.org/officeDocument/2006/relationships/image" Target="media/image31.jpeg"/><Relationship Id="rId50" Type="http://schemas.openxmlformats.org/officeDocument/2006/relationships/image" Target="media/image32.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37413</Words>
  <Characters>205704</Characters>
  <CharactersWithSpaces>241390</CharactersWithSpaces>
  <Paragraphs>2877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