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Mansharamani Leena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 STE.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56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4"/>
                <w:szCs w:val="14"/>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09/04/2025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632</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43,859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09/04/2025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1,214</w:t>
            </w:r>
            <w:r>
              <w:rPr>
                <w:rFonts w:ascii="Times New Roman" w:cs="Times New Roman" w:eastAsia="Times New Roman" w:hAnsi="Times New Roman"/>
                <w:sz w:val="11"/>
                <w:szCs w:val="11"/>
                <w:color w:val="008000"/>
                <w:w w:val="83"/>
              </w:rPr>
              <w:t>(3)(4)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25.66</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42,645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09/04/2025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1,123</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26.14</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41,522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represents a Five9, Inc. mandated sale by the Reporting Person to cover tax withholding obligations in connection with the vesting and settlement of restricted stock units, and it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applied to the transaction by the broker for sales to cover taxes upon vesting of restricted stock units for all employees of Five9, Inc., including the Reporting Person, on the date such sales occurred. The Reporting Person undertakes to provide Five9, Inc., any security holder of Five9, Inc.,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December 10,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to cover taxes upon the vesting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$25.29 to $25.99,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$25.99 to $26.34,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Meriweather,</w:t>
            </w:r>
          </w:p>
        </w:tc>
        <w:tc>
          <w:tcPr>
            <w:tcW w:w="3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09/08/2025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6877"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2025-09-08T17:19:39Z</dcterms:created>
  <dcterms:modified xsi:type="dcterms:W3CDTF">2025-09-08T17:19:39Z</dcterms:modified>
</cp:coreProperties>
</file>