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FIVE9, INC.</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1037" w:right="49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001-36383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94-3394123</w:t>
      </w:r>
    </w:p>
    <w:p>
      <w:pPr>
        <w:spacing w:after="0" w:line="37" w:lineRule="exact"/>
        <w:rPr>
          <w:sz w:val="24"/>
          <w:szCs w:val="24"/>
          <w:color w:val="auto"/>
        </w:rPr>
      </w:pPr>
    </w:p>
    <w:p>
      <w:pPr>
        <w:sectPr>
          <w:pgSz w:w="11900" w:h="16838" w:orient="portrait"/>
          <w:cols w:equalWidth="0" w:num="3">
            <w:col w:w="4500" w:space="720"/>
            <w:col w:w="3080" w:space="720"/>
            <w:col w:w="2060"/>
          </w:cols>
          <w:pgMar w:left="320" w:top="1037" w:right="49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3">
            <w:col w:w="4220" w:space="720"/>
            <w:col w:w="3220" w:space="720"/>
            <w:col w:w="2200"/>
          </w:cols>
          <w:pgMar w:left="320" w:top="1037"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3001 Bishop Drive, Suite 350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San Ramon, CA 94583</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(925) 201-2000</w:t>
      </w:r>
    </w:p>
    <w:p>
      <w:pPr>
        <w:spacing w:after="0" w:line="1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080"/>
          </w:cols>
          <w:pgMar w:left="320" w:top="1037" w:right="499" w:bottom="1440" w:gutter="0" w:footer="0" w:header="0"/>
          <w:type w:val="continuous"/>
        </w:sectPr>
      </w:pPr>
    </w:p>
    <w:p>
      <w:pPr>
        <w:spacing w:after="0" w:line="18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080"/>
          </w:cols>
          <w:pgMar w:left="320" w:top="1037" w:right="499" w:bottom="1440" w:gutter="0" w:footer="0" w:header="0"/>
          <w:type w:val="continuous"/>
        </w:sectPr>
      </w:pPr>
    </w:p>
    <w:p>
      <w:pPr>
        <w:spacing w:after="0" w:line="53"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00" w:space="720"/>
            <w:col w:w="1640" w:space="720"/>
            <w:col w:w="3700"/>
          </w:cols>
          <w:pgMar w:left="320" w:top="1037" w:right="49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FIVN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Global Market</w:t>
      </w:r>
    </w:p>
    <w:p>
      <w:pPr>
        <w:spacing w:after="0" w:line="200" w:lineRule="exact"/>
        <w:rPr>
          <w:sz w:val="24"/>
          <w:szCs w:val="24"/>
          <w:color w:val="auto"/>
        </w:rPr>
      </w:pPr>
    </w:p>
    <w:p>
      <w:pPr>
        <w:sectPr>
          <w:pgSz w:w="11900" w:h="16838" w:orient="portrait"/>
          <w:cols w:equalWidth="0" w:num="3">
            <w:col w:w="4700" w:space="720"/>
            <w:col w:w="1780" w:space="720"/>
            <w:col w:w="3160"/>
          </w:cols>
          <w:pgMar w:left="320" w:top="1037" w:right="499" w:bottom="1440" w:gutter="0" w:footer="0" w:header="0"/>
          <w:type w:val="continuous"/>
        </w:sectPr>
      </w:pPr>
    </w:p>
    <w:p>
      <w:pPr>
        <w:spacing w:after="0" w:line="48" w:lineRule="exact"/>
        <w:rPr>
          <w:sz w:val="24"/>
          <w:szCs w:val="24"/>
          <w:color w:val="auto"/>
        </w:rPr>
      </w:pPr>
    </w:p>
    <w:p>
      <w:pPr>
        <w:ind w:left="40" w:right="540"/>
        <w:spacing w:after="0" w:line="237" w:lineRule="auto"/>
        <w:rPr>
          <w:sz w:val="20"/>
          <w:szCs w:val="20"/>
          <w:color w:val="auto"/>
        </w:rPr>
      </w:pPr>
      <w:r>
        <w:rPr>
          <w:rFonts w:ascii="Times New Roman" w:cs="Times New Roman" w:eastAsia="Times New Roman" w:hAnsi="Times New Roman"/>
          <w:sz w:val="18"/>
          <w:szCs w:val="18"/>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28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1200785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7"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6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On May 20, 2026, Five9, Inc. (the “Company”) held its 2026 annual meeting of stockholders (the “Annual Meeting”). At the Annual Meeting, the Company’s stockholders (1) approved management’s proposal to amend and restate the Company’s Amended and Restated Certificate of Incorporation (the “Charter”) to declassify the board of directors, (2) approved management’s proposal to amend and restate the Company’s Charter to remove supermajority voting requirements, (3) elected two directors to the Company’s board of directors, (4) approved, on an advisory basis, the compensation of the Company’s named executive officers, and (5) ratified the appointment of KPMG LLP as the Company’s independent registered public accounting firm for the fiscal year ending December 31, 2026. A total of 62,804,950 shares, or 82% of the Company’s common stock outstanding as of the record date of March 24, 2026, were represented in person or by proxy at the Annual Meeting. The matters voted on by the Company’s stockholders and the voting results are as follows:</w:t>
      </w:r>
    </w:p>
    <w:p>
      <w:pPr>
        <w:spacing w:after="0" w:line="121" w:lineRule="exact"/>
        <w:rPr>
          <w:sz w:val="20"/>
          <w:szCs w:val="20"/>
          <w:color w:val="auto"/>
        </w:rPr>
      </w:pPr>
    </w:p>
    <w:p>
      <w:pPr>
        <w:ind w:firstLine="8"/>
        <w:spacing w:after="0" w:line="250"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Declassification of the Board of Directors</w:t>
      </w:r>
      <w:r>
        <w:rPr>
          <w:rFonts w:ascii="Times New Roman" w:cs="Times New Roman" w:eastAsia="Times New Roman" w:hAnsi="Times New Roman"/>
          <w:sz w:val="18"/>
          <w:szCs w:val="18"/>
          <w:color w:val="auto"/>
        </w:rPr>
        <w:t>. The Company’s stockholders approved management's proposal to amend and restate the Company's Charter to declassify the Board of Directors.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Shares Against</w:t>
            </w:r>
          </w:p>
        </w:tc>
        <w:tc>
          <w:tcPr>
            <w:tcW w:w="2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Shares Abstained</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55,286,200</w:t>
            </w:r>
          </w:p>
        </w:tc>
        <w:tc>
          <w:tcPr>
            <w:tcW w:w="200" w:type="dxa"/>
            <w:vAlign w:val="bottom"/>
          </w:tcPr>
          <w:p>
            <w:pPr>
              <w:spacing w:after="0"/>
              <w:rPr>
                <w:sz w:val="19"/>
                <w:szCs w:val="19"/>
                <w:color w:val="auto"/>
              </w:rPr>
            </w:pPr>
          </w:p>
        </w:tc>
        <w:tc>
          <w:tcPr>
            <w:tcW w:w="2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96,421</w:t>
            </w:r>
          </w:p>
        </w:tc>
        <w:tc>
          <w:tcPr>
            <w:tcW w:w="200" w:type="dxa"/>
            <w:vAlign w:val="bottom"/>
          </w:tcPr>
          <w:p>
            <w:pPr>
              <w:spacing w:after="0"/>
              <w:rPr>
                <w:sz w:val="19"/>
                <w:szCs w:val="19"/>
                <w:color w:val="auto"/>
              </w:rPr>
            </w:pP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126,684</w:t>
            </w:r>
          </w:p>
        </w:tc>
        <w:tc>
          <w:tcPr>
            <w:tcW w:w="200" w:type="dxa"/>
            <w:vAlign w:val="bottom"/>
          </w:tcPr>
          <w:p>
            <w:pPr>
              <w:spacing w:after="0"/>
              <w:rPr>
                <w:sz w:val="19"/>
                <w:szCs w:val="19"/>
                <w:color w:val="auto"/>
              </w:rPr>
            </w:pPr>
          </w:p>
        </w:tc>
        <w:tc>
          <w:tcPr>
            <w:tcW w:w="2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7,295,645</w:t>
            </w:r>
          </w:p>
        </w:tc>
      </w:tr>
    </w:tbl>
    <w:p>
      <w:pPr>
        <w:spacing w:after="0" w:line="71" w:lineRule="exact"/>
        <w:rPr>
          <w:sz w:val="20"/>
          <w:szCs w:val="20"/>
          <w:color w:val="auto"/>
        </w:rPr>
      </w:pPr>
    </w:p>
    <w:p>
      <w:pPr>
        <w:ind w:right="400" w:firstLine="8"/>
        <w:spacing w:after="0" w:line="276"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supermajority voting requirements</w:t>
      </w:r>
      <w:r>
        <w:rPr>
          <w:rFonts w:ascii="Times New Roman" w:cs="Times New Roman" w:eastAsia="Times New Roman" w:hAnsi="Times New Roman"/>
          <w:sz w:val="18"/>
          <w:szCs w:val="18"/>
          <w:color w:val="auto"/>
        </w:rPr>
        <w:t>. The Company’s stockholders approved management's proposal to amend and restate the Company's Charter to remove supermajority voting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Shares Against</w:t>
            </w:r>
          </w:p>
        </w:tc>
        <w:tc>
          <w:tcPr>
            <w:tcW w:w="2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Shares Abstained</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55,241,926</w:t>
            </w:r>
          </w:p>
        </w:tc>
        <w:tc>
          <w:tcPr>
            <w:tcW w:w="200" w:type="dxa"/>
            <w:vAlign w:val="bottom"/>
          </w:tcPr>
          <w:p>
            <w:pPr>
              <w:spacing w:after="0"/>
              <w:rPr>
                <w:sz w:val="19"/>
                <w:szCs w:val="19"/>
                <w:color w:val="auto"/>
              </w:rPr>
            </w:pPr>
          </w:p>
        </w:tc>
        <w:tc>
          <w:tcPr>
            <w:tcW w:w="2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136,922</w:t>
            </w:r>
          </w:p>
        </w:tc>
        <w:tc>
          <w:tcPr>
            <w:tcW w:w="200" w:type="dxa"/>
            <w:vAlign w:val="bottom"/>
          </w:tcPr>
          <w:p>
            <w:pPr>
              <w:spacing w:after="0"/>
              <w:rPr>
                <w:sz w:val="19"/>
                <w:szCs w:val="19"/>
                <w:color w:val="auto"/>
              </w:rPr>
            </w:pP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130,457</w:t>
            </w:r>
          </w:p>
        </w:tc>
        <w:tc>
          <w:tcPr>
            <w:tcW w:w="200" w:type="dxa"/>
            <w:vAlign w:val="bottom"/>
          </w:tcPr>
          <w:p>
            <w:pPr>
              <w:spacing w:after="0"/>
              <w:rPr>
                <w:sz w:val="19"/>
                <w:szCs w:val="19"/>
                <w:color w:val="auto"/>
              </w:rPr>
            </w:pPr>
          </w:p>
        </w:tc>
        <w:tc>
          <w:tcPr>
            <w:tcW w:w="2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7,295,645</w:t>
            </w:r>
          </w:p>
        </w:tc>
      </w:tr>
    </w:tbl>
    <w:p>
      <w:pPr>
        <w:spacing w:after="0" w:line="233" w:lineRule="exact"/>
        <w:rPr>
          <w:sz w:val="20"/>
          <w:szCs w:val="20"/>
          <w:color w:val="auto"/>
        </w:rPr>
      </w:pPr>
    </w:p>
    <w:p>
      <w:pPr>
        <w:ind w:right="280" w:firstLine="8"/>
        <w:spacing w:after="0" w:line="276"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Each of the two nominees for director were elected as Class III directors to the Company’s Board of Directors to serve until the Company’s 2027 annual meeting of stockholders or until their successors are duly elected and qualified.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1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Shares Withheld</w:t>
            </w:r>
          </w:p>
        </w:tc>
        <w:tc>
          <w:tcPr>
            <w:tcW w:w="1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Amit Mathradas</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55,248,526</w:t>
            </w:r>
          </w:p>
        </w:tc>
        <w:tc>
          <w:tcPr>
            <w:tcW w:w="20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74,336</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7,295,645</w:t>
            </w: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Sagar Gupta</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54,143,117</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415,220</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7,295,645</w:t>
            </w:r>
          </w:p>
        </w:tc>
      </w:tr>
    </w:tbl>
    <w:p>
      <w:pPr>
        <w:spacing w:after="0" w:line="306" w:lineRule="exact"/>
        <w:rPr>
          <w:sz w:val="20"/>
          <w:szCs w:val="20"/>
          <w:color w:val="auto"/>
        </w:rPr>
      </w:pPr>
    </w:p>
    <w:p>
      <w:pPr>
        <w:ind w:right="540" w:firstLine="8"/>
        <w:spacing w:after="0" w:line="276"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Advisory vote on executive compensation</w:t>
      </w:r>
      <w:r>
        <w:rPr>
          <w:rFonts w:ascii="Times New Roman" w:cs="Times New Roman" w:eastAsia="Times New Roman" w:hAnsi="Times New Roman"/>
          <w:sz w:val="18"/>
          <w:szCs w:val="18"/>
          <w:color w:val="auto"/>
        </w:rPr>
        <w:t>. The Company’s stockholders approved, on an advisory basis, the compensation of its named executive officers. The proposal received the following votes: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2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Shares Against</w:t>
            </w:r>
          </w:p>
        </w:tc>
        <w:tc>
          <w:tcPr>
            <w:tcW w:w="2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Shares Abstained</w:t>
            </w:r>
          </w:p>
        </w:tc>
        <w:tc>
          <w:tcPr>
            <w:tcW w:w="2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50,349,625</w:t>
            </w:r>
          </w:p>
        </w:tc>
        <w:tc>
          <w:tcPr>
            <w:tcW w:w="200" w:type="dxa"/>
            <w:vAlign w:val="bottom"/>
          </w:tcPr>
          <w:p>
            <w:pPr>
              <w:spacing w:after="0"/>
              <w:rPr>
                <w:sz w:val="19"/>
                <w:szCs w:val="19"/>
                <w:color w:val="auto"/>
              </w:rPr>
            </w:pPr>
          </w:p>
        </w:tc>
        <w:tc>
          <w:tcPr>
            <w:tcW w:w="2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4,976,172</w:t>
            </w:r>
          </w:p>
        </w:tc>
        <w:tc>
          <w:tcPr>
            <w:tcW w:w="200" w:type="dxa"/>
            <w:vAlign w:val="bottom"/>
          </w:tcPr>
          <w:p>
            <w:pPr>
              <w:spacing w:after="0"/>
              <w:rPr>
                <w:sz w:val="19"/>
                <w:szCs w:val="19"/>
                <w:color w:val="auto"/>
              </w:rPr>
            </w:pP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183,508</w:t>
            </w:r>
          </w:p>
        </w:tc>
        <w:tc>
          <w:tcPr>
            <w:tcW w:w="200" w:type="dxa"/>
            <w:vAlign w:val="bottom"/>
          </w:tcPr>
          <w:p>
            <w:pPr>
              <w:spacing w:after="0"/>
              <w:rPr>
                <w:sz w:val="19"/>
                <w:szCs w:val="19"/>
                <w:color w:val="auto"/>
              </w:rPr>
            </w:pPr>
          </w:p>
        </w:tc>
        <w:tc>
          <w:tcPr>
            <w:tcW w:w="2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7,295,645</w:t>
            </w:r>
          </w:p>
        </w:tc>
      </w:tr>
    </w:tbl>
    <w:p>
      <w:pPr>
        <w:spacing w:after="0" w:line="71" w:lineRule="exact"/>
        <w:rPr>
          <w:sz w:val="20"/>
          <w:szCs w:val="20"/>
          <w:color w:val="auto"/>
        </w:rPr>
      </w:pPr>
    </w:p>
    <w:p>
      <w:pPr>
        <w:ind w:right="80" w:firstLine="8"/>
        <w:spacing w:after="0" w:line="276"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appointment of KPMG LLP as the Company’s independent registered public accounting firm for the fiscal year ending December 31, 2026.</w:t>
      </w:r>
      <w:r>
        <w:rPr>
          <w:rFonts w:ascii="Times New Roman" w:cs="Times New Roman" w:eastAsia="Times New Roman" w:hAnsi="Times New Roman"/>
          <w:sz w:val="18"/>
          <w:szCs w:val="18"/>
          <w:color w:val="auto"/>
        </w:rPr>
        <w:t xml:space="preserve"> The appointment of KPMG LLP was ratified.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Shares For</w:t>
            </w:r>
          </w:p>
        </w:tc>
        <w:tc>
          <w:tcPr>
            <w:tcW w:w="5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Shares Against</w:t>
            </w:r>
          </w:p>
        </w:tc>
        <w:tc>
          <w:tcPr>
            <w:tcW w:w="22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 Abstained</w:t>
            </w:r>
          </w:p>
        </w:tc>
        <w:tc>
          <w:tcPr>
            <w:tcW w:w="60" w:type="dxa"/>
            <w:vAlign w:val="bottom"/>
          </w:tcPr>
          <w:p>
            <w:pPr>
              <w:spacing w:after="0"/>
              <w:rPr>
                <w:sz w:val="19"/>
                <w:szCs w:val="19"/>
                <w:color w:val="auto"/>
              </w:rPr>
            </w:pPr>
          </w:p>
        </w:tc>
      </w:tr>
      <w:tr>
        <w:trPr>
          <w:trHeight w:val="228"/>
        </w:trPr>
        <w:tc>
          <w:tcPr>
            <w:tcW w:w="22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62,448,505</w:t>
            </w:r>
          </w:p>
        </w:tc>
        <w:tc>
          <w:tcPr>
            <w:tcW w:w="222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254,888</w:t>
            </w:r>
          </w:p>
        </w:tc>
        <w:tc>
          <w:tcPr>
            <w:tcW w:w="2240" w:type="dxa"/>
            <w:vAlign w:val="bottom"/>
          </w:tcPr>
          <w:p>
            <w:pPr>
              <w:spacing w:after="0"/>
              <w:rPr>
                <w:sz w:val="19"/>
                <w:szCs w:val="19"/>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101,557</w:t>
            </w:r>
          </w:p>
        </w:tc>
        <w:tc>
          <w:tcPr>
            <w:tcW w:w="60" w:type="dxa"/>
            <w:vAlign w:val="bottom"/>
          </w:tcPr>
          <w:p>
            <w:pPr>
              <w:spacing w:after="0"/>
              <w:rPr>
                <w:sz w:val="19"/>
                <w:szCs w:val="19"/>
                <w:color w:val="auto"/>
              </w:rPr>
            </w:pPr>
          </w:p>
        </w:tc>
      </w:tr>
      <w:tr>
        <w:trPr>
          <w:trHeight w:val="549"/>
        </w:trPr>
        <w:tc>
          <w:tcPr>
            <w:tcW w:w="4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6"/>
        </w:trPr>
        <w:tc>
          <w:tcPr>
            <w:tcW w:w="4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
        </w:trPr>
        <w:tc>
          <w:tcPr>
            <w:tcW w:w="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220" w:type="dxa"/>
            <w:vAlign w:val="bottom"/>
            <w:tcBorders>
              <w:bottom w:val="single" w:sz="8" w:color="auto"/>
            </w:tcBorders>
            <w:gridSpan w:val="4"/>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04"/>
        </w:trPr>
        <w:tc>
          <w:tcPr>
            <w:tcW w:w="138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7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22"/>
        </w:trPr>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FIVE9, INC.</w:t>
            </w:r>
          </w:p>
        </w:tc>
        <w:tc>
          <w:tcPr>
            <w:tcW w:w="3260" w:type="dxa"/>
            <w:vAlign w:val="bottom"/>
          </w:tcPr>
          <w:p>
            <w:pPr>
              <w:spacing w:after="0"/>
              <w:rPr>
                <w:sz w:val="20"/>
                <w:szCs w:val="20"/>
                <w:color w:val="auto"/>
              </w:rPr>
            </w:pPr>
          </w:p>
        </w:tc>
      </w:tr>
      <w:tr>
        <w:trPr>
          <w:trHeight w:val="50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396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/s/ Bryan Lee</w:t>
            </w:r>
          </w:p>
        </w:tc>
      </w:tr>
      <w:tr>
        <w:trPr>
          <w:trHeight w:val="218"/>
        </w:trPr>
        <w:tc>
          <w:tcPr>
            <w:tcW w:w="3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rPr>
              <w:t>Bryan Lee</w:t>
            </w:r>
          </w:p>
        </w:tc>
      </w:tr>
      <w:tr>
        <w:trPr>
          <w:trHeight w:val="234"/>
        </w:trPr>
        <w:tc>
          <w:tcPr>
            <w:tcW w:w="39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1" w:lineRule="exact"/>
        <w:rPr>
          <w:sz w:val="20"/>
          <w:szCs w:val="20"/>
          <w:color w:val="auto"/>
        </w:rPr>
      </w:pP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2026-05-20T15:07:27Z</dcterms:created>
  <dcterms:modified xsi:type="dcterms:W3CDTF">2026-05-20T15:07:27Z</dcterms:modified>
</cp:coreProperties>
</file>