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60" w:after="16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312" w:before="0" w:after="1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Five9, Inc.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3001 Bishop Drive, Suite 350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Ramon, CA 94583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(925) 201-2000 </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As of April 27, 2026, there were 76,563,988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6e7e7ea09ff34f69bc634eb1d2db48d9_7">
        <w:r>
          <w:rPr>
            <w:rStyle w:val="InternetLink"/>
            <w:rFonts w:ascii="Times New Roman;serif" w:hAnsi="Times New Roman;serif"/>
            <w:b w:val="false"/>
            <w:color w:val="0000FF"/>
            <w:sz w:val="22"/>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312" w:before="18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14" w:type="dxa"/>
        <w:jc w:val="center"/>
        <w:tblInd w:w="0" w:type="dxa"/>
        <w:tblLayout w:type="fixed"/>
        <w:tblCellMar>
          <w:top w:w="28" w:type="dxa"/>
          <w:left w:w="28" w:type="dxa"/>
          <w:bottom w:w="28" w:type="dxa"/>
          <w:right w:w="28" w:type="dxa"/>
        </w:tblCellMar>
      </w:tblPr>
      <w:tblGrid>
        <w:gridCol w:w="2939"/>
        <w:gridCol w:w="2586"/>
        <w:gridCol w:w="2590"/>
        <w:gridCol w:w="109"/>
        <w:gridCol w:w="109"/>
        <w:gridCol w:w="109"/>
        <w:gridCol w:w="109"/>
        <w:gridCol w:w="109"/>
        <w:gridCol w:w="154"/>
      </w:tblGrid>
      <w:tr>
        <w:trPr/>
        <w:tc>
          <w:tcPr>
            <w:tcW w:w="293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0">
              <w:r>
                <w:rPr>
                  <w:rStyle w:val="InternetLink"/>
                  <w:rFonts w:ascii="Times New Roman;serif" w:hAnsi="Times New Roman;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0">
              <w:r>
                <w:rPr>
                  <w:rStyle w:val="InternetLink"/>
                  <w:rFonts w:ascii="Times New Roman;serif" w:hAnsi="Times New Roman;serif"/>
                  <w:b w:val="false"/>
                  <w:color w:val="0000FF"/>
                  <w:sz w:val="20"/>
                  <w:u w:val="single"/>
                </w:rPr>
                <w:t>2</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e7e7ea09ff34f69bc634eb1d2db48d9_13">
              <w:r>
                <w:rPr>
                  <w:rStyle w:val="InternetLink"/>
                  <w:rFonts w:ascii="Times New Roman;serif" w:hAnsi="Times New Roman;serif"/>
                  <w:b w:val="false"/>
                  <w:color w:val="0000FF"/>
                  <w:sz w:val="20"/>
                  <w:u w:val="single"/>
                </w:rPr>
                <w:t>PART I. FINANCIAL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6">
              <w:r>
                <w:rPr>
                  <w:rStyle w:val="InternetLink"/>
                  <w:rFonts w:ascii="Times New Roman;serif" w:hAnsi="Times New Roman;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6">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9">
              <w:r>
                <w:rPr>
                  <w:rStyle w:val="InternetLink"/>
                  <w:rFonts w:ascii="Times New Roman;serif" w:hAnsi="Times New Roman;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9">
              <w:r>
                <w:rPr>
                  <w:rStyle w:val="InternetLink"/>
                  <w:rFonts w:ascii="Times New Roman;serif" w:hAnsi="Times New Roman;serif"/>
                  <w:b w:val="false"/>
                  <w:color w:val="0000FF"/>
                  <w:sz w:val="20"/>
                  <w:u w:val="single"/>
                </w:rPr>
                <w:t>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22">
              <w:r>
                <w:rPr>
                  <w:rStyle w:val="InternetLink"/>
                  <w:rFonts w:ascii="Times New Roman;serif" w:hAnsi="Times New Roman;serif"/>
                  <w:b w:val="false"/>
                  <w:color w:val="0000FF"/>
                  <w:sz w:val="20"/>
                  <w:u w:val="single"/>
                </w:rPr>
                <w:t>Condensed Consolidated Statements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22">
              <w:r>
                <w:rPr>
                  <w:rStyle w:val="InternetLink"/>
                  <w:rFonts w:ascii="Times New Roman;serif" w:hAnsi="Times New Roman;serif"/>
                  <w:b w:val="false"/>
                  <w:color w:val="0000FF"/>
                  <w:sz w:val="20"/>
                  <w:u w:val="single"/>
                </w:rPr>
                <w:t>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25">
              <w:r>
                <w:rPr>
                  <w:rStyle w:val="InternetLink"/>
                  <w:rFonts w:ascii="Times New Roman;serif" w:hAnsi="Times New Roman;serif"/>
                  <w:b w:val="false"/>
                  <w:color w:val="0000FF"/>
                  <w:sz w:val="20"/>
                  <w:u w:val="single"/>
                </w:rPr>
                <w:t>Condensed Consolidated Statements of Stockholders’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25">
              <w:r>
                <w:rPr>
                  <w:rStyle w:val="InternetLink"/>
                  <w:rFonts w:ascii="Times New Roman;serif" w:hAnsi="Times New Roman;serif"/>
                  <w:b w:val="false"/>
                  <w:color w:val="0000FF"/>
                  <w:sz w:val="20"/>
                  <w:u w:val="single"/>
                </w:rPr>
                <w:t>6</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28">
              <w:r>
                <w:rPr>
                  <w:rStyle w:val="InternetLink"/>
                  <w:rFonts w:ascii="Times New Roman;serif" w:hAnsi="Times New Roman;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28">
              <w:r>
                <w:rPr>
                  <w:rStyle w:val="InternetLink"/>
                  <w:rFonts w:ascii="Times New Roman;serif" w:hAnsi="Times New Roman;serif"/>
                  <w:b w:val="false"/>
                  <w:color w:val="0000FF"/>
                  <w:sz w:val="20"/>
                  <w:u w:val="single"/>
                </w:rPr>
                <w:t>7</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31">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31">
              <w:r>
                <w:rPr>
                  <w:rStyle w:val="InternetLink"/>
                  <w:rFonts w:ascii="Times New Roman;serif" w:hAnsi="Times New Roman;serif"/>
                  <w:b w:val="false"/>
                  <w:color w:val="0000FF"/>
                  <w:sz w:val="20"/>
                  <w:u w:val="single"/>
                </w:rPr>
                <w:t>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88">
              <w:r>
                <w:rPr>
                  <w:rStyle w:val="InternetLink"/>
                  <w:rFonts w:ascii="Times New Roman;serif" w:hAnsi="Times New Roman;serif"/>
                  <w:b w:val="false"/>
                  <w:color w:val="0000FF"/>
                  <w:sz w:val="20"/>
                  <w:u w:val="single"/>
                </w:rPr>
                <w:t>29</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91">
              <w:r>
                <w:rPr>
                  <w:rStyle w:val="InternetLink"/>
                  <w:rFonts w:ascii="Times New Roman;serif" w:hAnsi="Times New Roman;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91">
              <w:r>
                <w:rPr>
                  <w:rStyle w:val="InternetLink"/>
                  <w:rFonts w:ascii="Times New Roman;serif" w:hAnsi="Times New Roman;serif"/>
                  <w:b w:val="false"/>
                  <w:color w:val="0000FF"/>
                  <w:sz w:val="20"/>
                  <w:u w:val="single"/>
                </w:rPr>
                <w:t>29</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94">
              <w:r>
                <w:rPr>
                  <w:rStyle w:val="InternetLink"/>
                  <w:rFonts w:ascii="Times New Roman;serif" w:hAnsi="Times New Roman;serif"/>
                  <w:b w:val="false"/>
                  <w:color w:val="000080"/>
                  <w:sz w:val="20"/>
                  <w:u w:val="single"/>
                </w:rPr>
                <w:t xml:space="preserve">Key Operating and </w:t>
              </w:r>
            </w:hyperlink>
            <w:hyperlink w:anchor="i6e7e7ea09ff34f69bc634eb1d2db48d9_94">
              <w:r>
                <w:rPr>
                  <w:rStyle w:val="InternetLink"/>
                  <w:rFonts w:ascii="Times New Roman;serif" w:hAnsi="Times New Roman;serif"/>
                  <w:b w:val="false"/>
                  <w:color w:val="000080"/>
                  <w:sz w:val="20"/>
                  <w:u w:val="single"/>
                </w:rPr>
                <w:t xml:space="preserve">Non-GAAP </w:t>
              </w:r>
            </w:hyperlink>
            <w:hyperlink w:anchor="i6e7e7ea09ff34f69bc634eb1d2db48d9_94">
              <w:r>
                <w:rPr>
                  <w:rStyle w:val="InternetLink"/>
                  <w:rFonts w:ascii="Times New Roman;serif" w:hAnsi="Times New Roman;serif"/>
                  <w:b w:val="false"/>
                  <w:color w:val="000080"/>
                  <w:sz w:val="20"/>
                  <w:u w:val="single"/>
                </w:rPr>
                <w:t>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94">
              <w:r>
                <w:rPr>
                  <w:rStyle w:val="InternetLink"/>
                  <w:rFonts w:ascii="Times New Roman;serif" w:hAnsi="Times New Roman;serif"/>
                  <w:b w:val="false"/>
                  <w:color w:val="0000FF"/>
                  <w:sz w:val="20"/>
                  <w:u w:val="single"/>
                </w:rPr>
                <w:t>30</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97">
              <w:r>
                <w:rPr>
                  <w:rStyle w:val="InternetLink"/>
                  <w:rFonts w:ascii="Times New Roman;serif" w:hAnsi="Times New Roman;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97">
              <w:r>
                <w:rPr>
                  <w:rStyle w:val="InternetLink"/>
                  <w:rFonts w:ascii="Times New Roman;serif" w:hAnsi="Times New Roman;serif"/>
                  <w:b w:val="false"/>
                  <w:color w:val="0000FF"/>
                  <w:sz w:val="20"/>
                  <w:u w:val="single"/>
                </w:rPr>
                <w:t>31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00">
              <w:r>
                <w:rPr>
                  <w:rStyle w:val="InternetLink"/>
                  <w:rFonts w:ascii="Times New Roman;serif" w:hAnsi="Times New Roman;serif"/>
                  <w:b w:val="false"/>
                  <w:color w:val="000080"/>
                  <w:sz w:val="20"/>
                  <w:u w:val="single"/>
                </w:rPr>
                <w:t>Results of Operations for the Three Months Ended March 31, 202</w:t>
              </w:r>
            </w:hyperlink>
            <w:hyperlink w:anchor="i6e7e7ea09ff34f69bc634eb1d2db48d9_100">
              <w:r>
                <w:rPr>
                  <w:rStyle w:val="InternetLink"/>
                  <w:rFonts w:ascii="Times New Roman;serif" w:hAnsi="Times New Roman;serif"/>
                  <w:b w:val="false"/>
                  <w:color w:val="000080"/>
                  <w:sz w:val="20"/>
                  <w:u w:val="single"/>
                </w:rPr>
                <w:t>6</w:t>
              </w:r>
            </w:hyperlink>
            <w:hyperlink w:anchor="i6e7e7ea09ff34f69bc634eb1d2db48d9_100">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00">
              <w:r>
                <w:rPr>
                  <w:rStyle w:val="InternetLink"/>
                  <w:rFonts w:ascii="Times New Roman;serif" w:hAnsi="Times New Roman;serif"/>
                  <w:b w:val="false"/>
                  <w:color w:val="0000FF"/>
                  <w:sz w:val="20"/>
                  <w:u w:val="single"/>
                </w:rPr>
                <w:t>33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03">
              <w:r>
                <w:rPr>
                  <w:rStyle w:val="InternetLink"/>
                  <w:rFonts w:ascii="Times New Roman;serif" w:hAnsi="Times New Roman;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03">
              <w:r>
                <w:rPr>
                  <w:rStyle w:val="InternetLink"/>
                  <w:rFonts w:ascii="Times New Roman;serif" w:hAnsi="Times New Roman;serif"/>
                  <w:b w:val="false"/>
                  <w:color w:val="0000FF"/>
                  <w:sz w:val="20"/>
                  <w:u w:val="single"/>
                </w:rPr>
                <w:t>35</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06">
              <w:r>
                <w:rPr>
                  <w:rStyle w:val="InternetLink"/>
                  <w:rFonts w:ascii="Times New Roman;serif" w:hAnsi="Times New Roman;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06">
              <w:r>
                <w:rPr>
                  <w:rStyle w:val="InternetLink"/>
                  <w:rFonts w:ascii="Times New Roman;serif" w:hAnsi="Times New Roman;serif"/>
                  <w:b w:val="false"/>
                  <w:color w:val="0000FF"/>
                  <w:sz w:val="20"/>
                  <w:u w:val="single"/>
                </w:rPr>
                <w:t>37</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09">
              <w:r>
                <w:rPr>
                  <w:rStyle w:val="InternetLink"/>
                  <w:rFonts w:ascii="Times New Roman;serif" w:hAnsi="Times New Roman;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09">
              <w:r>
                <w:rPr>
                  <w:rStyle w:val="InternetLink"/>
                  <w:rFonts w:ascii="Times New Roman;serif" w:hAnsi="Times New Roman;serif"/>
                  <w:b w:val="false"/>
                  <w:color w:val="0000FF"/>
                  <w:sz w:val="20"/>
                  <w:u w:val="single"/>
                </w:rPr>
                <w:t>37</w:t>
              </w:r>
            </w:hyperlink>
          </w:p>
        </w:tc>
      </w:tr>
      <w:tr>
        <w:trPr/>
        <w:tc>
          <w:tcPr>
            <w:tcW w:w="8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12">
              <w:r>
                <w:rPr>
                  <w:rStyle w:val="InternetLink"/>
                  <w:rFonts w:ascii="Times New Roman;serif" w:hAnsi="Times New Roman;serif"/>
                  <w:b w:val="false"/>
                  <w:color w:val="000080"/>
                  <w:sz w:val="20"/>
                  <w:u w:val="single"/>
                </w:rPr>
                <w:t>Contractual</w:t>
              </w:r>
            </w:hyperlink>
            <w:hyperlink w:anchor="i6e7e7ea09ff34f69bc634eb1d2db48d9_112">
              <w:r>
                <w:rPr>
                  <w:rStyle w:val="InternetLink"/>
                  <w:rFonts w:ascii="Times New Roman;serif" w:hAnsi="Times New Roman;serif"/>
                  <w:b w:val="false"/>
                  <w:color w:val="000080"/>
                  <w:sz w:val="20"/>
                  <w:u w:val="single"/>
                </w:rPr>
                <w:t xml:space="preserve"> and Other</w:t>
              </w:r>
            </w:hyperlink>
            <w:hyperlink w:anchor="i6e7e7ea09ff34f69bc634eb1d2db48d9_112">
              <w:r>
                <w:rPr>
                  <w:rStyle w:val="InternetLink"/>
                  <w:rFonts w:ascii="Times New Roman;serif" w:hAnsi="Times New Roman;serif"/>
                  <w:b w:val="false"/>
                  <w:color w:val="000080"/>
                  <w:sz w:val="20"/>
                  <w:u w:val="single"/>
                </w:rPr>
                <w:t xml:space="preserve">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12">
              <w:r>
                <w:rPr>
                  <w:rStyle w:val="InternetLink"/>
                  <w:rFonts w:ascii="Times New Roman;serif" w:hAnsi="Times New Roman;serif"/>
                  <w:b w:val="false"/>
                  <w:color w:val="0000FF"/>
                  <w:sz w:val="20"/>
                  <w:u w:val="single"/>
                </w:rPr>
                <w:t>38</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15">
              <w:r>
                <w:rPr>
                  <w:rStyle w:val="InternetLink"/>
                  <w:rFonts w:ascii="Times New Roman;serif" w:hAnsi="Times New Roman;serif"/>
                  <w:b w:val="false"/>
                  <w:color w:val="0000FF"/>
                  <w:sz w:val="20"/>
                  <w:u w:val="single"/>
                </w:rPr>
                <w:t>ITEM 3. Quantitative and Qualitative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15">
              <w:r>
                <w:rPr>
                  <w:rStyle w:val="InternetLink"/>
                  <w:rFonts w:ascii="Times New Roman;serif" w:hAnsi="Times New Roman;serif"/>
                  <w:b w:val="false"/>
                  <w:color w:val="0000FF"/>
                  <w:sz w:val="20"/>
                  <w:u w:val="single"/>
                </w:rPr>
                <w:t>41</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18">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18">
              <w:r>
                <w:rPr>
                  <w:rStyle w:val="InternetLink"/>
                  <w:rFonts w:ascii="Times New Roman;serif" w:hAnsi="Times New Roman;serif"/>
                  <w:b w:val="false"/>
                  <w:color w:val="0000FF"/>
                  <w:sz w:val="20"/>
                  <w:u w:val="single"/>
                </w:rPr>
                <w:t>42</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e7e7ea09ff34f69bc634eb1d2db48d9_121">
              <w:r>
                <w:rPr>
                  <w:rStyle w:val="InternetLink"/>
                  <w:rFonts w:ascii="Times New Roman;serif" w:hAnsi="Times New Roman;serif"/>
                  <w:b w:val="false"/>
                  <w:color w:val="0000FF"/>
                  <w:sz w:val="20"/>
                  <w:u w:val="single"/>
                </w:rPr>
                <w:t>PART II. OTHER INFORMATION</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24">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24">
              <w:r>
                <w:rPr>
                  <w:rStyle w:val="InternetLink"/>
                  <w:rFonts w:ascii="Times New Roman;serif" w:hAnsi="Times New Roman;serif"/>
                  <w:b w:val="false"/>
                  <w:color w:val="0000FF"/>
                  <w:sz w:val="20"/>
                  <w:u w:val="single"/>
                </w:rPr>
                <w:t>43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27">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27">
              <w:r>
                <w:rPr>
                  <w:rStyle w:val="InternetLink"/>
                  <w:rFonts w:ascii="Times New Roman;serif" w:hAnsi="Times New Roman;serif"/>
                  <w:b w:val="false"/>
                  <w:color w:val="0000FF"/>
                  <w:sz w:val="20"/>
                  <w:u w:val="single"/>
                </w:rPr>
                <w:t>43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30">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30">
              <w:r>
                <w:rPr>
                  <w:rStyle w:val="InternetLink"/>
                  <w:rFonts w:ascii="Times New Roman;serif" w:hAnsi="Times New Roman;serif"/>
                  <w:b w:val="false"/>
                  <w:color w:val="0000FF"/>
                  <w:sz w:val="20"/>
                  <w:u w:val="single"/>
                </w:rPr>
                <w:t>43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33">
              <w:r>
                <w:rPr>
                  <w:rStyle w:val="InternetLink"/>
                  <w:rFonts w:ascii="Times New Roman;serif" w:hAnsi="Times New Roman;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33">
              <w:r>
                <w:rPr>
                  <w:rStyle w:val="InternetLink"/>
                  <w:rFonts w:ascii="Times New Roman;serif" w:hAnsi="Times New Roman;serif"/>
                  <w:b w:val="false"/>
                  <w:color w:val="0000FF"/>
                  <w:sz w:val="20"/>
                  <w:u w:val="single"/>
                </w:rPr>
                <w:t>43</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36">
              <w:r>
                <w:rPr>
                  <w:rStyle w:val="InternetLink"/>
                  <w:rFonts w:ascii="Times New Roman;serif" w:hAnsi="Times New Roman;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36">
              <w:r>
                <w:rPr>
                  <w:rStyle w:val="InternetLink"/>
                  <w:rFonts w:ascii="Times New Roman;serif" w:hAnsi="Times New Roman;serif"/>
                  <w:b w:val="false"/>
                  <w:color w:val="0000FF"/>
                  <w:sz w:val="20"/>
                  <w:u w:val="single"/>
                </w:rPr>
                <w:t>44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39">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39">
              <w:r>
                <w:rPr>
                  <w:rStyle w:val="InternetLink"/>
                  <w:rFonts w:ascii="Times New Roman;serif" w:hAnsi="Times New Roman;serif"/>
                  <w:b w:val="false"/>
                  <w:color w:val="0000FF"/>
                  <w:sz w:val="20"/>
                  <w:u w:val="single"/>
                </w:rPr>
                <w:t>44</w:t>
              </w:r>
            </w:hyperlink>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45">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45">
              <w:r>
                <w:rPr>
                  <w:rStyle w:val="InternetLink"/>
                  <w:rFonts w:ascii="Times New Roman;serif" w:hAnsi="Times New Roman;serif"/>
                  <w:b w:val="false"/>
                  <w:color w:val="0000FF"/>
                  <w:sz w:val="20"/>
                  <w:u w:val="single"/>
                </w:rPr>
                <w:t>45</w:t>
              </w:r>
            </w:hyperlink>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7e7ea09ff34f69bc634eb1d2db48d9_148">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7e7ea09ff34f69bc634eb1d2db48d9_148">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strategies and financial trends and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Quarterly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before="0" w:after="0"/>
        <w:ind w:left="0" w:right="0" w:firstLine="540"/>
        <w:jc w:val="both"/>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set forth in Part 1, Item 1A, of our Annual Report on Form 10-K for the fiscal year ended December 31, 2025, which we encourage you to carefully read, and include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adverse economic conditions, including new and continued macroeconomic challenges resulting from the impact of global tariff increases and potential future increases and announcements regarding same, as well as the impact of current and potential global conflicts, continued inflation, uncertainty regarding consumer spending, high interest rates, fluctuations in currency rates, and other factors, may continue to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are unable to attract new customers or sell additional services and functionality to our existing customers, our revenue and revenue growth will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our existing customers terminate their subscriptions or reduce their subscriptions and telecom, or fail to grow subscriptions at the rate they have in the past or that we might expect, our revenues and gross margins will be harmed, and we will be required to spend more money to grow our customer base;</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because a significant percentage of our revenue is derived from existing customers, downturns or upturns in new sales will not be immediately reflected in our operating results and may be difficult to discern;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if we fail to manage our technical operations infrastructure, our existing customers may experience service outages, our new customers may experience delays in the deployment of our solution and we could be subject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if we are unable to attract and retain highly skilled leaders and other employees, our business and results of operations may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further development of our AI solutions may not be successful, may not achieve market acceptance or compete effectively against our competitors, and may result in reputational harm and our future operating results could be materially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have established, and are continuing to increase, our network of technology solution distributors and resellers to sell our solution; our failure to effectively develop, grow, manage, and maintain this network could materially harm our revenues;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both"/>
        <w:rPr/>
      </w:pPr>
      <w:r>
        <w:rPr>
          <w:color w:val="000000"/>
        </w:rPr>
        <w:t>•</w:t>
      </w:r>
      <w:r>
        <w:rPr>
          <w:rFonts w:ascii="Times New Roman;serif" w:hAnsi="Times New Roman;serif"/>
          <w:b w:val="false"/>
          <w:color w:val="000000"/>
          <w:sz w:val="20"/>
        </w:rPr>
        <w:t xml:space="preserve">our historical growth may not be indicative of our future growth, and even if we grow rapidly, we may fail to manage our growth effectively;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failure to adequately retain and expand our sales force will impede our growth;</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use of AI by our workforce may present risks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continue to expand our international operations, which exposes us to significant macroeconomic and other risks;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security breaches, cybersecurity incidents, and improper access to, use of, or disclosure of our data or our customers’ data, or other cyber-attacks on our systems, could result in litigation and regulatory risk, harm our reputation, our business or financial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prior to 2025, we had a history of losses and we may be unable to sustain profitability;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we may not achieve the anticipated benefits of share repurchase activity;</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 xml:space="preserve">we may not have sufficient cash to service our convertible senior notes and repay such notes, if required.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20"/>
        </w:rPr>
        <w:t>(In thousands, except per share data)</w:t>
      </w:r>
      <w:r>
        <w:rPr>
          <w:color w:val="000000"/>
        </w:rPr>
        <w:t xml:space="preserve"> </w:t>
      </w:r>
    </w:p>
    <w:tbl>
      <w:tblPr>
        <w:tblW w:w="7988"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215"/>
        <w:gridCol w:w="956"/>
        <w:gridCol w:w="119"/>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959,724 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1,865,310 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1,790,070 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1,004,253 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1,188,499 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785,817 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1,865,310 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1,790,070 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7150" w:type="dxa"/>
        <w:jc w:val="center"/>
        <w:tblInd w:w="0" w:type="dxa"/>
        <w:tblLayout w:type="fixed"/>
        <w:tblCellMar>
          <w:top w:w="28" w:type="dxa"/>
          <w:left w:w="28" w:type="dxa"/>
          <w:bottom w:w="28" w:type="dxa"/>
          <w:right w:w="28" w:type="dxa"/>
        </w:tblCellMar>
      </w:tblPr>
      <w:tblGrid>
        <w:gridCol w:w="1264"/>
        <w:gridCol w:w="1111"/>
        <w:gridCol w:w="1120"/>
        <w:gridCol w:w="109"/>
        <w:gridCol w:w="109"/>
        <w:gridCol w:w="109"/>
        <w:gridCol w:w="237"/>
        <w:gridCol w:w="891"/>
        <w:gridCol w:w="132"/>
        <w:gridCol w:w="109"/>
        <w:gridCol w:w="109"/>
        <w:gridCol w:w="109"/>
        <w:gridCol w:w="237"/>
        <w:gridCol w:w="891"/>
        <w:gridCol w:w="132"/>
        <w:gridCol w:w="109"/>
        <w:gridCol w:w="109"/>
        <w:gridCol w:w="109"/>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159,160 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86,298 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89,275 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1854"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871"/>
        <w:gridCol w:w="109"/>
        <w:gridCol w:w="190"/>
        <w:gridCol w:w="190"/>
        <w:gridCol w:w="191"/>
        <w:gridCol w:w="1021"/>
        <w:gridCol w:w="109"/>
        <w:gridCol w:w="871"/>
        <w:gridCol w:w="109"/>
        <w:gridCol w:w="251"/>
        <w:gridCol w:w="539"/>
        <w:gridCol w:w="141"/>
        <w:gridCol w:w="109"/>
        <w:gridCol w:w="109"/>
        <w:gridCol w:w="109"/>
        <w:gridCol w:w="196"/>
        <w:gridCol w:w="751"/>
        <w:gridCol w:w="109"/>
        <w:gridCol w:w="109"/>
        <w:gridCol w:w="109"/>
        <w:gridCol w:w="109"/>
        <w:gridCol w:w="196"/>
        <w:gridCol w:w="736"/>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38"/>
        <w:gridCol w:w="2235"/>
        <w:gridCol w:w="2241"/>
        <w:gridCol w:w="109"/>
        <w:gridCol w:w="109"/>
        <w:gridCol w:w="109"/>
        <w:gridCol w:w="224"/>
        <w:gridCol w:w="845"/>
        <w:gridCol w:w="125"/>
        <w:gridCol w:w="109"/>
        <w:gridCol w:w="109"/>
        <w:gridCol w:w="109"/>
        <w:gridCol w:w="223"/>
        <w:gridCol w:w="840"/>
        <w:gridCol w:w="180"/>
      </w:tblGrid>
      <w:tr>
        <w:trPr/>
        <w:tc>
          <w:tcPr>
            <w:tcW w:w="2638"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taxes - excluding tax benefit from acquisition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non-current portions of operating and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(275,939)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(38,103)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 of the Company's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 on financing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Maintenance services purchased through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purchased and unpaid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1,639 </w:t>
            </w:r>
          </w:p>
        </w:tc>
        <w:tc>
          <w:tcPr>
            <w:tcW w:w="1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Condensed Consolidated Balance Sheets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370,344 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1. Description of Business and Summary of Significant Accounting Policies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Five9, Inc. and its wholly-owned subsidiaries (the “Company”) is a provider of cloud software for contact centers. The Company was incorporated in Delaware in 2001 and is headquartered in San Ramon, California. In addition to the United States, the Company has offices in Europe, Asia and Australia, which primarily provide research, development, sales, marketing, and customer support services.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2025.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including accompanying notes,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the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significant accounting policies previously disclosed in Part II, Item 8, of the Company's Annual Report on Form 10-K for the fiscal year ended December 31, 2025 as filed with the SEC on February 20,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The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This guidance is effective for reporting periods beginning after December 15, 2025, with early adoption permitted. The Company's adoption of ASU 2025-05 electing the practical expedient method did not have a material impact on its financial position and results of operations.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with Conversion and Other Options (Subtopic 470-20)</w:t>
      </w:r>
      <w:r>
        <w:rPr>
          <w:rFonts w:ascii="Times New Roman;serif" w:hAnsi="Times New Roman;serif"/>
          <w:b w:val="false"/>
          <w:color w:val="000000"/>
          <w:sz w:val="20"/>
        </w:rPr>
        <w:t xml:space="preserve">,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 ASU 2020-06, with the option to apply the guidance prospectively or retrospectively. The Company's adoption of ASU 2024-04 on a prospective basis did not have an impact on its financial position and results of operations. </w:t>
      </w:r>
    </w:p>
    <w:p>
      <w:pPr>
        <w:pStyle w:val="TextBody"/>
        <w:bidi w:val="0"/>
        <w:spacing w:lineRule="auto" w:line="288" w:before="180" w:after="283"/>
        <w:jc w:val="left"/>
        <w:rPr/>
      </w:pPr>
      <w:r>
        <w:rPr>
          <w:rFonts w:ascii="Times New Roman;serif" w:hAnsi="Times New Roman;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and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xml:space="preserve">, which clarified the effective date of ASU 2024-03. This ASU is intended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the 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In September 2025, the FASB issued ASU 2025-06</w:t>
      </w:r>
      <w:r>
        <w:rPr>
          <w:rFonts w:ascii="Times New Roman;serif" w:hAnsi="Times New Roman;serif"/>
          <w:b w:val="false"/>
          <w:i/>
          <w:color w:val="000000"/>
          <w:sz w:val="20"/>
        </w:rPr>
        <w:t>, Intangibles - 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The amendments are intended to modernize the recognition and capitalization framework to reflect current software development practices, including iterative and agile methodologies, by removing references to development project stages. It requires that an entity capitalize software costs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reporting periods beginning after December 15, 2027, and interim reporting periods within those annual reporting periods. Early adoption is permitted as of the beginning of an annual reporting period. The Company is currently assessing the impact of this ASU on its consolidated financial statements and related disclosures.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 Scope Improvements</w:t>
      </w:r>
      <w:r>
        <w:rPr>
          <w:rFonts w:ascii="Times New Roman;serif" w:hAnsi="Times New Roman;serif"/>
          <w:b w:val="false"/>
          <w:color w:val="000000"/>
          <w:sz w:val="20"/>
        </w:rPr>
        <w:t>, which is intended to clarify the guidance in ASC 270.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The Company is currently assessing the impact of this ASU on its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net, deferred contract acquisition costs, net, contract assets and contract liabilities from contracts with customers (in thousands):</w:t>
      </w:r>
    </w:p>
    <w:tbl>
      <w:tblPr>
        <w:tblW w:w="9774"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37"/>
        <w:gridCol w:w="891"/>
        <w:gridCol w:w="132"/>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(74,959)</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three months ended March 31, 2026, the Company recognized revenue of $45.5 million related to its contract liabilities at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31, 2026, the aggregate amount of the total transaction price allocated in contracts with original duration of greater than one year to the remaining performance obligations was $1,198 million. The Company expects to recognize revenue on approximately four-fifths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3. Investments and Fair Value Measurements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Marketable Investments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March 31, 2026. The Company’s marketable investments as of March 31, 2026 and December 31, 2025 were as follows (in thousands):</w:t>
      </w:r>
    </w:p>
    <w:tbl>
      <w:tblPr>
        <w:tblW w:w="10205" w:type="dxa"/>
        <w:jc w:val="left"/>
        <w:tblInd w:w="0" w:type="dxa"/>
        <w:tblLayout w:type="fixed"/>
        <w:tblCellMar>
          <w:top w:w="28" w:type="dxa"/>
          <w:left w:w="28" w:type="dxa"/>
          <w:bottom w:w="28" w:type="dxa"/>
          <w:right w:w="28" w:type="dxa"/>
        </w:tblCellMar>
      </w:tblPr>
      <w:tblGrid>
        <w:gridCol w:w="1270"/>
        <w:gridCol w:w="1116"/>
        <w:gridCol w:w="1092"/>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7"/>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4" w:type="dxa"/>
            <w:gridSpan w:val="18"/>
            <w:tcBorders/>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54" w:type="dxa"/>
            <w:gridSpan w:val="18"/>
            <w:tcBorders/>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70"/>
        <w:gridCol w:w="1116"/>
        <w:gridCol w:w="1092"/>
        <w:gridCol w:w="109"/>
        <w:gridCol w:w="109"/>
        <w:gridCol w:w="109"/>
        <w:gridCol w:w="211"/>
        <w:gridCol w:w="826"/>
        <w:gridCol w:w="109"/>
        <w:gridCol w:w="109"/>
        <w:gridCol w:w="109"/>
        <w:gridCol w:w="109"/>
        <w:gridCol w:w="409"/>
        <w:gridCol w:w="907"/>
        <w:gridCol w:w="214"/>
        <w:gridCol w:w="109"/>
        <w:gridCol w:w="109"/>
        <w:gridCol w:w="109"/>
        <w:gridCol w:w="449"/>
        <w:gridCol w:w="866"/>
        <w:gridCol w:w="234"/>
        <w:gridCol w:w="109"/>
        <w:gridCol w:w="109"/>
        <w:gridCol w:w="109"/>
        <w:gridCol w:w="211"/>
        <w:gridCol w:w="826"/>
        <w:gridCol w:w="157"/>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unrealized losses and the fair value for those marketable investments that were in an unrealized loss position for less than 12 months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1276"/>
        <w:gridCol w:w="1118"/>
        <w:gridCol w:w="1127"/>
        <w:gridCol w:w="109"/>
        <w:gridCol w:w="109"/>
        <w:gridCol w:w="109"/>
        <w:gridCol w:w="409"/>
        <w:gridCol w:w="948"/>
        <w:gridCol w:w="212"/>
        <w:gridCol w:w="109"/>
        <w:gridCol w:w="109"/>
        <w:gridCol w:w="109"/>
        <w:gridCol w:w="211"/>
        <w:gridCol w:w="826"/>
        <w:gridCol w:w="109"/>
        <w:gridCol w:w="109"/>
        <w:gridCol w:w="109"/>
        <w:gridCol w:w="109"/>
        <w:gridCol w:w="455"/>
        <w:gridCol w:w="878"/>
        <w:gridCol w:w="237"/>
        <w:gridCol w:w="109"/>
        <w:gridCol w:w="109"/>
        <w:gridCol w:w="109"/>
        <w:gridCol w:w="211"/>
        <w:gridCol w:w="721"/>
        <w:gridCol w:w="159"/>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315" w:type="dxa"/>
            <w:gridSpan w:val="12"/>
            <w:tcBorders/>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Although the Company had certain available-for-sale debt securities in an unrealized loss position as of March 31, 2026,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the Company’s marketable investments by contractual maturity as of March 31, 2026 were as follows (in thousands):</w:t>
      </w:r>
    </w:p>
    <w:tbl>
      <w:tblPr>
        <w:tblW w:w="6081" w:type="dxa"/>
        <w:jc w:val="left"/>
        <w:tblInd w:w="0" w:type="dxa"/>
        <w:tblLayout w:type="fixed"/>
        <w:tblCellMar>
          <w:top w:w="28" w:type="dxa"/>
          <w:left w:w="28" w:type="dxa"/>
          <w:bottom w:w="28" w:type="dxa"/>
          <w:right w:w="28" w:type="dxa"/>
        </w:tblCellMar>
      </w:tblPr>
      <w:tblGrid>
        <w:gridCol w:w="1120"/>
        <w:gridCol w:w="981"/>
        <w:gridCol w:w="989"/>
        <w:gridCol w:w="109"/>
        <w:gridCol w:w="109"/>
        <w:gridCol w:w="10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Company’s assets measured at fair value by level within the fair value hierarchy (in thousands): </w:t>
      </w:r>
    </w:p>
    <w:tbl>
      <w:tblPr>
        <w:tblW w:w="9641" w:type="dxa"/>
        <w:jc w:val="left"/>
        <w:tblInd w:w="0" w:type="dxa"/>
        <w:tblLayout w:type="fixed"/>
        <w:tblCellMar>
          <w:top w:w="28" w:type="dxa"/>
          <w:left w:w="28" w:type="dxa"/>
          <w:bottom w:w="28" w:type="dxa"/>
          <w:right w:w="28" w:type="dxa"/>
        </w:tblCellMar>
      </w:tblPr>
      <w:tblGrid>
        <w:gridCol w:w="1490"/>
        <w:gridCol w:w="1311"/>
        <w:gridCol w:w="1323"/>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 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657" w:type="dxa"/>
        <w:jc w:val="center"/>
        <w:tblInd w:w="0" w:type="dxa"/>
        <w:tblLayout w:type="fixed"/>
        <w:tblCellMar>
          <w:top w:w="28" w:type="dxa"/>
          <w:left w:w="28" w:type="dxa"/>
          <w:bottom w:w="28" w:type="dxa"/>
          <w:right w:w="28" w:type="dxa"/>
        </w:tblCellMar>
      </w:tblPr>
      <w:tblGrid>
        <w:gridCol w:w="1496"/>
        <w:gridCol w:w="1316"/>
        <w:gridCol w:w="1328"/>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The 2025 convertible senior notes matured on June 1, 2025, and the Company settled its obligations with respect to the 2025 convertible senior notes in cash in connection therewith. As of March 31, 2026 and December 31, 2025, the estimated fair value of the outstanding 2029 convertible senior notes was $650.3 million and $674.1 million, respectively.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March 31, 2026. </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for the equity investment described above, there were no assets or liabilities measured at fair value on a non-recurring basis as of March 31, 2026 and December 31, 2025.</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4. Financial Statement Components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consisted of the following (in thousands): </w:t>
      </w:r>
    </w:p>
    <w:tbl>
      <w:tblPr>
        <w:tblW w:w="6156" w:type="dxa"/>
        <w:jc w:val="left"/>
        <w:tblInd w:w="0" w:type="dxa"/>
        <w:tblLayout w:type="fixed"/>
        <w:tblCellMar>
          <w:top w:w="28" w:type="dxa"/>
          <w:left w:w="28" w:type="dxa"/>
          <w:bottom w:w="28" w:type="dxa"/>
          <w:right w:w="28" w:type="dxa"/>
        </w:tblCellMar>
      </w:tblPr>
      <w:tblGrid>
        <w:gridCol w:w="975"/>
        <w:gridCol w:w="856"/>
        <w:gridCol w:w="868"/>
        <w:gridCol w:w="109"/>
        <w:gridCol w:w="109"/>
        <w:gridCol w:w="109"/>
        <w:gridCol w:w="232"/>
        <w:gridCol w:w="908"/>
        <w:gridCol w:w="119"/>
        <w:gridCol w:w="109"/>
        <w:gridCol w:w="109"/>
        <w:gridCol w:w="109"/>
        <w:gridCol w:w="273"/>
        <w:gridCol w:w="1072"/>
        <w:gridCol w:w="199"/>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Accounts receivable, net consisted of the following (in thousands):</w:t>
      </w:r>
      <w:r>
        <w:rPr>
          <w:color w:val="000000"/>
        </w:rPr>
        <w:t xml:space="preserve"> </w:t>
      </w:r>
    </w:p>
    <w:tbl>
      <w:tblPr>
        <w:tblW w:w="9171" w:type="dxa"/>
        <w:jc w:val="left"/>
        <w:tblInd w:w="0" w:type="dxa"/>
        <w:tblLayout w:type="fixed"/>
        <w:tblCellMar>
          <w:top w:w="28" w:type="dxa"/>
          <w:left w:w="28" w:type="dxa"/>
          <w:bottom w:w="28" w:type="dxa"/>
          <w:right w:w="28" w:type="dxa"/>
        </w:tblCellMar>
      </w:tblPr>
      <w:tblGrid>
        <w:gridCol w:w="2069"/>
        <w:gridCol w:w="1819"/>
        <w:gridCol w:w="1826"/>
        <w:gridCol w:w="109"/>
        <w:gridCol w:w="109"/>
        <w:gridCol w:w="109"/>
        <w:gridCol w:w="232"/>
        <w:gridCol w:w="908"/>
        <w:gridCol w:w="119"/>
        <w:gridCol w:w="109"/>
        <w:gridCol w:w="109"/>
        <w:gridCol w:w="109"/>
        <w:gridCol w:w="273"/>
        <w:gridCol w:w="1072"/>
        <w:gridCol w:w="199"/>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trade accounts receivable, net of advance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was one customer that represented 18% of accounts receivable and no single customer accounted for more than 10% of the Company's total revenue as of March 31,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consisted of the following (in thousands): </w:t>
      </w:r>
    </w:p>
    <w:tbl>
      <w:tblPr>
        <w:tblW w:w="6909"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255"/>
        <w:gridCol w:w="873"/>
        <w:gridCol w:w="132"/>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7146"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32"/>
        <w:gridCol w:w="908"/>
        <w:gridCol w:w="119"/>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351,892 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associated with property and equipment was $14.4 million and $10.4 million for the three months ended March 31, 2026 and 2025, respectively. During the three months ended March 31, 2026 and 2025, the Company recorded impairment charges of property and equipment in the amount of $0.1 million and $0.3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(in thousands): </w:t>
      </w:r>
    </w:p>
    <w:tbl>
      <w:tblPr>
        <w:tblW w:w="7419"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255"/>
        <w:gridCol w:w="873"/>
        <w:gridCol w:w="132"/>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Accrued and other current liabilities consisted of the following (in thousands): </w:t>
      </w:r>
    </w:p>
    <w:tbl>
      <w:tblPr>
        <w:tblW w:w="6503"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255"/>
        <w:gridCol w:w="873"/>
        <w:gridCol w:w="132"/>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federal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rate. The current and long-term portions of this obligation were $10.8 million and $26.9 million, respectively, as of March 31, 2026.</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consisted of the following (in thousands): </w:t>
      </w:r>
    </w:p>
    <w:tbl>
      <w:tblPr>
        <w:tblW w:w="5714" w:type="dxa"/>
        <w:jc w:val="left"/>
        <w:tblInd w:w="0" w:type="dxa"/>
        <w:tblLayout w:type="fixed"/>
        <w:tblCellMar>
          <w:top w:w="28" w:type="dxa"/>
          <w:left w:w="28" w:type="dxa"/>
          <w:bottom w:w="28" w:type="dxa"/>
          <w:right w:w="28" w:type="dxa"/>
        </w:tblCellMar>
      </w:tblPr>
      <w:tblGrid>
        <w:gridCol w:w="898"/>
        <w:gridCol w:w="786"/>
        <w:gridCol w:w="790"/>
        <w:gridCol w:w="255"/>
        <w:gridCol w:w="873"/>
        <w:gridCol w:w="132"/>
        <w:gridCol w:w="109"/>
        <w:gridCol w:w="109"/>
        <w:gridCol w:w="109"/>
        <w:gridCol w:w="338"/>
        <w:gridCol w:w="987"/>
        <w:gridCol w:w="174"/>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liability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5. Goodwill and Intangible Assets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in the Company's goodwill and intangible asset balances during the three months ended March 31, 2026 (in thousands): </w:t>
      </w:r>
    </w:p>
    <w:tbl>
      <w:tblPr>
        <w:tblW w:w="7117" w:type="dxa"/>
        <w:jc w:val="left"/>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267"/>
        <w:gridCol w:w="914"/>
        <w:gridCol w:w="138"/>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intangible assets were as follows (in thousands): </w:t>
      </w:r>
    </w:p>
    <w:tbl>
      <w:tblPr>
        <w:tblW w:w="1196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(72,578)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(69,168)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was $3.4 million and $4.1 million for the three months ended March 31, 2026 and 2025, respectively.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Future Amortization Expense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47,756 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68" w:before="120" w:after="283"/>
        <w:jc w:val="both"/>
        <w:rPr/>
      </w:pPr>
      <w:r>
        <w:rPr>
          <w:rFonts w:ascii="Times New Roman;serif" w:hAnsi="Times New Roman;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Each $1,000 principal amount of the 2029 convertible senior notes is initially convertible into 12.5918 shares of the Company’s common stock (the “2029 Conversion Option”), which is equivalent to an initial conversion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pPr>
      <w:r>
        <w:rPr>
          <w:rFonts w:ascii="Times New Roman;serif" w:hAnsi="Times New Roman;serif"/>
          <w:b w:val="false"/>
          <w:color w:val="000000"/>
          <w:sz w:val="20"/>
        </w:rPr>
        <w:t>of approximately $79.42 per share of common stock, subject to adjustment upon the occurrence of specified events.</w:t>
      </w:r>
      <w:r>
        <w:rPr>
          <w:color w:val="000000"/>
        </w:rPr>
        <w:t xml:space="preserve"> </w:t>
      </w:r>
      <w:r>
        <w:rPr>
          <w:rFonts w:ascii="Times New Roman;serif" w:hAnsi="Times New Roman;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market price of the Company's common stock of $15.17 per share on March 31, 2026, the last trading day during the three months ended March 31, 2026,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March 31, 2026, was not greater than or equal to 130% of the initial conversion price. As such, during the three months ended March 31, 2026, the conditions allowing holders of the 2029 convertible senior notes to convert were not met. The 2029 convertible senior notes are therefore not convertible during the three months ending June 30, 2026.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2029 convertible senior notes as of March 31, 2026 and December 31, 2025 was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tbl>
      <w:tblPr>
        <w:tblW w:w="5812"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32"/>
        <w:gridCol w:w="908"/>
        <w:gridCol w:w="119"/>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2029 convertible senior notes was as follows (in thousands):</w:t>
      </w:r>
    </w:p>
    <w:tbl>
      <w:tblPr>
        <w:tblW w:w="5813"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84"/>
        <w:gridCol w:w="829"/>
        <w:gridCol w:w="146"/>
        <w:gridCol w:w="109"/>
        <w:gridCol w:w="109"/>
        <w:gridCol w:w="109"/>
        <w:gridCol w:w="280"/>
        <w:gridCol w:w="820"/>
        <w:gridCol w:w="20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2025 Convertible Senior Notes and Related Capped Call Transactions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used part of the net proceeds from the issuance of the 2029 convertible senior notes to repurchase $313.1 million aggregate principal amount of the 2025 convertible senior notes in privately-negotiated transactions. </w:t>
      </w:r>
    </w:p>
    <w:p>
      <w:pPr>
        <w:pStyle w:val="TextBody"/>
        <w:bidi w:val="0"/>
        <w:spacing w:before="120" w:after="283"/>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2025 convertible senior notes matured on June 1, 2025, and the Company settled its obligations with respect to the 2025 convertible senior notes in cash in connection therewith. Prior to maturity, the 2025 convertible senior notes bore interest at a fixed rate of 0.500% per annum, payable semiannually in arrears on June 1 and December 1 of each year. </w:t>
      </w:r>
    </w:p>
    <w:p>
      <w:pPr>
        <w:pStyle w:val="TextBody"/>
        <w:bidi w:val="0"/>
        <w:spacing w:lineRule="auto" w:line="276"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2025 convertible senior notes was as follows (in thousands):</w:t>
      </w:r>
    </w:p>
    <w:tbl>
      <w:tblPr>
        <w:tblW w:w="6467"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366"/>
        <w:gridCol w:w="705"/>
        <w:gridCol w:w="189"/>
        <w:gridCol w:w="109"/>
        <w:gridCol w:w="109"/>
        <w:gridCol w:w="109"/>
        <w:gridCol w:w="284"/>
        <w:gridCol w:w="829"/>
        <w:gridCol w:w="146"/>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540"/>
        <w:jc w:val="both"/>
        <w:rPr/>
      </w:pPr>
      <w:r>
        <w:rPr>
          <w:rFonts w:ascii="Times New Roman;serif" w:hAnsi="Times New Roman;serif"/>
          <w:b w:val="false"/>
          <w:color w:val="000000"/>
          <w:sz w:val="20"/>
        </w:rPr>
        <w:t>In connection with the issuance of the 2025 convertible senior notes, the Company entered into privately negotiated capped call transactions (each a “2025 Capped Call,” and collectively the "2025 Capped Calls") with certain financial institutions. The 2025 Capped Calls each had an initial strike price of approximately $134.34, which corresponded to the initial conversion price of the 2025 convertible senior notes. In connection with the Repurchase Transaction, the Company unwound a portion of the 2025 Capped Calls. Refer to the Repurchase Transaction section above for further information. The remaining 2025 Capped Calls covered, subject to anti-dilution adjustments, approximately 3.2 million shares of the Company’s common stock. For accounting purposes, each 2025 Capped Call was a separate transaction from, and not part of the terms of the 2025 convertible senior notes. As these transactions met certain accounting criteria, the 2025 Capped Calls were recorded in stockholders' equity and were not accounted for as derivatives. Upon maturity, the outstanding 2025 Capped Calls associated with the 2025 convertible senior notes were settled with no consideration received since their strike prices were in excess of the Company's stock price at that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450,000,000 shares of common stock with a par value of $0.001 per share. As of March 31, 2026 and December 31, 2025, the Company had 76,563,988 and 77,194,499 shares of common stock issued and outstanding,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March 31, 2026 and December 31, 2025, there were no shares of preferred stock issued and outstanding.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2025 Repurchase Program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October 2025, the Company’s Board of Directors approved the 2025 Repurchase Program, which authorized</w:t>
      </w:r>
      <w:r>
        <w:rPr>
          <w:color w:val="000000"/>
        </w:rPr>
        <w:t xml:space="preserve"> </w:t>
      </w:r>
      <w:r>
        <w:rPr>
          <w:rFonts w:ascii="Times New Roman;serif" w:hAnsi="Times New Roman;serif"/>
          <w:b w:val="false"/>
          <w:color w:val="000000"/>
          <w:sz w:val="20"/>
        </w:rPr>
        <w:t>the repurchase of up to $150.0 million of the Company’s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r>
        <w:rPr>
          <w:color w:val="000000"/>
        </w:rPr>
        <w:t xml:space="preserve">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2025 Repurchase Program, on November 11, 2025, the Company entered into the ASR program with JPMorgan Chase Bank, National Association ("JPM"). Under the terms of the ASR program, on November 12, 2025, the Company made an aggregate payment of $50 million and received an initial delivery of 1,926,782 shares of the Company’s common stock at an initial price of $20.76 per share, representing approximately 80% of the total number of shares of the Company’s common stock expected to be purchased under the ASR program. The shares received were immediately retired and recorded as a reduction to additional paid-in-capital within stockholders’ equity. Given the Company’s ability to settle in shares, as described below, the remaining prepaid forward contract amount was classified as a reduction to additional-paid-in-capital upon issuance and as of December 31, 2025.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ASR program, upon settlement, the Company was permitted to either receive additional shares of common stock from JPM or was required to deliver additional shares of common stock or cash to JPM, at the Company’s election. The final number of shares the Company repurchased was based on the average of the daily volume-weighted average prices of the Company’s common stock during the term of the ASR program, less a discount and subject to adjustments pursuant to the terms and conditions of the ASR program. Cash settlement was not mandatory pursuant to the terms of the ASR program. The ASR program was completed on February 2, 2026, which resulted in delivery of 701,517 additional shares to the Company. The final share settlement was based on the average daily volume-weighted average price of the Company's shares, netted against the initial delivery.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repurchased 578,742 shares under the 2025 Repurchase Program at an average share price of $17.28 for an aggregate payment of $10.0 million.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approximately $90.0 million remained available under the 2025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Shares of common stock reserved for future issuance related to outstanding equity awards and employee equity incentive plans as of March 31, 2026 were as follows (in thousands): </w:t>
      </w:r>
    </w:p>
    <w:tbl>
      <w:tblPr>
        <w:tblW w:w="5711"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380"/>
        <w:gridCol w:w="380"/>
        <w:gridCol w:w="54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during the three months ended March 31, 2026 is as follows (in thousands, except years and per share data): </w:t>
      </w:r>
    </w:p>
    <w:tbl>
      <w:tblPr>
        <w:tblW w:w="9284" w:type="dxa"/>
        <w:jc w:val="left"/>
        <w:tblInd w:w="0" w:type="dxa"/>
        <w:tblLayout w:type="fixed"/>
        <w:tblCellMar>
          <w:top w:w="28" w:type="dxa"/>
          <w:left w:w="28" w:type="dxa"/>
          <w:bottom w:w="28" w:type="dxa"/>
          <w:right w:w="28" w:type="dxa"/>
        </w:tblCellMar>
      </w:tblPr>
      <w:tblGrid>
        <w:gridCol w:w="1500"/>
        <w:gridCol w:w="1318"/>
        <w:gridCol w:w="1321"/>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11"/>
        <w:gridCol w:w="616"/>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amounts are computed based on the difference between the exercise price of the stock options and the fair market value of the Company’s common stock of $15.17 per share as of March 31, 2026 for all in-the-money stock options outstanding.</w:t>
      </w:r>
    </w:p>
    <w:p>
      <w:pPr>
        <w:pStyle w:val="TextBody"/>
        <w:bidi w:val="0"/>
        <w:spacing w:lineRule="auto" w:line="288" w:before="240" w:after="283"/>
        <w:ind w:left="0" w:right="0" w:hanging="450"/>
        <w:jc w:val="left"/>
        <w:rPr>
          <w:rFonts w:ascii="Times New Roman;serif" w:hAnsi="Times New Roman;serif"/>
          <w:b/>
          <w:i/>
          <w:color w:val="000000"/>
          <w:sz w:val="20"/>
        </w:rPr>
      </w:pPr>
      <w:r>
        <w:rPr>
          <w:rFonts w:ascii="Times New Roman;serif" w:hAnsi="Times New Roman;serif"/>
          <w:b/>
          <w:i/>
          <w:color w:val="000000"/>
          <w:sz w:val="20"/>
        </w:rPr>
        <w:t>Restricted Stock Units (including PRSUs)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("RSU") activity, including PRSUs, during the three months ended March 31, 2026 is as follows (in thousands, except per share data):     </w:t>
      </w:r>
    </w:p>
    <w:tbl>
      <w:tblPr>
        <w:tblW w:w="9203"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855"/>
        <w:gridCol w:w="2496"/>
        <w:gridCol w:w="62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 granted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1,100,055 PRSUs granted during the three months ended March 31, 2026.      </w:t>
      </w:r>
    </w:p>
    <w:p>
      <w:pPr>
        <w:pStyle w:val="TextBody"/>
        <w:bidi w:val="0"/>
        <w:spacing w:lineRule="auto" w:line="268" w:before="120" w:after="283"/>
        <w:ind w:left="0" w:right="0" w:firstLine="450"/>
        <w:jc w:val="both"/>
        <w:rPr/>
      </w:pPr>
      <w:r>
        <w:rPr>
          <w:rFonts w:ascii="Times New Roman;serif" w:hAnsi="Times New Roman;serif"/>
          <w:b w:val="false"/>
          <w:i/>
          <w:color w:val="000000"/>
          <w:sz w:val="20"/>
          <w:u w:val="single"/>
        </w:rPr>
        <w:t>PRSUs.</w:t>
      </w:r>
      <w:r>
        <w:rPr>
          <w:color w:val="000000"/>
        </w:rPr>
        <w:t xml:space="preserve"> </w:t>
      </w:r>
      <w:r>
        <w:rPr>
          <w:rFonts w:ascii="Times New Roman;serif" w:hAnsi="Times New Roman;serif"/>
          <w:b w:val="false"/>
          <w:color w:val="000000"/>
          <w:sz w:val="20"/>
        </w:rPr>
        <w:t xml:space="preserve">During the three months ended March 31, 2026, the Company granted a total of 1,100,055 PRSUs with a grant date fair value of $27.9 million as part of its annual grant of equity incentive awards to certain executives and in connection with the appointment of Amit Mathradas as its new Chief Executive Officer.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802,752 market-based PRSUs with a grant date fair value of $21.8 million granted to Mr. Mathradas, the amount that may be earned pursuant to the market-based PRSUs ranges from 0% to 200% of the target number based on the Company’s relative total shareholder return (“RTSR”) performance as compared to the companies in the S&amp;P Software and Services Select Index during the performance period. The 2026-2028 performance period contains two overlapping measurement periods— a two-year period and a three-year period. 60% of the total market-based PRSUs may be earned and settled in shares following the end of the two-year measurement period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40% of the total market-based PRSUs may be earned and settled in shares following the end of the three-year measurement period, in each case based on RTSR performance and subject to continued employment through the payment date; provided that upon a qualifying termination of employment that occurs between January 1, 2027 and December 31, 2027, up to 33% of the maximum number of PRSUs may be earned and settled in shares following such qualifying termination, based on RTSR performance during the period consisting of January 1, 2026 through December 31, 2026. If the Company’s absolute total shareholder return for any measurement period is negative, then no more than 100% of the target amount of market-based PRSUs for such period may be earned. If an executive's employment with the Company terminates before the end of the final measurement period due to death or disability, 100% (if due to death) or 50% (if due to disability) of the unvested market-based PRSUs may be earned subject to ultimate RTSR performance in each remaining measurement period. Upon a qualifying termination of employment in connection with a change in control of the Company, the unvested market-based PRSUs subject to the 2026-2028 performance period will vest on a double-trigger basis (i) at the target level for the uncompleted portions of the measurement periods and (ii) at the actual level of performance measured through the date of the change in control of the Company, based on the price per share paid in such change in control.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297,303 PRSUs with a grant date fair value of $6.1 million granted as part of the Company’s annual grant of equity incentive awards to certain executives, the amount that may be earned pursuant to the PRSUs ranges from 0% to 200% of the target number based on the achievement of the following performance metrics (the “Performance Metrics”) during the performance period: (i) the Company’s Subscription Revenue Growth Rate (“CAGR”), which is weighted 70%, and (ii) the Company’s RTSR performance as compared to the companies in the S&amp;P Software and Services Select Index, which is weighted 30%. The 2026-2028 performance period contains two overlapping measurement periods—a two-year period and a three-year period. 60% of the total PRSUs may be earned and settled in shares following the end of the two-year measurement period and 40% of the total PRSUs may be earned and settled in shares following the end of the three-year measurement period, in each case based on the achievement of the Performance Metrics and subject to continued employment through the payment date. If the Company’s absolute total shareholder return for any measurement period is negative, then no more than 100% of the target amount of market-based PRSUs that vest based on the Company’s RTSR for such period may be earned. If an executive's employment with the Company terminates before the end of the final measurement period due to death or disability, 100% (if due to death) or 50% (if due to disability) of the unvested PRSUs may be earned subject to actual achievement of the Performance Metrics in each remaining measurement period. Upon a qualifying termination of employment in connection with a change in control of the Company, the unvested PRSUs subject to the 2026-2028 performance period will vest on a double-trigger basis (i) at the target level for the uncompleted portions of the measurement periods and (ii) for the completed portions of the measurement periods, (A) at the actual level of performance for the RTSR metric measured through the date of the change in control of the Company, based on the price per share paid in such change in control, and (B) at the greater of target or actual level of performance, if measurable, for the CAGR metric measured through the date of the change in control.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PRSUs subject to performance conditions, is equal to the fair value of the Company’s common stock on the date of grant. The fair value of PRSUs subject to market conditions are determined using a Monte Carlo Simulation model. Compensation expense is recognized net of actual forfeitures over the service period, which is generally the vesting period.</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certified the performance results for the final measurement period for the market-based PRSUs subject to the 2023-2025 performance period. The Company determined that its actual total shareholder return for such measurement period was (51.28)%, and that its relative total shareholder return ranking was in the 10.0 percentile relative to companies in the S&amp;P Software &amp; Services Select Index as of January 1, 2023, which resulted in a payout percentage of 0.0% of target. During the first quarter of 2026, the Company also certified the performance results for the second measurement period for the market-based PRSUs subject to the 2024-2026 performance period. The Company determined that its actual total shareholder return for such measurement period was (78.31)%, and that its relative total shareholder return ranking was in the 1.0 percentile relative to companies in the S&amp;P Software &amp; Services Select Index as of January 1, 2024, which resulted in a payout percentage of 0.0% of target. During the first quarter of 2026, the Company also certified the performance results for the first measurement period for the market-based PRSUs subject to the 2025-2027 performance period. The Company determined that its actual total shareholder return for such measurement period was (51.28)%, and that its relative total shareholder return ranking was in the 9.0 percentile relative to companies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S&amp;P Software &amp; Services Select Index as of January 1, 2025, which resulted in a payout percentage of 0.0% of target.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as follows (in thousands): </w:t>
      </w:r>
    </w:p>
    <w:tbl>
      <w:tblPr>
        <w:tblW w:w="7105" w:type="dxa"/>
        <w:jc w:val="left"/>
        <w:tblInd w:w="0" w:type="dxa"/>
        <w:tblLayout w:type="fixed"/>
        <w:tblCellMar>
          <w:top w:w="28" w:type="dxa"/>
          <w:left w:w="28" w:type="dxa"/>
          <w:bottom w:w="28" w:type="dxa"/>
          <w:right w:w="28" w:type="dxa"/>
        </w:tblCellMar>
      </w:tblPr>
      <w:tblGrid>
        <w:gridCol w:w="1247"/>
        <w:gridCol w:w="1099"/>
        <w:gridCol w:w="1104"/>
        <w:gridCol w:w="109"/>
        <w:gridCol w:w="109"/>
        <w:gridCol w:w="109"/>
        <w:gridCol w:w="255"/>
        <w:gridCol w:w="873"/>
        <w:gridCol w:w="132"/>
        <w:gridCol w:w="109"/>
        <w:gridCol w:w="109"/>
        <w:gridCol w:w="109"/>
        <w:gridCol w:w="255"/>
        <w:gridCol w:w="873"/>
        <w:gridCol w:w="132"/>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expense by award type and expected weighted-average recognition periods are summarized in the following table (in thousands, except years).</w:t>
      </w:r>
    </w:p>
    <w:tbl>
      <w:tblPr>
        <w:tblW w:w="9894"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389"/>
        <w:gridCol w:w="472"/>
        <w:gridCol w:w="204"/>
        <w:gridCol w:w="109"/>
        <w:gridCol w:w="109"/>
        <w:gridCol w:w="109"/>
        <w:gridCol w:w="268"/>
        <w:gridCol w:w="1049"/>
        <w:gridCol w:w="138"/>
        <w:gridCol w:w="109"/>
        <w:gridCol w:w="109"/>
        <w:gridCol w:w="109"/>
        <w:gridCol w:w="211"/>
        <w:gridCol w:w="721"/>
        <w:gridCol w:w="109"/>
        <w:gridCol w:w="109"/>
        <w:gridCol w:w="109"/>
        <w:gridCol w:w="109"/>
        <w:gridCol w:w="221"/>
        <w:gridCol w:w="488"/>
        <w:gridCol w:w="161"/>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years</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assumptions used to value PRSUs with market conditions granted during the periods presented were as follows: </w:t>
      </w:r>
    </w:p>
    <w:tbl>
      <w:tblPr>
        <w:tblW w:w="5874" w:type="dxa"/>
        <w:jc w:val="left"/>
        <w:tblInd w:w="0" w:type="dxa"/>
        <w:tblLayout w:type="fixed"/>
        <w:tblCellMar>
          <w:top w:w="28" w:type="dxa"/>
          <w:left w:w="28" w:type="dxa"/>
          <w:bottom w:w="28" w:type="dxa"/>
          <w:right w:w="28" w:type="dxa"/>
        </w:tblCellMar>
      </w:tblPr>
      <w:tblGrid>
        <w:gridCol w:w="776"/>
        <w:gridCol w:w="681"/>
        <w:gridCol w:w="687"/>
        <w:gridCol w:w="109"/>
        <w:gridCol w:w="109"/>
        <w:gridCol w:w="109"/>
        <w:gridCol w:w="281"/>
        <w:gridCol w:w="281"/>
        <w:gridCol w:w="698"/>
        <w:gridCol w:w="134"/>
        <w:gridCol w:w="134"/>
        <w:gridCol w:w="134"/>
        <w:gridCol w:w="281"/>
        <w:gridCol w:w="281"/>
        <w:gridCol w:w="698"/>
        <w:gridCol w:w="109"/>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erif" w:hAnsi="Times New Roman;serif"/>
                <w:b/>
                <w:color w:val="000000"/>
                <w:sz w:val="16"/>
                <w:u w:val="single"/>
              </w:rPr>
            </w:pPr>
            <w:r>
              <w:rPr>
                <w:rFonts w:ascii="Times New Roman;serif" w:hAnsi="Times New Roman;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8. Net Income Per Share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calculated by dividing net income by the weighted average number of shares of common stock outstanding during the period, and excludes any dilutive effects of employee stock-based awards and potential shares upon conversion of the convertible senior notes. Diluted net income per share is computed giving effect to all potentially dilutive shares of common stock, including common stock issuable upon exercise of stock options, vesting of RSUs and PRSUs, and shares of common stock issuable upon conversion of convertible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2275"/>
        <w:gridCol w:w="1997"/>
        <w:gridCol w:w="2016"/>
        <w:gridCol w:w="109"/>
        <w:gridCol w:w="109"/>
        <w:gridCol w:w="109"/>
        <w:gridCol w:w="249"/>
        <w:gridCol w:w="855"/>
        <w:gridCol w:w="129"/>
        <w:gridCol w:w="109"/>
        <w:gridCol w:w="109"/>
        <w:gridCol w:w="109"/>
        <w:gridCol w:w="307"/>
        <w:gridCol w:w="743"/>
        <w:gridCol w:w="158"/>
        <w:gridCol w:w="109"/>
        <w:gridCol w:w="109"/>
        <w:gridCol w:w="109"/>
        <w:gridCol w:w="495"/>
      </w:tblGrid>
      <w:tr>
        <w:trPr/>
        <w:tc>
          <w:tcPr>
            <w:tcW w:w="227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gridSpan w:val="2"/>
            <w:tcBorders/>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basic and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if-converted method for calculating any potential dilutive effect of its convertible senior notes for the three months ended March 31, 2026 and 2025.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was included in the calculation of diluted net income per share for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9. Income Taxes </w:t>
      </w:r>
    </w:p>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months ended March 31, 2026 and 2025 was approximately $2.2 million and $0.2 million, respectively.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months ended March 31, 2026 consisted primarily of U.S. state tax expense incurred as a result of increased federal taxable income flowing to the states due to an increase in projected profit before tax, state tax attribute utilization limitations, and exhaustion of tax attributes in certain state jurisdictions. The provision for income taxes for the three months ended March 31, 2025 consisted primarily of year-to-date withholding taxes incurred as a result of the Company's activity in foreign jurisdictions.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provision for income taxes differed from the statutory amount primarily due to non-deductible stock based compensation, accelerated capitalized R&amp;D deductions, state and foreign income taxes, net operating loss and research and development credit utilization, and the Company maintaining a full valuation allowance against its U.S. net deferred tax assets. For the three months ended March 31, 2025, the provision for income taxes differed from the statutory amount primarily due to non-deductible stock based compensation, IRC Section 174 research and experimental capitalization requirements, state and foreign income taxes, research and development credits and the Company maintaining a full valuation allowance against its U.S. net deferred tax assets. </w:t>
      </w:r>
    </w:p>
    <w:p>
      <w:pPr>
        <w:pStyle w:val="TextBody"/>
        <w:bidi w:val="0"/>
        <w:spacing w:lineRule="auto" w:line="27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such net deferred tax assets as of March 31, 2026 and December 31, 2025. The Company intends to maintain the valuation allowance until sufficient positive evidence exists to support a reversal of, or decrease in, the valuation allowance. During the three months ended March 31, 2026,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Commitments </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2025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disclosed in the Company’s Annual Report on Form 10-K for the year ended December 31, 2025, and material updates to these commitments during the three months ended March 31, 2026 are disclosed herein, including in this Note 10 and in Note 12.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Company’s commitments under various co-location hosting and telecommunication usage service agreements totaled $13.1 million for terms ranging up to approximately five years. These agreements require the Company to make payments over the service term in exchange for certain network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outstanding cloud services and software and maintenance agreement commitments totaling $149.0 million, of which $37.1 million is expected to be purchased in 2026, $56.2 million is expected to be purchased in 2027, $52.3 million is expected to be purchased in 2028, and the remaining $3.4 million is expected to be purchased in 2029.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executed a reseller agreement with a total commitment of $9.0 million, a term from March 31, 2026 to March 31, 2027, and total remaining commitment of $8.7 million as of March 31, 2026.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The Company is obligated to pay five installment payments of $10.8 million annually, with the first payment made upon execution of the agreement in March 2026, and the remaining four annual payments due from March 2027 through March 2030. The current and long-term portions of this obligation were $10.8 million and $26.9 million, respectively, as of March 31, 2026.</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31, 2026, (i) no 2025 convertible senior notes were outstanding since they matured on June 1, 2025 and the Company settled its obligations with respect to the 2025 convertible senior notes in cash in connection therewith, and (ii) $747.5 million of aggregate principal of the 2029 convertible senior notes was outstanding, which 2029 convertible senior notes have a maturity date of March 15, 2029. See Note 6 for more information concerning the convertible senior notes.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the Company’s securities filed a putative class action complaint against the Company, its then-current Chief Executive Officer, and its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The Company moved to dismiss the amended complaint on July 29, 2025, and the court took the motion under submission after oral argument on December 18, 2025. On February 23, 2026, the court granted in part and denied in part Defendants’ motion to dismiss. The Company cannot predict the duration or outcome of this lawsuit at this time. As a result, the Company is unable to estimate the reasonably possible loss or range of reasonably possible losses arising from this lawsuit. The Company intends to vigorously defend this lawsuit.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Exchange Act of 1934. The Company was served with the complaint on March 20, 2025. The action was stayed pending the resolution of the motion to dismiss in the securities action. On February 27, 2026, a separate and related shareholder derivative action was filed again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On March 9, 2026, all parties filed a stipulation with the court to consolidate the two derivative actions, which the court so-ordered on March 17, 2026.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24, 2026, a related shareholder derivative action was filed in the United States District Court of Delaware on behalf of nominal defendant Five9, Inc. and against its directors and certain of its officers seeking to assert claims for breaches of fiduciary duties, gross mismanagement, waste of corporate assets, unjust enrichment, and violation of Section 14(a) of the Securities Exchange Act of 1934. On April 15, 2026, the parties to this derivative action jointly filed a stipulation with the court to stay the derivative action.</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Indemnification Agreements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11. Segment and Geographical Information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that is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reported on its consolidated statements of operations and comprehensive income (loss) as consolidated net income (loss). The measure of segment assets is reported on its consolidated balance sheets as total consolidated assets.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by Geographic Areas</w:t>
      </w:r>
    </w:p>
    <w:p>
      <w:pPr>
        <w:pStyle w:val="TextBody"/>
        <w:bidi w:val="0"/>
        <w:spacing w:lineRule="auto" w:line="26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revenues by geographic region based on customer billing address (in thousands): </w:t>
      </w:r>
    </w:p>
    <w:tbl>
      <w:tblPr>
        <w:tblW w:w="4898"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32"/>
        <w:gridCol w:w="908"/>
        <w:gridCol w:w="119"/>
        <w:gridCol w:w="109"/>
        <w:gridCol w:w="109"/>
        <w:gridCol w:w="109"/>
        <w:gridCol w:w="232"/>
        <w:gridCol w:w="908"/>
        <w:gridCol w:w="119"/>
        <w:gridCol w:w="109"/>
        <w:gridCol w:w="109"/>
        <w:gridCol w:w="109"/>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Long-Lived Assets, Net by Geographic Areas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total property and equipment, net in the respective locations (in thousands): </w:t>
      </w:r>
    </w:p>
    <w:tbl>
      <w:tblPr>
        <w:tblW w:w="5871"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32"/>
        <w:gridCol w:w="908"/>
        <w:gridCol w:w="119"/>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purchases of property and equipment for the three months ended March 31, 2026 and 2025 are disclosed in the Company’s Consolidated Statements of Cash Flows. </w:t>
      </w:r>
    </w:p>
    <w:p>
      <w:pPr>
        <w:pStyle w:val="TextBody"/>
        <w:bidi w:val="0"/>
        <w:spacing w:lineRule="auto" w:line="26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Segment Information - Consolidated Statements of Operations</w:t>
      </w:r>
    </w:p>
    <w:tbl>
      <w:tblPr>
        <w:tblW w:w="6770" w:type="dxa"/>
        <w:jc w:val="left"/>
        <w:tblInd w:w="0" w:type="dxa"/>
        <w:tblLayout w:type="fixed"/>
        <w:tblCellMar>
          <w:top w:w="28" w:type="dxa"/>
          <w:left w:w="28" w:type="dxa"/>
          <w:bottom w:w="28" w:type="dxa"/>
          <w:right w:w="28" w:type="dxa"/>
        </w:tblCellMar>
      </w:tblPr>
      <w:tblGrid>
        <w:gridCol w:w="1164"/>
        <w:gridCol w:w="1024"/>
        <w:gridCol w:w="1036"/>
        <w:gridCol w:w="109"/>
        <w:gridCol w:w="109"/>
        <w:gridCol w:w="109"/>
        <w:gridCol w:w="211"/>
        <w:gridCol w:w="826"/>
        <w:gridCol w:w="109"/>
        <w:gridCol w:w="109"/>
        <w:gridCol w:w="109"/>
        <w:gridCol w:w="109"/>
        <w:gridCol w:w="211"/>
        <w:gridCol w:w="826"/>
        <w:gridCol w:w="109"/>
        <w:gridCol w:w="109"/>
        <w:gridCol w:w="491"/>
      </w:tblGrid>
      <w:tr>
        <w:trPr/>
        <w:tc>
          <w:tcPr>
            <w:tcW w:w="116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600" w:type="dxa"/>
            <w:gridSpan w:val="2"/>
            <w:tcBorders/>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sales and marketing</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Adjusted cost of revenue includes cost of revenue in accordance with GAAP, adjusted for depreciation and amortization, stock-based compensation, acquisition and related transaction costs and one-time integration costs, and lease amortization for finance leases. </w:t>
      </w:r>
    </w:p>
    <w:p>
      <w:pPr>
        <w:pStyle w:val="TextBody"/>
        <w:bidi w:val="0"/>
        <w:spacing w:lineRule="auto" w:line="268" w:before="60" w:after="28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Adjusted research and development includes research and development in accordance with GAAP, adjusted for depreciation and amortization, stock-based compensation, acquisition and related transaction costs and one-time integration costs, and lease amortization for finance leases. </w:t>
      </w:r>
    </w:p>
    <w:p>
      <w:pPr>
        <w:pStyle w:val="TextBody"/>
        <w:bidi w:val="0"/>
        <w:spacing w:lineRule="auto" w:line="268" w:before="60" w:after="283"/>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Adjusted sales and marketing includes sales and marketing expense in accordance with GAAP, adjusted for depreciation and amortization, and stock-based compensation. </w:t>
      </w:r>
    </w:p>
    <w:p>
      <w:pPr>
        <w:pStyle w:val="TextBody"/>
        <w:bidi w:val="0"/>
        <w:spacing w:lineRule="auto" w:line="268" w:before="60" w:after="283"/>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Adjusted general and administrative included general and administrative expense in accordance with GAAP, adjusted for depreciation and amortization, stock-based compensation, acquisition and related transaction costs and one-time integration costs, one-time expenses related to strategic consulting services for operational review, other cost-reduction and productivity initiatives, one-time expenses related to advisory services for long-term strategy and growth, and legal fees related to the securities class action. </w:t>
      </w:r>
    </w:p>
    <w:p>
      <w:pPr>
        <w:pStyle w:val="TextBody"/>
        <w:bidi w:val="0"/>
        <w:spacing w:lineRule="auto" w:line="268" w:before="60" w:after="283"/>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 xml:space="preserve">Other segment items included in segment net income include stock-based compensation, acquisition and related transaction costs and one-time integration costs, lease amortization for finance leases, one-time expenses related to strategic consulting services for operational review, other cost-reduction and productivity initiatives, one-time expenses related to advisory services for long-term strategy and growth, and legal fees related to the securities class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pPr>
      <w:r>
        <w:rPr>
          <w:rFonts w:ascii="Times New Roman;serif" w:hAnsi="Times New Roman;serif"/>
          <w:b w:val="false"/>
          <w:color w:val="000000"/>
          <w:sz w:val="10"/>
        </w:rPr>
        <w:t xml:space="preserve">(6) </w:t>
      </w:r>
      <w:r>
        <w:rPr>
          <w:rFonts w:ascii="Times New Roman;serif" w:hAnsi="Times New Roman;serif"/>
          <w:b w:val="false"/>
          <w:color w:val="000000"/>
          <w:sz w:val="16"/>
        </w:rPr>
        <w:t>Non-GAAP adjustments do not have a material impact on our worldwide income tax provision due to the tax treatment of the non-GAAP adjustments reported, and our domestic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12.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6563" w:type="dxa"/>
        <w:jc w:val="left"/>
        <w:tblInd w:w="0" w:type="dxa"/>
        <w:tblLayout w:type="fixed"/>
        <w:tblCellMar>
          <w:top w:w="28" w:type="dxa"/>
          <w:left w:w="28" w:type="dxa"/>
          <w:bottom w:w="28" w:type="dxa"/>
          <w:right w:w="28" w:type="dxa"/>
        </w:tblCellMar>
      </w:tblPr>
      <w:tblGrid>
        <w:gridCol w:w="1053"/>
        <w:gridCol w:w="925"/>
        <w:gridCol w:w="932"/>
        <w:gridCol w:w="109"/>
        <w:gridCol w:w="109"/>
        <w:gridCol w:w="109"/>
        <w:gridCol w:w="284"/>
        <w:gridCol w:w="829"/>
        <w:gridCol w:w="146"/>
        <w:gridCol w:w="109"/>
        <w:gridCol w:w="109"/>
        <w:gridCol w:w="109"/>
        <w:gridCol w:w="284"/>
        <w:gridCol w:w="829"/>
        <w:gridCol w:w="146"/>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9517"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63"/>
        <w:gridCol w:w="861"/>
        <w:gridCol w:w="135"/>
        <w:gridCol w:w="109"/>
        <w:gridCol w:w="109"/>
        <w:gridCol w:w="109"/>
        <w:gridCol w:w="263"/>
        <w:gridCol w:w="861"/>
        <w:gridCol w:w="135"/>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w:t>
      </w:r>
    </w:p>
    <w:tbl>
      <w:tblPr>
        <w:tblW w:w="7569" w:type="dxa"/>
        <w:jc w:val="left"/>
        <w:tblInd w:w="0" w:type="dxa"/>
        <w:tblLayout w:type="fixed"/>
        <w:tblCellMar>
          <w:top w:w="28" w:type="dxa"/>
          <w:left w:w="28" w:type="dxa"/>
          <w:bottom w:w="28" w:type="dxa"/>
          <w:right w:w="28" w:type="dxa"/>
        </w:tblCellMar>
      </w:tblPr>
      <w:tblGrid>
        <w:gridCol w:w="1486"/>
        <w:gridCol w:w="1307"/>
        <w:gridCol w:w="1317"/>
        <w:gridCol w:w="109"/>
        <w:gridCol w:w="109"/>
        <w:gridCol w:w="109"/>
        <w:gridCol w:w="255"/>
        <w:gridCol w:w="873"/>
        <w:gridCol w:w="132"/>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terms were as follows (in years):</w:t>
      </w:r>
    </w:p>
    <w:tbl>
      <w:tblPr>
        <w:tblW w:w="6456"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419"/>
        <w:gridCol w:w="419"/>
        <w:gridCol w:w="421"/>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 were as follows:</w:t>
      </w:r>
    </w:p>
    <w:tbl>
      <w:tblPr>
        <w:tblW w:w="5888"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79"/>
        <w:gridCol w:w="279"/>
        <w:gridCol w:w="701"/>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40"/>
        <w:gridCol w:w="821"/>
        <w:gridCol w:w="124"/>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entered into an additional operating lease to commence in May 2026, representing a total commitment over its term of approximately $7.2 million. </w:t>
      </w:r>
    </w:p>
    <w:p>
      <w:pPr>
        <w:pStyle w:val="TextBody"/>
        <w:bidi w:val="0"/>
        <w:spacing w:before="120" w:after="283"/>
        <w:ind w:left="0" w:right="0" w:firstLine="495"/>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Restructuring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the Board of Directors of the Company approved a reduction in force plan (the “2025 Plan”) as part of its broader efforts to prioritize investments in key strategic areas, including artificial intelligence, as well as to drive profitable growth and support its positive, long-term outlook and increasing stockholder value. On April 3, 2025, the Company commenced execution of the 2025 Plan, which resulted in the reduction of the Company’s global full-time employees by approximately 4%. During the year ended December 31, 2025, the Company incurred a total of $7.9 million in cash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As of December 31, 2025, $7.9 million in total restructuring costs under the 2025 Plan had been paid. During the year ended December 31, 2025, the Company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The Company does not expect to incur any additional costs under the 2025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erif" w:hAnsi="Times New Roman;serif"/>
          <w:b/>
          <w:color w:val="000000"/>
          <w:sz w:val="20"/>
        </w:rPr>
      </w:pPr>
      <w:r>
        <w:rPr>
          <w:rFonts w:ascii="Times New Roman;serif" w:hAnsi="Times New Roman;serif"/>
          <w:b/>
          <w:color w:val="000000"/>
          <w:sz w:val="20"/>
        </w:rPr>
        <w:t xml:space="preserve">14. Subsequent Events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2025 Repurchase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announced its intent to enter into an ASR program (the “2026 ASR Program”) of $90 million with JPM to repurchase the remaining authorized amount under the 2025 Repurchase Program. The Company intends to enter into the new 2026 ASR Program in May 2026 with a completion date by September 30, 2026.</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2026 Repurchase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also announced that its Board of Directors approved of a new share repurchase program (the “2026 Repurchase Program”), which authorized the repurchase of up to an additional $200.0 million of the Company’s common stock and has no expiration date.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2026 Share Repurchase Program will be made pursuant to open market purchases, solicited or unsolicited privately negotiated transactions, accelerated share repurchase transactions, including pursuant to 10b5-1 plans, and in compliance with applicable securities laws and other requirements. The 2026 Share Repurchase Program will be funded using the Company's cash on hand and future cash flow generation.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timing, manner, price, and amount of repurchases under the 2026 Share Repurchase Program is subject to the discretion of the Company’s management. The Company is not obligated to acquire a specified number of shares under the 2026 Share Repurchase Program, which may be suspended, modified, or terminated at any time, without prior notice. The shares received will be immediately retired and recorded as a reduction to additional paid-in-capital within stockholders’ equity.</w:t>
      </w:r>
    </w:p>
    <w:p>
      <w:pPr>
        <w:pStyle w:val="TextBody"/>
        <w:bidi w:val="0"/>
        <w:spacing w:lineRule="auto" w:line="288" w:before="120" w:after="12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Corporate Headquarter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management initiated a plan to consolidate its corporate headquarters in San Ramon, California by reducing the facility space it occupies from two floors to a single floor by May 2026 (the "Plan"). The Plan will result in excess facility space that the Company intends to sublease. Consequently, the Company expects to record an impairment loss on its operating lease right-of-use assets and related leasehold improvements of between $8.0 to $9.0 million in the second quarter of 2026. The impairment loss that it expects to incur in connection with the Plan will be estimated based on a review and analysis of real estate market conditions, its projected sublease income and sublease commencement assumptions. The impairment loss will be reflected in the Company’s operating expenses in its condensed consolidated statements of income. See Item 5. Other Information for further information.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Five9 is a leading provider of the Intelligent CX Platform for enterprise contact centers. With a foundation in our cloud-native solution, Five9 is now evolving into an AI-native CX platform, empowering enterprises to scale seamlessly, innovate faster, and deliver enhanced customer experiences as our market opportunity continues to expand. Our reliable, secure, and scalable Intelligent CX Platform, powered by our Five9 Genius AI suite, delivers a comprehensive suite of easy-to-use applications that enable the breadth of customer service, sales, and marketing functions. We have become an established leader in the AI-powered CX market with more than 3,000 customers.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Genius AI suite is a comprehensive portfolio of AI solutions that uses Generative AI to power agentic CX. The contact center is the system of record for interactions with full conversation history, and our platform serves as a real-time orchestration engine for every customer interaction across all channels, whether it is with a human or AI agent. As a result, our platform is designed to deliver a seamless collaboration between human agents and AI agents, where each interaction strengthens the next. This continuous learning loop compounds over time, creating a powerful data flywheel that drives higher performance, accuracy, and personalization for every customer engagement. We believe this is the structural advantage of our end-to-end AI-powered CX platform.</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Increases in the number of licenses or the level of consumption can be provisioned almost immediately. Subscription fees are generally billed monthly in advance, while telecom fees are billed in arrears. For each of the three months ended March 31, 2026 and 2025, subscription and telecom fees accounted for 94% and 93% of our revenue, respectively. The remainder was comprised of professional services revenue from the implementation and optimization of our solution.</w:t>
      </w:r>
    </w:p>
    <w:p>
      <w:pPr>
        <w:pStyle w:val="TextBody"/>
        <w:bidi w:val="0"/>
        <w:spacing w:lineRule="auto" w:line="312" w:before="120" w:after="283"/>
        <w:jc w:val="left"/>
        <w:rPr>
          <w:rFonts w:ascii="Times New Roman;serif" w:hAnsi="Times New Roman;serif"/>
          <w:b/>
          <w:color w:val="000000"/>
          <w:sz w:val="20"/>
        </w:rPr>
      </w:pPr>
      <w:r>
        <w:rPr>
          <w:rFonts w:ascii="Times New Roman;serif" w:hAnsi="Times New Roman;serif"/>
          <w:b/>
          <w:color w:val="000000"/>
          <w:sz w:val="20"/>
        </w:rPr>
        <w:t xml:space="preserve">Macroeconomic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risks and exposures, including new and continued macroeconomic challenges resulting from the impact of global tariff increases and potential future increases and announcements regarding same, as well as the impact of current and potential global conflicts. While the implications of macroeconomic challenges on our business, results of operations and overall financial position remain uncertain over the long term, we believe such macroeconomic challenges could have an adverse impact on our revenue in future periods.</w:t>
      </w:r>
    </w:p>
    <w:p>
      <w:pPr>
        <w:pStyle w:val="TextBody"/>
        <w:bidi w:val="0"/>
        <w:spacing w:lineRule="auto" w:line="312" w:before="120" w:after="283"/>
        <w:jc w:val="left"/>
        <w:rPr>
          <w:rFonts w:ascii="Times New Roman;serif" w:hAnsi="Times New Roman;serif"/>
          <w:b/>
          <w:color w:val="000000"/>
          <w:sz w:val="20"/>
        </w:rPr>
      </w:pPr>
      <w:r>
        <w:rPr>
          <w:rFonts w:ascii="Times New Roman;serif" w:hAnsi="Times New Roman;serif"/>
          <w:b/>
          <w:color w:val="000000"/>
          <w:sz w:val="20"/>
        </w:rPr>
        <w:t xml:space="preserve">Reduction in Force Plan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31, 2025, our Board of Directors approved a reduction in force plan, or the 2025 Plan, as part of our broader efforts to prioritize investments in key strategic areas, including artificial intelligence, as well as to drive profitable growth and support our positive, long-term outlook and increasing stockholder value. On April 3, 2025, we commenced execution of the 2025 Plan, which resulted in the reduction of our global full-time employees by approximately 4%. During the year ended December 31, 2025, we incurred a total of $7.9 million in cash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During the year ended December 31, 2025, we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We do not expect to incur any additional costs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180" w:after="283"/>
        <w:jc w:val="left"/>
        <w:rPr>
          <w:rFonts w:ascii="Times New Roman;serif" w:hAnsi="Times New Roman;serif"/>
          <w:b/>
          <w:color w:val="000000"/>
          <w:sz w:val="20"/>
        </w:rPr>
      </w:pPr>
      <w:r>
        <w:rPr>
          <w:rFonts w:ascii="Times New Roman;serif" w:hAnsi="Times New Roman;serif"/>
          <w:b/>
          <w:color w:val="000000"/>
          <w:sz w:val="20"/>
        </w:rPr>
        <w:t>Key GAAP Operating Results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increased to $305.3 million for the three months ended March 31, 2026 from $279.7 million for the three months ended March 31, 2025. Revenue growth was primarily attributable to our larger customers, driven by an increase in our sales and marketing activities and our improved brand awareness. For each of the three months ended March 31, 2026 and 2025, no single customer accounted for more than 10% of our total revenue. As of March 31, 2026, we had over 3,000 customers across multiple industries with a wide range of license sizes. We had net income of $18.4 million in the three months ended March 31, 2026, compared to net income of $0.6 million in the three months ended March 31, 2025.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new and continued macroeconomic challenges resulting from the impact of global tariff increases and potential future increases and announcements regarding same, as well as the impact of current and potential global conflicts,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Operating and Non-GAAP Financial Performance Metrics </w:t>
      </w:r>
    </w:p>
    <w:p>
      <w:pPr>
        <w:pStyle w:val="TextBody"/>
        <w:bidi w:val="0"/>
        <w:spacing w:lineRule="auto" w:line="312"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Annual Dollar-Based Retention Rate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in two ways. First is subscription plus telecom revenue from all customers in the comparable prior year period. Second is subscription revenue from all customers in the comparable prior year period. Similarly, we define Retained Net Revenue as either subscription plus telecom revenue or subscription revenue from that same group of customers in the current period. We consider both subscription and telecom to be recurring revenue.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Annual Dollar-Based Retention Rate based on subscription plus telecom revenue as well as subscription revenue for the periods presented: </w:t>
      </w:r>
    </w:p>
    <w:tbl>
      <w:tblPr>
        <w:tblW w:w="9651" w:type="dxa"/>
        <w:jc w:val="left"/>
        <w:tblInd w:w="0" w:type="dxa"/>
        <w:tblLayout w:type="fixed"/>
        <w:tblCellMar>
          <w:top w:w="28" w:type="dxa"/>
          <w:left w:w="28" w:type="dxa"/>
          <w:bottom w:w="28" w:type="dxa"/>
          <w:right w:w="28" w:type="dxa"/>
        </w:tblCellMar>
      </w:tblPr>
      <w:tblGrid>
        <w:gridCol w:w="2247"/>
        <w:gridCol w:w="1976"/>
        <w:gridCol w:w="1986"/>
        <w:gridCol w:w="109"/>
        <w:gridCol w:w="109"/>
        <w:gridCol w:w="109"/>
        <w:gridCol w:w="419"/>
        <w:gridCol w:w="419"/>
        <w:gridCol w:w="421"/>
        <w:gridCol w:w="184"/>
        <w:gridCol w:w="184"/>
        <w:gridCol w:w="184"/>
        <w:gridCol w:w="380"/>
        <w:gridCol w:w="380"/>
        <w:gridCol w:w="544"/>
      </w:tblGrid>
      <w:tr>
        <w:trPr/>
        <w:tc>
          <w:tcPr>
            <w:tcW w:w="2247"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Dollar-Based Retention Rate (Subscription plus Telecom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Dollar-Based Retention Rate (Subscription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year-over-year decrease for annual dollar-based retention rate for both subscription plus telecom revenue as well as subscription revenue reflects year-over-year challenges related to a single large new customer ramping significantly throughout 2024 and seasonal increases being stronger in the second half of 2024, offset in part by ongoing momentum in AI and expansion of larger existing customers throughout 2025 and the first quarter of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provides an additional tool for investors to use in comparing our recurring core business operating results over multiple periods with other companies in our industry.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We calculate adjusted EBITDA as net income before (1) depreciation and amortization, (2) stock-based compensation, (3) interest expense, (4) interest income and other, (5) acquisition and related transaction costs and one-time integration costs, (6) lease amortization for finance leases, (7) one-time expenses related to strategic consulting services for operational review, (8) other cost-reduction and productivity initiatives, (9) one-time expenses related to advisory services for long-term strategy and growth, (10) legal fees related to the securities class action, (11) provision for income taxes, and (12) other items that do not directly affect what we consider to be our core operating performance.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reconciliation of net income to adjusted EBITDA for the periods presented (in thousands): </w:t>
      </w:r>
    </w:p>
    <w:tbl>
      <w:tblPr>
        <w:tblW w:w="9413" w:type="dxa"/>
        <w:jc w:val="left"/>
        <w:tblInd w:w="0" w:type="dxa"/>
        <w:tblLayout w:type="fixed"/>
        <w:tblCellMar>
          <w:top w:w="28" w:type="dxa"/>
          <w:left w:w="28" w:type="dxa"/>
          <w:bottom w:w="28" w:type="dxa"/>
          <w:right w:w="28" w:type="dxa"/>
        </w:tblCellMar>
      </w:tblPr>
      <w:tblGrid>
        <w:gridCol w:w="2077"/>
        <w:gridCol w:w="1832"/>
        <w:gridCol w:w="1851"/>
        <w:gridCol w:w="109"/>
        <w:gridCol w:w="109"/>
        <w:gridCol w:w="109"/>
        <w:gridCol w:w="259"/>
        <w:gridCol w:w="856"/>
        <w:gridCol w:w="144"/>
        <w:gridCol w:w="109"/>
        <w:gridCol w:w="109"/>
        <w:gridCol w:w="109"/>
        <w:gridCol w:w="259"/>
        <w:gridCol w:w="856"/>
        <w:gridCol w:w="144"/>
        <w:gridCol w:w="109"/>
        <w:gridCol w:w="109"/>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 related to strategic consulting services for operational review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fees related to the securities class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74,483 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52,703 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(1)Depreciation and amortization expenses included in our results of operations for the periods presented are as follows (in thousands): </w:t>
      </w:r>
    </w:p>
    <w:tbl>
      <w:tblPr>
        <w:tblW w:w="6248"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259"/>
        <w:gridCol w:w="856"/>
        <w:gridCol w:w="144"/>
        <w:gridCol w:w="109"/>
        <w:gridCol w:w="109"/>
        <w:gridCol w:w="109"/>
        <w:gridCol w:w="259"/>
        <w:gridCol w:w="856"/>
        <w:gridCol w:w="144"/>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(3)Non-GAAP adjustments do not have a material impact on our worldwide income tax provision due to the tax treatment of the non-GAAP adjustments reported, and our domestic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consists of subscription and telecom as well as professional services. We consider our subscription and telecom to be recurring revenue. We charge our customers monthly subscription fees for access to our Intelligent CX Platform, primarily based on the number of licenses, as well as on a consumption basis for our AI solutions. We offer monthly, annual and multiple-year contracts to our customers, generally with 30 days’ notice required for limited reductions in the number of licenses or the level of consumption. Increases in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licenses or the level of consumption can be provisioned almost immediately. Subscription fees are generally billed monthly in advance, while usage fees are billed in arrears.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Usage fees are billed in arrears based on customer-specific per minute rate plans and are recognized as actual usage occurs.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new and continued macroeconomic challenges resulting from the impact of global tariff increases and potential future increases and announcements regarding same, as well as the impact of current and potential global conflicts, continued inflation, uncertainty regarding consumer spending, high interest rates, fluctuations in currency rates, and other factors, may continue to harm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we expect the percentage of revenue to fluctuate in the near term, and to decline as a percentage of revenue in the long-term through economies of scale.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as research and development, sales and marketing, and general and administrative expenses. </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Our research and development expenses consist primarily of salary and related expenses, including stock-based compensation, for personnel related to the 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consist primarily of salaries and related expenses, including stock-based compensation, for 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pStyle w:val="TextBody"/>
        <w:bidi w:val="0"/>
        <w:spacing w:lineRule="auto" w:line="268" w:before="120" w:after="283"/>
        <w:ind w:left="0" w:right="0" w:firstLine="495"/>
        <w:jc w:val="both"/>
        <w:rPr/>
      </w:pPr>
      <w:r>
        <w:rPr>
          <w:rFonts w:ascii="Times New Roman;serif" w:hAnsi="Times New Roman;serif"/>
          <w:b w:val="false"/>
          <w:i/>
          <w:color w:val="000000"/>
          <w:sz w:val="20"/>
        </w:rPr>
        <w:t>General and Administrative. </w:t>
      </w:r>
      <w:r>
        <w:rPr>
          <w:color w:val="000000"/>
        </w:rPr>
        <w:t>   </w:t>
      </w:r>
      <w:r>
        <w:rPr>
          <w:rFonts w:ascii="Times New Roman;serif" w:hAnsi="Times New Roman;serif"/>
          <w:b w:val="false"/>
          <w:color w:val="000000"/>
          <w:sz w:val="20"/>
        </w:rPr>
        <w:t>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Months Ended March 31, 2026 and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condensed consolidated statements of operations and comprehensive income (loss) set forth in this Quarterly Report on Form 10-Q, the following table sets forth our operating results as a percentage of revenue for the periods indicated: </w:t>
      </w:r>
    </w:p>
    <w:tbl>
      <w:tblPr>
        <w:tblW w:w="6572" w:type="dxa"/>
        <w:jc w:val="left"/>
        <w:tblInd w:w="0" w:type="dxa"/>
        <w:tblLayout w:type="fixed"/>
        <w:tblCellMar>
          <w:top w:w="28" w:type="dxa"/>
          <w:left w:w="28" w:type="dxa"/>
          <w:bottom w:w="28" w:type="dxa"/>
          <w:right w:w="28" w:type="dxa"/>
        </w:tblCellMar>
      </w:tblPr>
      <w:tblGrid>
        <w:gridCol w:w="1025"/>
        <w:gridCol w:w="904"/>
        <w:gridCol w:w="906"/>
        <w:gridCol w:w="109"/>
        <w:gridCol w:w="109"/>
        <w:gridCol w:w="109"/>
        <w:gridCol w:w="289"/>
        <w:gridCol w:w="289"/>
        <w:gridCol w:w="681"/>
        <w:gridCol w:w="137"/>
        <w:gridCol w:w="137"/>
        <w:gridCol w:w="137"/>
        <w:gridCol w:w="289"/>
        <w:gridCol w:w="289"/>
        <w:gridCol w:w="681"/>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7311"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37"/>
        <w:gridCol w:w="891"/>
        <w:gridCol w:w="132"/>
        <w:gridCol w:w="109"/>
        <w:gridCol w:w="109"/>
        <w:gridCol w:w="109"/>
        <w:gridCol w:w="237"/>
        <w:gridCol w:w="891"/>
        <w:gridCol w:w="132"/>
        <w:gridCol w:w="109"/>
        <w:gridCol w:w="109"/>
        <w:gridCol w:w="109"/>
        <w:gridCol w:w="196"/>
        <w:gridCol w:w="646"/>
        <w:gridCol w:w="109"/>
        <w:gridCol w:w="109"/>
        <w:gridCol w:w="109"/>
        <w:gridCol w:w="109"/>
        <w:gridCol w:w="152"/>
        <w:gridCol w:w="152"/>
        <w:gridCol w:w="357"/>
        <w:gridCol w:w="109"/>
        <w:gridCol w:w="109"/>
        <w:gridCol w:w="109"/>
        <w:gridCol w:w="109"/>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the three months ended March 31, 2026 compared to the same period of 2025 was primarily attributable to our larger customers, driven by our sales and marketing activities and our improved brand awareness.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tbl>
      <w:tblPr>
        <w:tblW w:w="7730"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08"/>
        <w:gridCol w:w="781"/>
        <w:gridCol w:w="271"/>
        <w:gridCol w:w="109"/>
        <w:gridCol w:w="109"/>
        <w:gridCol w:w="109"/>
        <w:gridCol w:w="208"/>
        <w:gridCol w:w="781"/>
        <w:gridCol w:w="271"/>
        <w:gridCol w:w="109"/>
        <w:gridCol w:w="109"/>
        <w:gridCol w:w="109"/>
        <w:gridCol w:w="196"/>
        <w:gridCol w:w="556"/>
        <w:gridCol w:w="109"/>
        <w:gridCol w:w="109"/>
        <w:gridCol w:w="109"/>
        <w:gridCol w:w="109"/>
        <w:gridCol w:w="152"/>
        <w:gridCol w:w="152"/>
        <w:gridCol w:w="357"/>
        <w:gridCol w:w="109"/>
        <w:gridCol w:w="109"/>
        <w:gridCol w:w="109"/>
        <w:gridCol w:w="109"/>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three months ended March 31, 2026 compared to the same period of 2025 was primarily due to a $6.9 million increase in third-party costs driven by increased customer activities, a $3.4 million increase in amortization of capitalized internal-use software development costs, and a $0.7 million increase in consulting costs for global expansion, offset in part by a $1.2 million decrease in personnel-related costs primarily driven by a decrease in stock-based compensation costs, and by a $0.7 million decrease in amortization of acquired intangible assets. </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Gross Profit </w:t>
      </w:r>
    </w:p>
    <w:tbl>
      <w:tblPr>
        <w:tblW w:w="7727" w:type="dxa"/>
        <w:jc w:val="left"/>
        <w:tblInd w:w="0" w:type="dxa"/>
        <w:tblLayout w:type="fixed"/>
        <w:tblCellMar>
          <w:top w:w="28" w:type="dxa"/>
          <w:left w:w="28" w:type="dxa"/>
          <w:bottom w:w="28" w:type="dxa"/>
          <w:right w:w="28" w:type="dxa"/>
        </w:tblCellMar>
      </w:tblPr>
      <w:tblGrid>
        <w:gridCol w:w="407"/>
        <w:gridCol w:w="358"/>
        <w:gridCol w:w="360"/>
        <w:gridCol w:w="109"/>
        <w:gridCol w:w="109"/>
        <w:gridCol w:w="109"/>
        <w:gridCol w:w="208"/>
        <w:gridCol w:w="781"/>
        <w:gridCol w:w="271"/>
        <w:gridCol w:w="109"/>
        <w:gridCol w:w="109"/>
        <w:gridCol w:w="109"/>
        <w:gridCol w:w="208"/>
        <w:gridCol w:w="781"/>
        <w:gridCol w:w="271"/>
        <w:gridCol w:w="109"/>
        <w:gridCol w:w="109"/>
        <w:gridCol w:w="109"/>
        <w:gridCol w:w="196"/>
        <w:gridCol w:w="646"/>
        <w:gridCol w:w="109"/>
        <w:gridCol w:w="109"/>
        <w:gridCol w:w="109"/>
        <w:gridCol w:w="109"/>
        <w:gridCol w:w="165"/>
        <w:gridCol w:w="166"/>
        <w:gridCol w:w="357"/>
        <w:gridCol w:w="109"/>
        <w:gridCol w:w="109"/>
        <w:gridCol w:w="109"/>
        <w:gridCol w:w="109"/>
        <w:gridCol w:w="109"/>
        <w:gridCol w:w="109"/>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for the three months ended March 31, 2026 compared to the same period of 2025 was primarily due to increases in subscription and related revenues. We expect gross margin to increase in the long-term with long-term revenue growth outpacing continued investments in professional services, public cloud, cloud operations, customer support and network infrastructure.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8581"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596"/>
        <w:gridCol w:w="331"/>
        <w:gridCol w:w="333"/>
        <w:gridCol w:w="109"/>
        <w:gridCol w:w="109"/>
        <w:gridCol w:w="109"/>
        <w:gridCol w:w="225"/>
        <w:gridCol w:w="741"/>
        <w:gridCol w:w="294"/>
        <w:gridCol w:w="109"/>
        <w:gridCol w:w="109"/>
        <w:gridCol w:w="109"/>
        <w:gridCol w:w="196"/>
        <w:gridCol w:w="631"/>
        <w:gridCol w:w="109"/>
        <w:gridCol w:w="109"/>
        <w:gridCol w:w="109"/>
        <w:gridCol w:w="109"/>
        <w:gridCol w:w="158"/>
        <w:gridCol w:w="158"/>
        <w:gridCol w:w="357"/>
        <w:gridCol w:w="109"/>
        <w:gridCol w:w="109"/>
        <w:gridCol w:w="109"/>
        <w:gridCol w:w="109"/>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research and development expenses for the three months ended March 31, 2026 compared to the same period of 2025 was primarily due to a $1.3 million decrease in personnel-related costs primarily due to a decrease in stock-based compensation costs and an $0.8 million increase in research and development costs (excluding stock-based compensation costs) that qualified for capitalization, which resulted in a corresponding decrease in research and development costs, offset in part by a $0.5 million increase in staff augmentation costs and by a $0.2 million increase in public cloud development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8116" w:type="dxa"/>
        <w:jc w:val="left"/>
        <w:tblInd w:w="0" w:type="dxa"/>
        <w:tblLayout w:type="fixed"/>
        <w:tblCellMar>
          <w:top w:w="28" w:type="dxa"/>
          <w:left w:w="28" w:type="dxa"/>
          <w:bottom w:w="28" w:type="dxa"/>
          <w:right w:w="28" w:type="dxa"/>
        </w:tblCellMar>
      </w:tblPr>
      <w:tblGrid>
        <w:gridCol w:w="558"/>
        <w:gridCol w:w="491"/>
        <w:gridCol w:w="495"/>
        <w:gridCol w:w="109"/>
        <w:gridCol w:w="109"/>
        <w:gridCol w:w="109"/>
        <w:gridCol w:w="225"/>
        <w:gridCol w:w="741"/>
        <w:gridCol w:w="294"/>
        <w:gridCol w:w="109"/>
        <w:gridCol w:w="109"/>
        <w:gridCol w:w="109"/>
        <w:gridCol w:w="225"/>
        <w:gridCol w:w="741"/>
        <w:gridCol w:w="294"/>
        <w:gridCol w:w="109"/>
        <w:gridCol w:w="109"/>
        <w:gridCol w:w="109"/>
        <w:gridCol w:w="196"/>
        <w:gridCol w:w="631"/>
        <w:gridCol w:w="109"/>
        <w:gridCol w:w="109"/>
        <w:gridCol w:w="109"/>
        <w:gridCol w:w="109"/>
        <w:gridCol w:w="158"/>
        <w:gridCol w:w="158"/>
        <w:gridCol w:w="357"/>
        <w:gridCol w:w="109"/>
        <w:gridCol w:w="109"/>
        <w:gridCol w:w="109"/>
        <w:gridCol w:w="109"/>
        <w:gridCol w:w="109"/>
        <w:gridCol w:w="109"/>
        <w:gridCol w:w="109"/>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79,489 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82,855 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sales and marketing expenses for the three months ended March 31, 2026 compared to the same period of 2025 was primarily due to a $5.4 million decrease in personnel-related costs mainly due to decreased sales and marketing headcount as a result of the 2025 Plan and a prior reduction-in-force plan executed in August 2024, and a decrease in stock-based compensation costs, and a $0.4 million decrease in travel costs as a result of reduced business travel, offset in part by a $3.8 million increase in amortization of deferred contract acquisition costs driven by the growth in sales and bookings of our solution. The remaining decrease was due to a reduction in overall marketing spend during the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8582"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225"/>
        <w:gridCol w:w="741"/>
        <w:gridCol w:w="294"/>
        <w:gridCol w:w="109"/>
        <w:gridCol w:w="109"/>
        <w:gridCol w:w="109"/>
        <w:gridCol w:w="225"/>
        <w:gridCol w:w="741"/>
        <w:gridCol w:w="294"/>
        <w:gridCol w:w="109"/>
        <w:gridCol w:w="109"/>
        <w:gridCol w:w="109"/>
        <w:gridCol w:w="196"/>
        <w:gridCol w:w="631"/>
        <w:gridCol w:w="109"/>
        <w:gridCol w:w="109"/>
        <w:gridCol w:w="109"/>
        <w:gridCol w:w="109"/>
        <w:gridCol w:w="158"/>
        <w:gridCol w:w="158"/>
        <w:gridCol w:w="357"/>
        <w:gridCol w:w="109"/>
        <w:gridCol w:w="109"/>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general and administrative expenses for the three months ended March 31, 2026 compared to the same period of 2025 was primarily due to a $1.5 million decrease in personnel-related costs primarily due to a decrease in stock-based compensation costs. The remaining decrease was primarily due to a reduction in overall general and administrative spend during this period as a result of our ongoing cost-reduction and productivity initiatives.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tbl>
      <w:tblPr>
        <w:tblW w:w="9122"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228"/>
        <w:gridCol w:w="734"/>
        <w:gridCol w:w="298"/>
        <w:gridCol w:w="109"/>
        <w:gridCol w:w="109"/>
        <w:gridCol w:w="109"/>
        <w:gridCol w:w="228"/>
        <w:gridCol w:w="734"/>
        <w:gridCol w:w="298"/>
        <w:gridCol w:w="109"/>
        <w:gridCol w:w="109"/>
        <w:gridCol w:w="109"/>
        <w:gridCol w:w="196"/>
        <w:gridCol w:w="631"/>
        <w:gridCol w:w="109"/>
        <w:gridCol w:w="109"/>
        <w:gridCol w:w="109"/>
        <w:gridCol w:w="109"/>
        <w:gridCol w:w="203"/>
        <w:gridCol w:w="203"/>
        <w:gridCol w:w="357"/>
        <w:gridCol w:w="109"/>
        <w:gridCol w:w="109"/>
        <w:gridCol w:w="109"/>
        <w:gridCol w:w="109"/>
        <w:gridCol w:w="109"/>
        <w:gridCol w:w="109"/>
        <w:gridCol w:w="109"/>
        <w:gridCol w:w="109"/>
        <w:gridCol w:w="109"/>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808" w:type="dxa"/>
            <w:gridSpan w:val="7"/>
            <w:tcBorders/>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for the three months ended March 31, 2026 compared to the same period of 2025 was primarily due to the maturity of the 2025 convertible senior notes on June 1, 2025.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and other for the three months ended March 31, 2026 compared to the same period of 2025 was due to lower investable balances primarily resulting from cash paid in connection with the maturity of the 2025 convertible senior notes and the repurchases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primarily through sales of our solution, net proceeds from our equity and debt financings, including the issuance of convertible senior notes in March 2024, May and June 2020 and May 2018, and lease facilities. As of March 31, 2026, we had $782.6 million in working capital, which included $273.0 million in cash and cash equivalents and $450.9 million in marketable investments. Our 2025 convertible senior notes matured on June 1, 2025, and we settled our obligations with respect to the 2025 convertible senior notes through a cash payment of $434.4 million in connection therewith. Our intent is that all marketable investments are available for use in our current operations, including marketable investments with maturity dates greater than one year from March 31, 2026.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internationally, and the effect of the length and severity of the continued macroeconomic challenges resulting from the impact of global tariff increases and potential future increases and announcements regarding same, as well as the impact of current and potential global conflicts, on these or other factors. We may also acquire or invest in complementary businesses, technologies and intellectual property rights, such as our acquisitions of Aceyus in August 2023 and Acqueon in August 2024, which may increase our use of cash and future capital requirements, both to pay acquisition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challenging macroeconomic environment and fluctuations in the financial markets resulting from the impact of global tariff increases and potential future increases and announcements regarding same, as well as the impact of current and potential global conflicts.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2025 Repurchase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October 2025, our Board of Directors approved the 2025 Repurchase Program, which authorized</w:t>
      </w:r>
      <w:r>
        <w:rPr>
          <w:color w:val="000000"/>
        </w:rPr>
        <w:t xml:space="preserve"> </w:t>
      </w:r>
      <w:r>
        <w:rPr>
          <w:rFonts w:ascii="Times New Roman;serif" w:hAnsi="Times New Roman;serif"/>
          <w:b w:val="false"/>
          <w:color w:val="000000"/>
          <w:sz w:val="20"/>
        </w:rPr>
        <w:t>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2025 Repurchase Program, on November 11, 2025, we entered into the ASR program with JPM. Under the terms of the ASR program, on November 12, 2025, we made an aggregate payment of $50 million and received an initial delivery of 1,926,782 shares of our common stock, representing approximately 80% of the total number of shares of our common stock expected to be purchased under the ASR program. The shares received were immediately retired and recorded as a reduction to additional paid-in-capital within stockholders’ equity. Given our ability to settle in shares, as described below, the remaining prepaid forward contract amount was classified as a reduction to additional-paid-in-capital upon issuance and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ASR program, upon settlement, we were permitted to either receive additional shares of common stock from JPM or were required to deliver additional shares of common stock or cash to JPM, at our election. The final number of shares repurchased was based on the average of the daily volume-weighted average prices of our common stock during the term of the ASR program, less a discount and subject to adjustments pursuant to the terms and conditions of the ASR program. Cash settlement was not mandatory pursuant to the terms of the ASR program. The ASR program was completed on February 2, 2026, which resulted in delivery of 701,517 additional shares to us. The final share settlement was based on the average daily volume-weighted average price of our shares, netted against the initial delivery.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we repurchased 578,742 shares under the 2025 Repurchase Program at an average share price of $17.28 for an aggregate payment of $10.0 million.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of March 31, 2026, $90.0 million remained available under the 2025 Repurchase Program.</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(in thousands): </w:t>
      </w:r>
    </w:p>
    <w:tbl>
      <w:tblPr>
        <w:tblW w:w="8364"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55"/>
        <w:gridCol w:w="873"/>
        <w:gridCol w:w="132"/>
        <w:gridCol w:w="109"/>
        <w:gridCol w:w="109"/>
        <w:gridCol w:w="109"/>
        <w:gridCol w:w="255"/>
        <w:gridCol w:w="873"/>
        <w:gridCol w:w="132"/>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is primarily influenced by our personnel-related expenditures, data center and telecommunications carrier costs, office and facility related costs, USF contributions and other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costs and the amount and timing of customer payments. If we continue to improve our financial results, we expect net cash provided by operating activities to increase. Our largest source of operating cash inflows is cash collections from our customers for subscription and telecom services. Payments from customers for these services are typically received monthly.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$63.9 million during the three months ended March 31, 2026. Net cash provided by operating activities resulted from our net income of $18.4 million, adjustments to reconcile net income to net cash provided by operating activities of $80.9 million, primarily consisting of $32.7 million of stock-based compensation, $23.9 million of amortization of deferred contract acquisition costs, $17.8 million of depreciation and amortization, $5.3 million of reduction in the carrying amount of right-of-use assets, and $0.9 million of amortization of issuance costs on our convertible senior notes, partially offset by use of cash for operating assets and liabilities of $(35.4) million primarily due to the timing of cash payments to vendors and cash receipts from customers and $(1.2) million accretion of discount on marketable investments.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$48.4 million during the three months ended March 31, 2025. Net cash provided by operating activities resulted from our net income of $0.6 million, adjustments to reconcile net income to net cash provided by operating activities of $78.3 million, primarily consisting of $39.2 million of stock-based compensation, $20.4 million of amortization of deferred contract acquisition costs, $14.5 million of depreciation and amortization, $5.1 million of reduction in the carrying amount of right-of-use assets, and $1.4 million of amortization of issuance costs on our convertible senior notes, partially offset by use of cash for operating assets and liabilities of $(30.5) million primarily due to the timing of cash payments to vendors and cash receipts from customers and $(3.3) million accretion of discount on marketable investments. </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$(0.1) million in the three months ended March 31, 2026 was comprised of $(114.1) million related to purchases of marketable investments, $(9.2) million in capitalized software development costs and $(5.3) million in capital expenditures, offset in part by $128.4 million related to cash proceeds from sales and maturities of marketable investments.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$(38.1) million in the three months ended March 31, 2025 was comprised of $275.9 million related to purchases of marketable investments, $8.7 million in capitalized software development costs and $4.7 million in capital expenditures, offset in part by $251.3 million related to cash proceeds from maturities of marketable investments. </w:t>
      </w:r>
    </w:p>
    <w:p>
      <w:pPr>
        <w:pStyle w:val="TextBody"/>
        <w:bidi w:val="0"/>
        <w:spacing w:lineRule="auto" w:line="26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 xml:space="preserve">Cash Flows from Financing Activities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$(22.8) million in the three months ended March 31, 2026 was from $(10.8) million of principal payments on financing arrangements, $(10.0) million of cash paid for the repurchase of our common stock, $(2.5) million of payments related to finance leases, offset in part by $0.4 million in proceeds from the exercise of common stock options.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$(2.2) million in the three months ended March 31, 2025 was from $2.2 million of payments related to finance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disclosed in our Annual Report on Form 10-K for the fiscal year ended December 31, 2025 filed with the SEC on 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and Other Obligations </w:t>
      </w:r>
    </w:p>
    <w:p>
      <w:pPr>
        <w:pStyle w:val="TextBody"/>
        <w:bidi w:val="0"/>
        <w:spacing w:lineRule="auto" w:line="312" w:before="120" w:after="283"/>
        <w:jc w:val="left"/>
        <w:rPr/>
      </w:pPr>
      <w:r>
        <w:rPr>
          <w:rFonts w:ascii="Times New Roman;serif" w:hAnsi="Times New Roman;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Convertible Senior Notes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and June 2020, we issued $747.5 million aggregate principal amount of our 2025 convertible senior notes in a private offering. The 2025 convertible senior notes matured on June 1, 2025, and we settled our obligations with respect to the 2025 convertible senior notes in cash in connection therewith. Prior to maturity, the 2025 convertible senior notes bore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In March 2024, we issued $747.5 million aggregate principal amount of our 2029 convertible senior notes in a private offering. In connection with the issuance of the 2029 convertible senior notes, we used part of the net proceeds from the issuance to repurchase approximately $313.1 million aggregate principal amount of our 2025 convertible senior notes.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March 31, 2026, the aggregate principal amount outstanding of our 2029 convertible senior notes was $747.5 million.</w:t>
      </w:r>
      <w:r>
        <w:rPr>
          <w:color w:val="000000"/>
        </w:rPr>
        <w:t xml:space="preserve"> </w:t>
      </w:r>
    </w:p>
    <w:p>
      <w:pPr>
        <w:pStyle w:val="TextBody"/>
        <w:bidi w:val="0"/>
        <w:spacing w:lineRule="auto" w:line="26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$57.0 million as of March 31, 2026, with $11.2 million payable in the remainder of 2026, $23.3 million payable within one to three years, $20.8 million payable within three to five years, and $1.7 million payable after five years. We also had outstanding finance lease obligations of $12.8 million as of March 31, 2026, with $6.6 million payable in the remainder of 2026, and $6.2 million payable within one to three years. See Note 12 to the condensed consolidated financial statements included in this report for further details.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Cloud Services and Software and Maintenance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outstanding cloud services and software and maintenance agreement commitments totaling $149.0 million, of which $37.1 million is expected to be purchased in the remainder of 2026, $108.5 million is expected to be purchased in 2027 and 2028, and the remaining $3.4 million is expected to be purchased in 2029.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Hosting and Telecommunication Usage Services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and telecommunication availability. As of March 31, 2026, we had outstanding hosting and telecommunication usage services obligations of $13.1 million, with $4.6 million payable in the remainder of 2026, $6.8 million payable in 2027 and 2028, and $1.7 million payable in 2029 and 2030. </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Other Agreements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we entered into a $53.9 million five-year agreement for data center support and maintenance services, which was financed through a non-interest bearing financing arrangement. In accordance with ASC 835-30, the financing arrangement was recorded as a liability at its present value of $48.3 million using an imputed interest. We are obligated to pay five installment payments of $10.8 million annually, with the first payment made upon execution of the agreement in March 2026, and the remaining four annual payments due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March 2027 through March 2030. The current and long-term portions of this obligation were $10.8 million and $26.9 million, respectively, as of March 31, 2026.</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we executed a reseller agreement with a total commitment of $9.0 million, a term from March 31, 2026 to March 31, 2027, and total remaining commitment of $8.7 million as of March 31, 2026. </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Indemnification Agreements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sheets, consolidated statements of operations and comprehensive income (loss), or consolidated statements of cash flows. </w:t>
      </w:r>
    </w:p>
    <w:p>
      <w:pPr>
        <w:pStyle w:val="TextBody"/>
        <w:bidi w:val="0"/>
        <w:spacing w:lineRule="auto" w:line="288" w:before="120" w:after="283"/>
        <w:ind w:left="0" w:right="0" w:firstLine="495"/>
        <w:jc w:val="both"/>
        <w:rPr/>
      </w:pPr>
      <w:r>
        <w:rPr>
          <w:color w:val="000000"/>
        </w:rPr>
        <w:t> </w:t>
      </w:r>
      <w:r>
        <w:rPr>
          <w:rFonts w:ascii="Times New Roman;serif" w:hAnsi="Times New Roman;serif"/>
          <w:b/>
          <w:i/>
          <w:color w:val="000000"/>
          <w:sz w:val="20"/>
        </w:rPr>
        <w:t>Contingencies — Legal and Regulatory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actions: </w:t>
      </w:r>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2024, a purported holder of our securities filed a putative class action complaint against us, our then-current Chief Executive Officer, and our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We moved to dismiss the amended complaint on July 29, 2025, and the court took the motion under submission after oral argument on December 18, 2025. On February 23, 2026, the court granted in part and denied in part Defendants' motion to dismiss. We cannot predict the duration or outcome of this lawsuit at this time. As a result, we are unable to estimate the reasonably possible loss or range of reasonably possible losses arising from this lawsuit. We intend to vigorously defend this lawsuit.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The action was stayed pending the resolution of the motion to dismiss in the securities action. On February 27, 2026, a separate and related shareholder derivative action was filed again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On March 9, 2026, all parties filed a stipulation with the court to consolidate the two derivative actions, which the court so-ordered on March 17,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March 24, 2026, a related shareholder derivative action was filed in the United States District Court of Delaware on behalf of nominal defendant Five9, Inc. and against its directors and certain of its officers seeking to assert claims for breaches of fiduciary duties, gross mismanagement, waste of corporate assets, unjust enrichment, and violation of Section 14(a) of the Securities Exchange Act of 1934. On April 15, 2026, the parties to this derivative action jointly filed a stipulation with the court to stay the derivative action.</w:t>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2025. Our exposure to market risk has not changed materially since December 31, 2025.</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Sensitivity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and marketable securities totaling $723.9 million as of March 31, 2026.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31, 2026, aggregate principal amount outstanding of our 2029 convertible senior notes was $747.5 million. The fair value of the 2029 convertible senior notes is subject to interest rate risk, market risk and other factors due to their conversion features. The fair value of the 2029 convertible senior notes will generally increase as our common stock price increases and will generally decrease as our common stock price declines. The interest and market value changes affect the fair value of the 2029 convertible senior notes but do not impact our financial position, cash flows or results of operations due to the fixed nature of the debt obligations. Additionally, we carry the 2029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March 2024 related to the issuance of our 2029 convertible senior notes. </w:t>
      </w:r>
    </w:p>
    <w:p>
      <w:pPr>
        <w:pStyle w:val="TextBody"/>
        <w:bidi w:val="0"/>
        <w:spacing w:lineRule="auto" w:line="26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Foreign Currency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three months ended March 31, 2026, the effect of a hypothetical 10% change in foreign currency exchange rates applicable to our business would have a maximum impact of $3.4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March 31,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management’s evaluation, our Chief Executive Officer and Chief Financial Officer concluded that, as of March 31, 2026,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from the Risk Factors previously disclosed in Part 1, Item 1A, of our Annual Report on Form 10-K for the fiscal year ended December 31, 2025. In addition to the other information set forth in this report, you should carefully consider the Risk Factors discussed in our Annual Report on Form 10-K as the matters disclosed therein could materially affect our business, financial condition and future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our Board of Directors approved the 2025 Repurchase Program, which authorized 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11, 2025, we entered into the ASR program with JPMorgan Chase Bank, National Association, or JPM. Under the terms of the ASR program, we agreed to repurchase $50 million in common stock, with an initial delivery of approximately 1,926,782 shares received on November 12, 2025 for $40 million, representing approximately 80% of the total number of shares expected to be purchased under the ASR program. The ASR program was completed on February 2, 2026, which resulted in delivery of 701,517 additional shares. The final share settlement was based on the average daily volume-weighted average price of our shares, netted against the initial delivery.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we repurchased 578,742 shares under the 2025 Repurchase Program at an average share price of $17.28 for an aggregate payment of $10.0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$90.0 million remained available under the 2025 Repurchase Program.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 repurchases by us during the three-month period ended March 31, 2026:</w:t>
      </w:r>
    </w:p>
    <w:tbl>
      <w:tblPr>
        <w:tblW w:w="10205" w:type="dxa"/>
        <w:jc w:val="left"/>
        <w:tblInd w:w="0" w:type="dxa"/>
        <w:tblLayout w:type="fixed"/>
        <w:tblCellMar>
          <w:top w:w="28" w:type="dxa"/>
          <w:left w:w="28" w:type="dxa"/>
          <w:bottom w:w="28" w:type="dxa"/>
          <w:right w:w="28" w:type="dxa"/>
        </w:tblCellMar>
      </w:tblPr>
      <w:tblGrid>
        <w:gridCol w:w="578"/>
        <w:gridCol w:w="447"/>
        <w:gridCol w:w="452"/>
        <w:gridCol w:w="730"/>
        <w:gridCol w:w="485"/>
        <w:gridCol w:w="487"/>
        <w:gridCol w:w="296"/>
        <w:gridCol w:w="867"/>
        <w:gridCol w:w="153"/>
        <w:gridCol w:w="1034"/>
        <w:gridCol w:w="821"/>
        <w:gridCol w:w="823"/>
        <w:gridCol w:w="411"/>
        <w:gridCol w:w="2313"/>
        <w:gridCol w:w="308"/>
      </w:tblGrid>
      <w:tr>
        <w:trPr/>
        <w:tc>
          <w:tcPr>
            <w:tcW w:w="57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Price Paid per Share</w:t>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February 1, 2026 - February 28, 2026</w:t>
            </w:r>
            <w:r>
              <w:rPr>
                <w:rFonts w:ascii="Times New Roman;serif" w:hAnsi="Times New Roman;serif"/>
                <w:b w:val="false"/>
                <w:color w:val="000000"/>
                <w:sz w:val="13"/>
              </w:rPr>
              <w:t>(1)</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701,517 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701,517 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March 1, 2026 - March 31, 2026</w:t>
            </w:r>
            <w:r>
              <w:rPr>
                <w:rFonts w:ascii="Times New Roman;serif" w:hAnsi="Times New Roman;serif"/>
                <w:b w:val="false"/>
                <w:color w:val="000000"/>
                <w:sz w:val="13"/>
              </w:rPr>
              <w:t>(2)</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578,742 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578,742 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First Quarter 2026</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1,280,259 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1,280,259 </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Upon the final settlement of the ASR program on February 2, 2026, we received 701,517 additional shares based upon the average daily volume-weighted average price of our shares, netted against the initial delivery. </w:t>
      </w:r>
    </w:p>
    <w:p>
      <w:pPr>
        <w:pStyle w:val="TextBody"/>
        <w:bidi w:val="0"/>
        <w:spacing w:lineRule="auto" w:line="268" w:before="12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 March 2026, 578,742 additional shares were repurchased under the 2025 Repurchase Program at an average share price of $17.28 for an aggregate payment of $10.0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Rule 10b5-1 Plans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31, 2026, none of the Company’s directors and officers adopted, modified, or terminated a Rule 10b5-1 trading arrangement or a non-Rule 10b5-1 trading arrangement. </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Costs Associated with Exit or Disposal Activities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reporting the following information for the purpose of providing the disclosure required under Form 8-K Item 2.05 “Costs Associated with Exit or Disposal Activities.”</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Corporate Headquarters Consolidation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management initiated a plan to consolidate our corporate headquarters in San Ramon, California by reducing the facility space we occupy from two floors to a single floor by May 2026 (the “Plan”). The Plan will result in excess facility space that we intend to sublease. Consequently, we expect to record an impairment loss on our operating lease right-of-use assets and related leasehold improvements of between $8.0 to $9.0 million in the second quarter of 2026. This impairment loss that we expect to incur in connection with the Plan will be estimated based on a review and analysis of real estate market conditions, our projected sublease income and sublease commencement assumptions. Actual amounts, and the timing of the impairment loss, may differ materially from our current and future estimates. We may also incur other charges not currently contemplated due to unanticipated events that may occur, including in connection with the implementation of the Plan. The impairment loss will be reflected in our operating expenses in our condensed consolidated statements of income. The $8.0 million to $9.0 million impairment loss associated with the Plan were included in the second quarter of 2026 and full year 2026 GAAP net income per share guidance issued on April 30, 2026. We intend to exclude these costs from our non-GAAP financial measures. </w:t>
      </w:r>
    </w:p>
    <w:p>
      <w:pPr>
        <w:pStyle w:val="TextBody"/>
        <w:bidi w:val="0"/>
        <w:spacing w:before="0" w:after="0"/>
        <w:ind w:left="0" w:right="0" w:firstLine="540"/>
        <w:jc w:val="both"/>
        <w:rPr/>
      </w:pPr>
      <w:r>
        <w:rPr/>
      </w:r>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120" w:after="283"/>
        <w:ind w:left="0" w:right="0" w:firstLine="495"/>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5"/>
        <w:gridCol w:w="260"/>
        <w:gridCol w:w="261"/>
        <w:gridCol w:w="109"/>
        <w:gridCol w:w="109"/>
        <w:gridCol w:w="109"/>
        <w:gridCol w:w="3143"/>
        <w:gridCol w:w="2758"/>
        <w:gridCol w:w="2786"/>
        <w:gridCol w:w="109"/>
        <w:gridCol w:w="109"/>
        <w:gridCol w:w="157"/>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10.</w:t>
              </w:r>
            </w:hyperlink>
            <w:hyperlink r:id="rId3">
              <w:r>
                <w:rPr>
                  <w:rStyle w:val="InternetLink"/>
                  <w:rFonts w:ascii="Times New Roman;serif" w:hAnsi="Times New Roman;serif"/>
                  <w:b w:val="false"/>
                  <w:color w:val="000080"/>
                  <w:sz w:val="20"/>
                  <w:u w:val="single"/>
                </w:rPr>
                <w:t>1</w:t>
              </w:r>
            </w:hyperlink>
            <w:hyperlink r:id="rId4">
              <w:r>
                <w:rPr>
                  <w:rStyle w:val="InternetLink"/>
                  <w:rFonts w:ascii="Wingdings 2;sans-serif" w:hAnsi="Wingdings 2;sans-serif"/>
                  <w:b w:val="false"/>
                  <w:color w:val="0000FF"/>
                  <w:sz w:val="16"/>
                  <w:u w:val="single"/>
                </w:rPr>
                <w:t>Ø</w:t>
              </w:r>
            </w:hyperlink>
            <w:hyperlink r:id="rId5">
              <w:r>
                <w:rPr>
                  <w:rStyle w:val="InternetLink"/>
                  <w:rFonts w:ascii="Times New Roman;serif" w:hAnsi="Times New Roman;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Employment Transition Agreement between Five9, Inc. and Michael Burkland dated January 20, 2026</w:t>
              </w:r>
            </w:hyperlink>
            <w:r>
              <w:rPr>
                <w:color w:val="000000"/>
              </w:rPr>
              <w:t xml:space="preserve"> </w:t>
            </w:r>
            <w:r>
              <w:rPr>
                <w:rFonts w:ascii="Times New Roman;serif" w:hAnsi="Times New Roman;serif"/>
                <w:b w:val="false"/>
                <w:color w:val="000000"/>
                <w:sz w:val="20"/>
              </w:rPr>
              <w:t xml:space="preserve">(filed as Exhibit 10.1 to the Company’s Current Report on Form 8-K filed with the SEC on January 21, 2026 (File No. 001-36383) and incorporated by reference herein).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10.</w:t>
              </w:r>
            </w:hyperlink>
            <w:hyperlink r:id="rId8">
              <w:r>
                <w:rPr>
                  <w:rStyle w:val="InternetLink"/>
                  <w:rFonts w:ascii="Times New Roman;serif" w:hAnsi="Times New Roman;serif"/>
                  <w:b w:val="false"/>
                  <w:color w:val="000080"/>
                  <w:sz w:val="20"/>
                  <w:u w:val="single"/>
                </w:rPr>
                <w:t>2</w:t>
              </w:r>
            </w:hyperlink>
            <w:hyperlink r:id="rId9">
              <w:r>
                <w:rPr>
                  <w:rStyle w:val="InternetLink"/>
                  <w:rFonts w:ascii="Wingdings 2;sans-serif" w:hAnsi="Wingdings 2;sans-serif"/>
                  <w:b w:val="false"/>
                  <w:color w:val="0000FF"/>
                  <w:sz w:val="16"/>
                  <w:u w:val="single"/>
                </w:rPr>
                <w:t>Ø</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dated as of February 17, 2026, to Cooperation Letter Agreement, dated December 8, 2024, between Five9, Inc. and Anson Funds Management LP, Anson Advisors Inc. and certain other parties</w:t>
              </w:r>
            </w:hyperlink>
            <w:r>
              <w:rPr>
                <w:rFonts w:ascii="Times New Roman;serif" w:hAnsi="Times New Roman;serif"/>
                <w:b w:val="false"/>
                <w:color w:val="000000"/>
                <w:sz w:val="20"/>
              </w:rPr>
              <w:t xml:space="preserve">. (filed as Exhibit 10.1 to the Company’s Current Report on Form 8-K filed with the SEC on February 20, 2026 (File No. 001-36383) and incorporated by reference herein).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20"/>
                  <w:u w:val="single"/>
                </w:rPr>
                <w:t>10.</w:t>
              </w:r>
            </w:hyperlink>
            <w:hyperlink r:id="rId12">
              <w:r>
                <w:rPr>
                  <w:rStyle w:val="InternetLink"/>
                  <w:rFonts w:ascii="Times New Roman;serif" w:hAnsi="Times New Roman;serif"/>
                  <w:b w:val="false"/>
                  <w:color w:val="000080"/>
                  <w:sz w:val="20"/>
                  <w:u w:val="single"/>
                </w:rPr>
                <w:t>3</w:t>
              </w:r>
            </w:hyperlink>
            <w:hyperlink r:id="rId13">
              <w:r>
                <w:rPr>
                  <w:rStyle w:val="InternetLink"/>
                  <w:rFonts w:ascii="Wingdings 2;sans-serif" w:hAnsi="Wingdings 2;sans-serif"/>
                  <w:b w:val="false"/>
                  <w:color w:val="0000FF"/>
                  <w:sz w:val="16"/>
                  <w:u w:val="single"/>
                </w:rPr>
                <w:t>Ø</w:t>
              </w:r>
            </w:hyperlink>
            <w:hyperlink r:id="rId14">
              <w:r>
                <w:rPr>
                  <w:rStyle w:val="InternetLink"/>
                  <w:rFonts w:ascii="Times New Roman;serif" w:hAnsi="Times New Roman;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Five9, Inc. Performance-Based Restricted Stock Unit Grant Notice and Award Agreement for 2026-2028 Performance Period - 2014 Equity Incentive Plan (Amit Mathradas)</w:t>
              </w:r>
            </w:hyperlink>
            <w:r>
              <w:rPr>
                <w:color w:val="000000"/>
              </w:rPr>
              <w:t xml:space="preserve"> </w:t>
            </w:r>
            <w:r>
              <w:rPr>
                <w:rFonts w:ascii="Times New Roman;serif" w:hAnsi="Times New Roman;serif"/>
                <w:b w:val="false"/>
                <w:color w:val="000000"/>
                <w:sz w:val="20"/>
              </w:rPr>
              <w:t xml:space="preserve">(filed as Exhibit 10.17 to the Company’s Annual Report on Form 10-K filed with the SEC on February 20, 2026 (File No. 001-36383) and incorporated by reference herein).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4five9prsunoticeanda.htm">
              <w:r>
                <w:rPr>
                  <w:rStyle w:val="InternetLink"/>
                  <w:rFonts w:ascii="Times New Roman;serif" w:hAnsi="Times New Roman;serif"/>
                  <w:b w:val="false"/>
                  <w:color w:val="000080"/>
                  <w:sz w:val="20"/>
                  <w:u w:val="single"/>
                </w:rPr>
                <w:t>10.</w:t>
              </w:r>
            </w:hyperlink>
            <w:hyperlink w:anchor="ex104five9prsunoticeanda.htm">
              <w:r>
                <w:rPr>
                  <w:rStyle w:val="InternetLink"/>
                  <w:rFonts w:ascii="Times New Roman;serif" w:hAnsi="Times New Roman;serif"/>
                  <w:b w:val="false"/>
                  <w:color w:val="000080"/>
                  <w:sz w:val="20"/>
                  <w:u w:val="single"/>
                </w:rPr>
                <w:t>4</w:t>
              </w:r>
            </w:hyperlink>
            <w:hyperlink w:anchor="ex104five9prsunoticeanda.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4five9prsunoticeanda.htm">
              <w:r>
                <w:rPr>
                  <w:rStyle w:val="InternetLink"/>
                  <w:rFonts w:ascii="Times New Roman;serif" w:hAnsi="Times New Roman;serif"/>
                  <w:b w:val="false"/>
                  <w:color w:val="0000FF"/>
                  <w:sz w:val="20"/>
                  <w:u w:val="single"/>
                </w:rPr>
                <w:t>Five9, Inc. Performance-Based Restricted Stock Unit Grant Notice and Award Agreement for 2026-2028 Performance Period - 2014 Equity Incentive Plan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11.htm">
              <w:r>
                <w:rPr>
                  <w:rStyle w:val="InternetLink"/>
                  <w:rFonts w:ascii="Times New Roman;serif" w:hAnsi="Times New Roman;serif"/>
                  <w:b w:val="false"/>
                  <w:color w:val="0000FF"/>
                  <w:sz w:val="20"/>
                  <w:u w:val="single"/>
                </w:rPr>
                <w:t>Certification of Chief Executive Officer of Five9, Inc.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12.htm">
              <w:r>
                <w:rPr>
                  <w:rStyle w:val="InternetLink"/>
                  <w:rFonts w:ascii="Times New Roman;serif" w:hAnsi="Times New Roman;serif"/>
                  <w:b w:val="false"/>
                  <w:color w:val="0000FF"/>
                  <w:sz w:val="20"/>
                  <w:u w:val="single"/>
                </w:rPr>
                <w:t>Certification of Chief Financial Officer of Five9, Inc.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hibit321.htm">
              <w:r>
                <w:rPr>
                  <w:rStyle w:val="InternetLink"/>
                  <w:rFonts w:ascii="Times New Roman;serif" w:hAnsi="Times New Roman;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Labels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as inline XBRL and contained in Exhibit 101.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erif" w:hAnsi="Times New Roman;serif"/>
          <w:b w:val="false"/>
          <w:color w:val="000000"/>
          <w:sz w:val="20"/>
        </w:rPr>
        <w:t xml:space="preserve">Previously filed. </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management contract or compensatory plan.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e7e7ea09ff34f69bc634eb1d2db48d9_7">
        <w:r>
          <w:rPr>
            <w:rStyle w:val="InternetLink"/>
            <w:rFonts w:ascii="Times New Roman;serif" w:hAnsi="Times New Roman;serif"/>
            <w:b w:val="false"/>
            <w:color w:val="0000FF"/>
            <w:sz w:val="20"/>
            <w:u w:val="single"/>
          </w:rPr>
          <w:t>Table of Contents</w:t>
        </w:r>
      </w:hyperlink>
    </w:p>
    <w:p>
      <w:pPr>
        <w:pStyle w:val="TextBody"/>
        <w:bidi w:val="0"/>
        <w:spacing w:lineRule="auto" w:line="312"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1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spacing w:before="0" w:after="0"/>
        <w:jc w:val="center"/>
        <w:rPr/>
      </w:pPr>
      <w:bookmarkStart w:id="0" w:name="ex104five9prsunoticeanda.htm"/>
      <w:bookmarkStart w:id="1" w:name="ksex104five9prsunoticeanda"/>
      <w:bookmarkEnd w:id="0"/>
      <w:bookmarkEnd w:id="1"/>
      <w:r>
        <w:rPr/>
        <w:drawing>
          <wp:inline distT="0" distB="0" distL="0" distR="0">
            <wp:extent cx="10048875" cy="130016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2014 Equity Incentive Plan and Plan Prospectus available on Company’s intranet site: intranet.five9.com EXHIBIT 10.4. FIVE9, INC. PERFORMANCE –BASED RESTRICTED STOCK UNIT GRANT NOTICE 2014 EQUITY INCENTIVE PLAN Five9, Inc. (the “Company”) hereby awards to Participant the number of performance-based restricted stock units (“PRSUs”) set forth below (the “Award”). The Award is subject to all of the terms and conditions as set forth in this Performance-Based Restricted Stock Unit Grant Notice (the “Notice”), the 2014 Equity Incentive Plan (the “Plan”) and the Performance-Based Restricted Stock Unit Agreement (the “Award Agreement”), both of which are attached hereto and incorporated in their entirety. Capitalized terms not explicitly defined in this Notice but defined in the Plan or the Award Agreement will have the same definitions as in the Plan or the Award Agreement. In the event of any conflict between the terms of the Award and the Plan, the terms of the Plan will control. Participant: Date of Grant: Performance Period: January 1, 2026 – December 31, 2028 Target Number of PRSUs: Maximum Number of PRSUs: Vesting Schedule: (a) Subject to the conditions in paragraph (b) and Exhibit A to the Award Agreement, between 0% and 200% of the PRSUs will be earned and vest on the based on the achievement of the Vesting Criteria (as defined in Exhibit A to the Award Agreement) approved by the Committee on or before the Date of Grant as set forth on Exhibit A to the Award Agreement as follows: (i) Up to 60% of the Maximum Number of PRSUs will be eligible to vest based on achievement of the Vesting Criteria for the period from January 1, 2026 through December 31, 2027 (the “First Measurement Period”), with any fractional shares being rounded down to the nearest whole share; and (ii) Up to 40% of the Maximum Number of PRSUs will be eligible to vest based on achievement of the Vesting Criteria for the period from January 1, 2026 through December 31, 2028 (the “Second Measurement Period”, together with the First Measurement Period, the “Performance Period” and each a “Measurement Period”). (iii) Each installment of PRSUs that vests hereunder is a “separate payment” for purposes of Treasury Regulations Section 1.409A-2(b)(2). (b) The vesting of the PRSUs is contingent upon: (i) a determination by the Committee that the Vesting Criteria have been satisfied and the PRSUs have been earned for the applicable Measurement Period; and (ii) the Participant’s Continuous Service from the Date of Grant through the Determination Date (as defined in Exhibit A to the Award Agreement) for the applicable Measurement Period. (c) Notwithstanding paragraphs (a) and (b) above, if (i) the Participant’s Continuous Service ends prior to the Determination Date for the Second Measurement Period due to the Participant’s death or Disability (as defined in the Plan) or (ii) a Change in Control occurs, vesting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2014 Equity Incentive Plan and Plan Prospectus available on Company’s intranet site: intranet.five9.com PRSUs will be as set forth in Sections 5(b) through (f) of Appendix A to the Award Agreement, as applicable. Issuance Schedule: Subject to any change on a Capitalization Adjustment, one share of Common Stock will be issued for each PRSU that vests at the time set forth in the Award Agreement, but in all cases within the “short term deferral” period determined under Treasury Regulations Section 1.409A-1(b)(4). Additional Terms/Acknowledgements: Participant acknowledges receipt of, and understands and agrees to, this Notice, the Award Agreement (including Exhibit A thereto), the Plan and the prospectus for the Plan. As of the Date of Grant, this Notice, the Award Agreement (including Exhibit A thereto) and the Plan set forth the entire understanding between Participant and the Company regarding the Award and supersede all prior oral and written agreements on the terms of the Award, with the exception, if applicable,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 FIVE9, INC. PARTICIPANT: By: Signature Signature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FIVE9, INC. 2014 EQUITY INCENTIVE PLAN PERFORMANCE-BASED RESTRICTED STOCK UNIT AGREEMENT Five9, Inc. (the “Company”) has awarded you a performance-based Restricted Stock Unit Award (the “Award”) that is subject to its 2014 Equity Incentive Plan (the “Plan”), the Performance-Based Restricted Stock Unit Grant Notice (the “Grant Notice”) and this Performance-Based Restricted Stock Unit Agreement (the “Agreement”), for the number of performance-based Restricted Stock Units indicated in the Grant Notice. Capitalized terms not explicitly defined in this Agreement or in the Grant Notice but defined in the Plan will have the same definitions as in the Plan. In the event of any conflict between the terms in this Agreement and the Plan, the terms of the Plan will control. 1. GRANT OF THE AWARD. The Award represents your right to be issued on a future date one share of Common Stock for each performance-based Restricted Stock Unit that vests. 2. VESTING. Your performance-based Restricted Stock Units will vest as provided in the Grant Notice and Exhibit A to the Agreement. Except as otherwise provided in the Grant Notice or in Exhibit A to the Agreement, (i) vesting will cease on the termination of your Continuous Service and (ii) any performance-based Restricted Stock Units that have not vested (after taking into account any (A) acceleration that occurs on your termination or (B) potential vesting that could occur after your termination, as provided in the Grant Notice or Exhibit A to the Agreement) will be forfeited on the termination of your Continuous Service. 3. ADJUSTMENTS TO NUMBER OF PRSUS &amp; SHARES OF COMMON STOCK. (a) The performance-based Restricted Stock Units subject to your Award will be adjusted for Capitalization Adjustments, as provided in the Plan. (b) Any additional performance-based Restricted Stock Units and any shares, cash or other property that become subject to the Award will be subject, in a manner determined by the Board, to the terms of the Award, including the same forfeiture restrictions, restrictions on transferability, and time and manner of delivery as applicable to the other performance-based Restricted Stock Units and shares covered by your Award. (c) You have no rights to be issued any fractional share of Common Stock or cash in lieu of such fractional share under this Award. Any fraction of a share will be rounded down to the nearest whole share. 4. SECURITIES LAW COMPLIANCE. You will not be issued any Common Stock underlying the performance-based Restricted Stock Units or other shares with respect to your performance-based Restricted Stock Units unless either (i) the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shares underlying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your performance-based Restricted Stock Units if the Company determines that such receipt would not be in material compliance with such laws and regulations. 5. TRANSFERABILITY. Prior to the time that shares of Common Stock have been delivered to you, you may not transfer, pledge, sell or otherwise dispose of any portion of the performance-based Restricted Stock Units or the shares in respect of your performance-based Restricted Stock Units. For example, you may not use shares that may be issued in respect of your performance-based Restricted Stock Units as security for a loan, nor may you transfer, pledge, sell or otherwise dispose of such shares. This restriction on transfer will lapse on delivery to you of shares in respect of your vested performance-based Restricted Stock Units. (a) Death. Your performance-based Restricted Stock Units are not transferable other than by will and by the laws of descent and distribution. At your death, your executor or administrator of your estate will be entitled to receive, on behalf of your estate, Common Stock or other consideration under this Award. (b) Domestic Relations Orders. If you receive written permission from the Board or its duly authorized designee, and provided that you and the designated transferee enter into transfer and other agreements required by the Company, you may transfer your right to receive the distribution of Common Stock or other consideration under your performance-based Restricted Stock Units, in accordance with a domestic relations order or official marital settlement agreement that contains the information required by the Company to effectuate the transfer. You are encouraged to discuss with the Company’s Chief Administrative and Legal Officer the proposed terms of any such transfer prior to finalizing the domestic relations order or marital settlement agreement to verify that you may make such transfer, and if so, to help ensure the required information is contained within the domestic relations order or marital settlement agreement. The Company is not obligated to allow you to transfer your Award in connection with your domestic relations order or marital settlement agreement. 6. DATE OF ISSUANCE. (a) The issuance of shares in respect of the vested portion of performance- based Restricted Stock Units is intended to comply with Treasury Regulations Section 1.409A- 1(b)(4) and will be construed and administered in such a manner. As a result, the shares will be issued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Subject to the foregoing, unless otherwise determined by the Committee, the issuance of the shares underlying vested performance-based Restricted Stock Units will be delayed until the first business day on which such shares may be sold by you to satisfy the Company’s required tax withholding obligations. (b) If the Company determines that it is necessary to comply with applicable tax laws, the shares will be issued no later than December 31 of the calendar year in which the shares are no longer subject to a “substantial risk of forfeiture” within the meaning of Treasury Regulations Section 1.409A-1(d).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 DIVIDENDS. You will receive no benefit or adjustment to your performance-based Restricted Stock Units with respect to any cash dividend, stock dividend or other distribution except as provided in the Plan with respect to a Capitalization Adjustment. 8. RESTRICTIVE LEGENDS. The Common Stock issued with respect to your performance-based Restricted Stock Units will be endorsed with appropriate legends determined by the Company. 9. AWARD NOT A SERVICE CONTRACT. Your Continuous Service is not for any specified term and may be terminated by you or by the Company or an Affiliate at any time, for any reason, with or without cause and with or without notice. Nothing in this Agreement (including, but not limited to, the vesting of your performance-based Restricted Stock Units or the issuance of the shares subject to your performance-based Restricted Stock Units), the Plan or any covenant of good faith and fair dealing that may be found implicit in this Agreement or the Plan shall: (i) confer 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 10. WITHHOLDING OBLIGATIONS. (a) On each vesting date, and on or before the time you receive a distribution of the shares underlying your performance-based Restricted Stock Units, and at any other time as reasonably requested by the Company in accordance with applicable tax laws, you agree to make adequate provision for any sums required to satisfy the federal, state, local and foreign tax withholding obligations of the Company or any Affiliate that arise in connection with your Award (the “Withholding Taxes”). Specifically, the Company or an Affiliate may, in its sole discretion, satisfy all or any portion of the Withholding Taxes relating to your Award by any of the following means or by a combination of such means: (i) withholding from any compensation otherwise payable to you by the Company or an Affiliate; (ii) causing you to tender a cash payment (which may be in the form of a check, electronic wire transfer or other method permitted by the Company); (iii) permitting or requiring you to enter into a “same day sale” commitment with a broker-dealer that is a member of the Financial Industry Regulatory Authority (a “FINRA Dealer”) whereby you irrevocably elect to sell a portion of the shares to be delivered in connection with your performance-based Restricted Stock Units to satisfy the Withholding Taxes and whereby the FINRA Dealer irrevocably commits to forward the proceeds necessary to satisfy the Withholding Taxes directly to the Company and/or its Affiliates; or (iv) subject to the approval of the independent members of the Board, withholding shares of Common Stock from the shares of Common Stock issued or otherwise issuable to you in connection with your performance-based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and foreign tax purposes, including payroll taxes, that are applicable to supplemental taxable income. (b) Unless the Withholding Taxes of the Company and/or any Affiliate are satisfied, the Company will have no obligation to deliver to you any Common Stock. (c) If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 11. UNSECURED OBLIGATION. Your Award is unfunded, and as a holder of vested performance-based Restricted Stock Units, you will be considered an unsecured creditor of the Company with respect to the Company’s obligation, if any, to issue shares or other property pursuant to this Agreement. You will not have voting or any other rights as a stockholder of the Company with respect to the shares to be issued pursuant to this Agreement until such shares are issued to you. On such issuance, you will obtain full voting and other rights as a stockholder of the Company. Nothing contained in this Agreement, and no action taken pursuant to its provisions, will create or be construed to create a trust of any kind or a fiduciary relationship between you and the Company or any other person. 12. NOTICES. Any notices provided for in this Agreement or the Plan will be given in writing (including electronically) and will be deemed effectively given on receipt or, in the case of notices delivered by the Company to you, five days after deposit in the U.S.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 13. MISCELLANEOUS. (a) The rights and obligations of the Company under your Award will be transferable to any one or more persons or entities, and all covenants and agreements hereunder will inure to the benefit of, and be enforceable by the Company’s successors and assigns. (b) You agree on request to execute any further documents or instruments necessary or desirable in the sole determination of the Company to carry out the purposes or intent of your Award. (c) You acknowledge and agree that you have reviewed your Award in its entirety, have had an opportunity to obtain the advice of counsel prior to executing and accepting your Award, and fully understand all provisions of your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 This Agreement will be subject to all applicable laws, rules, and regulations, and to such approvals by any governmental agencies or national securities exchanges as may be required. (e) 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 14. GOVERNING PLAN DOCUMENT.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on a Resignation for Good Reason, or for a “constructive termination” or any similar term under any plan of or agreement with the Company. You hereby acknowledge receipt or the right to receive a document providing the information required by Rule 428(b)(1) promulgated under the Securities Act, which includes the Plan prospectus. In addition, you acknowledge receipt of the Company’s policy permitting officers and directors to sell shares only during certain “window” periods and the Company’s insider trading policy, in effect from time to time. 15. SEVERABILITY. If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 16. EFFECT ON OTHER EMPLOYEE BENEFIT PLANS. The value of the Award subject to this Agreement will not be included 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 17. AMENDMENT. Any amendment to this Agreement must be in writing, signed by a duly authorized representative of the Company. The Board reserves the right to amend this Agreement in any way it may deem necessary or advisable to carry out the purpose of the grant as a result of any change in applicable laws or regulations or any future law, regulation, interpretation, ruling, or judicial decision. 18. COMPLIANCE WITH SECTION 409A OF THE CODE. This Award is intended to comply with the “short-term deferral” rule set forth in Treasury Regulation Section 1.409A-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1(b)(4). However, if this Award fails to satisfy the requirements of the short-term deferral rule and is otherwise not exempt from, and therefore deemed to be deferred compensation subject to, Section 409A of the Code, and if you are a “Specified Employee” (within the meaning set forth Section 409A(a)(2)(B)(i) of the Code) as of the date of your separation from service (within the meaning of Treasury Regulation Section 1.409A-1(h)), then the issuance of any shares that would otherwise be made on the date of the separation from service or within the first six months thereafter will not be made on the originally scheduled dates and will instead be issued in a lump sum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you in respect of the shares under Section 409A of the Code. Each installment of shares that vests is a “separate payment” for purposes of Treasury Regulation Section 1.409A-2(b)(2). 19. NO OBLIGATION TO MINIMIZE TAXES. 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 FIVE9, INC. 2014 EQUITY INCENTIVE PLAN Performance-Based Restricted Stock Unit Award Vesting Criteria The number of performance-based Restricted Stock Units (“PRSUs”) that may vest will be determined in accordance with the following criteria (the “Vesting Criteria”). Certain capitalized terms used herein have the meanings set forth in Section 6 of this Exhibit A to the Performance-Based Restricted Stock Unit Agreement (the “Agreement”). Capitalized terms not explicitly defined in this Exhibit A to the Agreement but defined in the Plan, the Agreement or the Performance-Based Restricted Stock Unit Award Grant Notice (the “Grant Notice”) will have the same definitions as in the Plan, the Agreement or the Grant Notice. 1. PERFORMANCE PERIOD; MEASUREMENT PERIODS. The overall performance period for the PRSUs shall be the period of time beginning January 1, 2026 and ending on December 31, 2028 (the “Performance Period”). During the Performance Period there will be two separate measurement periods of the Performance Goals described in Section 3 (each, a “Measurement Period”). The start dates and end dates for the First Measurement Period and Second Measurement Period are: First Measurement Period Second Measurement Period Start Date January 1, 2026 January 1, 2026 End Date December 31, 2027 December 31, 2028 2. TARGET AND MAXIMUM NUMBER OF PRSUS. The Target Number of PRSUs for the First Measurement Period is equal to 60% of the Target Number of PRSUs specified in the Grant Notice, and the Target Number of PRSUs for the Second Measurement Period is equal to 40% of the Target Number of PRSUs specified in the Grant Notice (with the portion allocated to the First Measurement Period rounded down to the nearest whole share and the portion allocated to the Second Measurement Period rounded up to the nearest whole share). The Maximum Number of PRSUs for the First Measurement Period is equal to 60% of the Maximum Number of PRSUs specified in the Grant Notice and the Maximum Number of PRSUs for the Second Measurement Period is equal to 40% of the Maximum Number of PRSUs specified in the Grant Notice (with the portion allocated to the First Measurement Period rounded down to the nearest whole share and the portion allocated to the Second Measurement Period rounded up to the nearest whole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First Measurement Period Second Measurement Period Target Number of PRSUs Maximum Number of PRSUs 3. PERFORMANCE GOALS. The total number of PRSUs that will vest is based on the level of achievement of the following two Performance Goals during each Measurement Period: (a) TSR Percentile Rank (weighted 30%) and (b) Subscription Revenue Growth Rate (CAGR) (weighted 70%). The following table sets forth the Target and Maximum Number of PRSUs that may vest for each Measurement Period based on achievement of the applicable Performance Goal: First Measurement Period Second Measurement Period TSR Percentile Rank PRSUs Target Maximum Subscription Revenue Growth Rate (CAGR) PRSUs Target Maximum 4. NORMAL VESTING PROVISIONS. (a) As soon as practicable within the 60-day period following the last day of each Measurement Period, the Committee shall determine the applicable number of PRSUs that will vest based on the TSR Payout Percentage and the Subscription Revenue Growth Rate (CAGR) Payout Percentage for the applicable Measurement Period. The date of the Committee’s determination and the date such vesting will occur is the “Determination Date.” (b) As determined by the Committee on the Determination Date following the First Measurement Period, (i) the number of TSR Percentile Rank PRSUs that will vest shall equal (1) the TSR Payout Percentage for the First Measurement Period multiplied by (2) the Target Number of TSR Percentile Rank PRSUs for the First Measurement Period, and (ii) the number of Subscription Revenue Growth Rate (CAGR) PRSUs that will vest shall equal (1) the Subscription Revenue Growth Rate (CAGR) Payout Percentage for the First Measurement Period multiplied by (2) the Target Number of Subscription Revenue Growth Rate (CAGR) PRSUs for the First Measurement Period, in each case, with such number of PRSUs rounded down to the nearest whole unit. Such vested PRSUs will be settled in shares as soon as practicable thereafter, but in no event later than the time period set forth in Section 6 of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As determined by the Committee on the Determination Date following the Second Measurement Period, (i) the number of TSR Percentile Rank PRSUs that will vest shall equal (1) the TSR Payout Percentage for the Second Measurement Period multiplied by (2) the Target Number of TSR Percentile Rank PRSUs for the Second Measurement Period, and (ii) the number of Subscription Revenue Growth Rate (CAGR) PRSUs that will vest shall equal (1) the Subscription Revenue Growth Rate (CAGR) Payout Percentage for the Second Measurement Period multiplied by (2) the Target Number of Subscription Revenue Growth Rate (CAGR) PRSUs for the Second Measurement Period, in each case, with such number of PRSUs rounded down to the nearest whole unit. Such vested PRSUs will be settled in shares as soon as practicable thereafter, but in no event later than the time period set forth in Section 6 of the Agreement. (d) Notwithstanding anything to the contrary herein, (i) in no event shall (1) the aggregate number of PRSUs that vest exceed the Maximum Number of PRSUs specified in the Grant Notice, (2) the number of PRSUs that vest based on the TSR Payout Percentage exceed the Maximum Number of TSR Percentile Rank PRSUs, and (3) the number of PRSUs that vest based on the Subscription Revenue Growth Rate (CAGR) Payout Percentage exceed the Maximum Number of Subscription Revenue Growth Rate (CAGR) PRSUs and (ii) in the event the Company’s TSR for any Measurement Period is negative, the TSR Payout Percentage used by the Committee to determine the number of TSR Percentile Rank PRSUs for such Measurement Period that will vest pursuant to Section 4(b) or (c) shall not exceed 100%. (e) Any PRSUs that do not vest on the Determination Date following the applicable Measurement Period shall immediately terminate and be forfeited. 5. Service Requirement. (a) Except as specifically provided in Section 5(b), (c), (d), (e) or (f) below, you must remain in Continuous Service through the Determination Date for the applicable Measurement Period in order for the applicable portion of the PRSUs specified in Section 4 to vest. Any PRSUs that vest upon a Determination Date or on another date as described in this Section 5 shall be settled in shares as soon as practicable thereafter, but in no event later than the time period set forth in Section 6 of the Agreement. (b) In the event your Continuous Service ends prior to the Determination Date for the Second Measurement Period due to your death, 100% of the PRSUs that are allocated to Measurement Periods that were incomplete on the date of such termination will have the opportunity to vest in accordance with Section 4 as if you had remained in Continuous Service until the Determination Date for each applicable Measurement Period. (c) In the event your Continuous Service is terminated by the Company prior to the Determination Date for the Second Measurement Period due to your Disability (as defined in the Plan), (i) 50% of the PRSUs that are allocated to Measurement Periods that were incomplete as of the date of such termination will have the opportunity to vest in accordance with Section 4 as if you had remained in Continuous Service until the Determination Date for each applicable Measurement Period, and (ii) the remaining 50% of the unvested PRSUs will be forfeited on the date of such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 Notwithstanding anything to the contrary in the Agreement, if a Change in Control occurs prior to the Determination Date for the Second Measurement Period and the PRSUs are not replaced with a Replacement Award, then all of the PRSUs for any incomplete Measurement Period shall immediately vest in the sum of the following amounts and shall be immediately settled in shares in connection with the Change in Control: (i) the number of TSR Percentile Rank PRSUs determined based on the level of achievement of the TSR Payout Percentage for the portion of the Measurement Period(s) in which the Change in Control occurs, prorated based on a fraction, the numerator of which is the number of days in the applicable Measurement Period prior to the date of the Change in Control and the denominator of which is the total number of days in such Measurement Period, measured from the first day of such Measurement Period through the date of the Change in Control, calculated in accordance with Section 4, except using the date of the Change in Control as the last date of the Measurement Period and using the per share price paid to the Company’s shareholders in such Change in Control as the Ending Period Average Price for the Company for such Measurement Period; (ii) the number of Subscription Revenue Growth Rate (CAGR) PRSUs determined based on the greater of target or actual level of achievement, if measurable, of the Subscription Revenue Growth Rate (CAGR) Payout Percentage for the portion of the Measurement Period(s) in which the Change in Control occurs, prorated based on the fraction described in Section 4(d)(i), measured from the first day of such Measurement Period through the date of the Change in Control, calculated in accordance with Section 4, except using the date of the Change in Control as the last date of the Measurement Period; and (iii) the Target Number of PRSUs for any incomplete Measurement Periods, including a pro-rated portion of the Target Number of PRSUs for the Measurement Period(s) in which the Change in Control occurs, pro-rated based on a fraction, the numerator of which is the number of days in the applicable Measurement Period following the date of Change in Control and the denominator of which is the total number of days in such Measurement Period, measured for the portion of such Measurement Period beginning on the day immediately following the day the Change in Control occurs and ending on the last day of such Measurement Period. (e) If a Change in Control occurs prior to the Determination Date for the Second Measurement Period and the PRSUs are replaced with a Replacement Award, then the unvested portion of such Replacement Award shall immediately vest in full if you experience a Change in Control Termination (as defined in the Company’s 2019 Key Employee Severance Benefit Plan (the “KESP”)) and shall be paid to you within 10 days following the later of such Change in Control Termination or the Change in Control. (f) If your employment with the Company is terminated prior to a Change in Control and prior to the Determination Date for the Second Measurement Period due to a Constructive Termination or a termination by the Company without Cause (each as defined in the KESP), and a Change in Control occurs within three months following such termination of employment, then all of the PRSUs for any Measurement Period that was incomplete at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such termination shall immediately vest upon the Change in Control in the following amounts, and such amounts will be paid to you within 10 days following the Change in Control: (i) to the extent that such termination occurs in a Measurement Period that is (a) incomplete as of the date such termination occurs and (b) complete prior to the date of the Change in Control, then the number of PRSUs determined based on the level of achievement of the Performance Goals for such Measurement Period (if applicable); (ii) the number of TSR Percentile Rank PRSUs determined based on the level of achievement of the TSR Payout Percentage for the portion of the Measurement Period(s) in which the Change in Control occurs, prorated based on the fraction described in Section 5(d)(i), measured from the first day of such Measurement Period through the date of the Change in Control, calculated in accordance with Section 4, except using the date of the Change in Control as the last date of the Measurement Period and using the per share price paid to the Company’s shareholders in such Change in Control as the Ending Period Average Price for the Company for such Measurement Period, (iii) the number of Subscription Revenue Growth Rate (CAGR) PRSUs determined based on the greater of target or actual level of achievement, if measurable, of the Subscription Revenue Growth Rate (CAGR) Payout Percentage for the portion of the Measurement Period(s) in which the Change in Control occurs, prorated based on the fraction described in Section 5(d)(i), measured from the first day of such Measurement Period through the date of the Change in Control, calculated in accordance with Section 4, except using the date of the Change in Control as the last date of the Measurement Period; and (iv) the Target Number of PRSUs for any incomplete Measurement Periods, including a pro-rated portion of the Target Number of PRSUs for the Measurement Period(s) in which the Change in Control occurs, prorated based on the fraction described in Section 5(d)(iii), measured for the portion of such Measurement Period beginning on the day immediately following the day the Change in Control occurs and ending on the last day of such Measurement Period. For the avoidance of doubt, if your employment is terminated due to a Constructive Termination or by the Company without Cause prior to a Change in Control, the unvested PRSUs shall remain outstanding for three months such that they may have an opportunity to vest in accordance with this Section if a Change in Control occurs within such time. 6. Definitions. For purposes of this Award, the following definitions will apply: (a) “Baseline Measurement Period Subscription Revenue” means the Subscription Revenue for the fiscal year ending immediately prior to the first day of the applicable Measurement Period. (b) “Beginning Period Average Price” means the average closing price per share of the relevant company over the 30 consecutive trading days prior to the first day of the applicable Measurement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 “Ending Measurement Period Subscription Revenue” means the Subscription Revenue for the period ending on the last day of the applicable Measurement Period. (d) “Ending Period Average Price” means the average closing price per share of the company over the 30 consecutive trading days ending with and including the last day of the applicable Measurement Period. (e) “Index Companies” means the companies that were included in the S&amp;P Software &amp; Services Select Industry Index on January 1, 2026. The Index Companies may be changed as follows: (i) in the event of a merger, acquisition or business combination transaction of an Index Company with or by another Index Company, the surviving entity shall remain an Index Company; (ii) in the event of a merger, acquisition, or business combination transaction of an Index Company with or by another company that is not an Index Company, or “going private transaction” where the Index Company is not the surviving entity or is otherwise no longer publicly traded, the company shall no longer be an Index Company; and (iii) in the event of a bankruptcy of an Index Company, such company shall remain an Index Company and its stock price will continue to be tracked for purposes of the TSR Percentile Rank, and if the company liquidates, it will remain an Index Company and its stock price will be reduced to zero for all remaining Measurement Periods in the Performance Period. (f) “Replacement Award” means an award that (i) preserves the value of the PRSUs and has terms at least as favorable to you as the terms and conditions in effect immediately prior to the Change in Control; (ii) has a value at least equal to the sum of (1) the value of PRSUs determined at least at the Target level for the portion of any Measurement Periods that were incomplete at the time of the Change in Control, including a prorated number of PRSUs for the portion of the Measurement Period(s) in which the Change in Control occurs, prorated based on the fraction described in Section 5(d)(iii), measured from the day immediately following the day the Change in Control occurs and ending on the last day of such Measurement Period and (2) the value of any PRSUs that would have been earned based on (A) for TSR Percentile Rank, the actual level at which the Performance Goals were satisfied for the portion of the Measurement Period(s) in which the Change in Control occurs and (B) for Subscription Revenue Growth Rate (CAGR), the greater of the Target level and, if measurable, the actual level at which the Performance Goals were satisfied for the portion of the Measurement Period(s) in which the Change in Control occurs, in each case prorated based on the fraction described in Section 5(d)(i) or 5(d)(ii), as applicable, measured from the first day of such Measurement Period to the date of the Change in Control, calculated in accordance with Section 4, except using the date of the Change in Control as the last date of the Measurement Period and, solely with respect to TSR Percentile Rank, using the per share price paid to the Company’s shareholders in such Change in Control as the Ending Period Average Price for the Company for such Measurement Period; (iii) continues to comply with Treasury Regulations Section 1.409A- 1(b)(4); and (iv) is subject to only time-based vesting. (g) “Subscription Revenue” means the consolidated subscription revenue of the Company and its subsidiaries. The Committee shall have the authority to make appropriate equitable adjustments in calculating Subscription Revenue to exclude the effect (whether positive or negative) of (i) mergers, acquisitions, divestitures or other similar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combination transactions; (ii) foreign currency and exchange rate fluctuations; (iii) changes in statutory accounting principles or GAAP; and (iv) other extraordinary, unusual and infrequently occurring events and transactions affecting Subscription Revenue. (h) “Subscription Revenue Growth Rate (CAGR)” will be calculated using the following formula: (Ending Measurement Period Subscription Revenue / Baseline Measurement Period Subscription Revenue)1/N - 1 Where: “N” equals (i) 2 for the First Measurement Period and (ii) 3 for the Second Measurement Period). (i) “Subscription Revenue Growth Rate (CAGR) Payout Percentage” means the percentage that corresponds to the Subscription Revenue Growth Rate (CAGR) specified below: Subscription Revenue Growth Rate (CAGR) Subscription Revenue Growth Rate (CAGR) Payout Percentage 15% 200% (Maximum) 12% 100% (Target) 10% 50% (Threshold) Less than 10% 0% The Subscription Revenue Growth Rate (CAGR) Payout Percentage is interpolated linearly, rounded up to the nearest decimal point, between each of the levels in the table above, except the Subscription Revenue Growth Rate (CAGR) Payout Percentage shall be 0% in the event the Subscription Revenue Growth Rate (CAGR) is below 10%. (j) “TSR” means total shareholder return as determined by dividing (i) the sum of (A) the Ending Period Average Price minus the Beginning Period Average Price plus (B) all dividends and other distributions paid on the company’s shares during the applicable period by (ii) the Beginning Period Average Price, in each case adjusted for stock splits and other changes in capital structure. In calculating TSR, all dividends are assumed to have been reinvested in shares on the ex-dividend date. The Committee shall have the authority to make appropriate equitable adjustments to account for extraordinary, unusual and infrequently occurring events and transactions affecting the TSR. (k) “TSR Payout Percentage” means the percentage that corresponds to the TSR Percentile Rank specified below: TSR Percentile Rank TSR Payout Percentage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≥75th percentile 200% (Maximum) 55th percentile 100% (Target) 25th percentile 50% (Threshold) &lt;25th percentile 0% The TSR Payout Percentage is interpolated linearly, rounded up to the nearest decimal point, between each of the levels in the table above, except the TSR Payout Percentage shall be 0% in the event the TSR Percentile Rank is below the 25th percentile. (l) “TSR Percentile Rank” means the percentile ranking of the Company’s TSR among the TSRs for the Index Companies for the applicable period determined by ranking the Index Companies from highest to lowest according to their respective TSRs, then calculating the TSR Percentile Rank relative to the other Index Companies as follows: P = 1 - ((R-1)/(N-1)) Where: “P” represents the TSR Percentile Rank rounded to the nearest whole percentile. “R” represents the Company’s ranking among the Index Companies. “N” represents the number of Index Companies. In determining the Company’s TSR Percentile Rank for the applicable period, in the event that the Company’s TSR for the period is equal to the TSR(s) of one or more other Index Companies for that same period, the Company’s TSR Percentile Rank will be determined by ranking the Company’s TSR for that period as being greater than such other Index Companies.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Amit Mathradas,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March 31, 2026;</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647" w:type="dxa"/>
        <w:jc w:val="left"/>
        <w:tblInd w:w="0" w:type="dxa"/>
        <w:tblLayout w:type="fixed"/>
        <w:tblCellMar>
          <w:top w:w="28" w:type="dxa"/>
          <w:left w:w="28" w:type="dxa"/>
          <w:bottom w:w="28" w:type="dxa"/>
          <w:right w:w="28" w:type="dxa"/>
        </w:tblCellMar>
      </w:tblPr>
      <w:tblGrid>
        <w:gridCol w:w="200"/>
        <w:gridCol w:w="177"/>
        <w:gridCol w:w="178"/>
        <w:gridCol w:w="384"/>
        <w:gridCol w:w="384"/>
        <w:gridCol w:w="386"/>
        <w:gridCol w:w="154"/>
        <w:gridCol w:w="154"/>
        <w:gridCol w:w="156"/>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30,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45" w:before="240" w:after="16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I, Bryan Lee,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Five9, Inc. for the quarter ended March 31, 2026;</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88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772"/>
        <w:gridCol w:w="772"/>
        <w:gridCol w:w="10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Amit Mathradas, certify, pursuant to 18 U.S.C. Section 1350, as adopted pursuant to Section 906 of the Sarbanes-Oxley Act of 2002, that the Quarterly Report of Five9, Inc. (the “Company”) on Form 10-Q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37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54"/>
        <w:gridCol w:w="154"/>
        <w:gridCol w:w="156"/>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Amit Mathradas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Bryan Lee, certify, pursuant to 18 U.S.C. Section 1350, as adopted pursuant to Section 906 of the Sarbanes-Oxley Act of 2002, that the Quarterly Report of Five9, Inc. (the “Company”) on Form 10-Q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9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54"/>
        <w:gridCol w:w="154"/>
        <w:gridCol w:w="156"/>
        <w:gridCol w:w="772"/>
        <w:gridCol w:w="772"/>
        <w:gridCol w:w="10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8847/000128884726000006/five9-amendedandrestated.htm" TargetMode="External"/><Relationship Id="rId3" Type="http://schemas.openxmlformats.org/officeDocument/2006/relationships/hyperlink" Target="https://www.sec.gov/Archives/edgar/data/1288847/000128884726000006/five9-amendedandrestated.htm" TargetMode="External"/><Relationship Id="rId4" Type="http://schemas.openxmlformats.org/officeDocument/2006/relationships/hyperlink" Target="https://www.sec.gov/Archives/edgar/data/1288847/000128884726000006/five9-amendedandrestated.htm" TargetMode="External"/><Relationship Id="rId5" Type="http://schemas.openxmlformats.org/officeDocument/2006/relationships/hyperlink" Target="https://www.sec.gov/Archives/edgar/data/1288847/000128884726000006/five9-amendedandrestated.htm" TargetMode="External"/><Relationship Id="rId6" Type="http://schemas.openxmlformats.org/officeDocument/2006/relationships/hyperlink" Target="https://www.sec.gov/Archives/edgar/data/1288847/000128884726000006/five9-amendedandrestated.htm" TargetMode="External"/><Relationship Id="rId7" Type="http://schemas.openxmlformats.org/officeDocument/2006/relationships/hyperlink" Target="https://www.sec.gov/Archives/edgar/data/1288847/000128884726000025/five9_amendmenttocoopera.htm" TargetMode="External"/><Relationship Id="rId8" Type="http://schemas.openxmlformats.org/officeDocument/2006/relationships/hyperlink" Target="https://www.sec.gov/Archives/edgar/data/1288847/000128884726000025/five9_amendmenttocoopera.htm" TargetMode="External"/><Relationship Id="rId9" Type="http://schemas.openxmlformats.org/officeDocument/2006/relationships/hyperlink" Target="https://www.sec.gov/Archives/edgar/data/1288847/000128884726000025/five9_amendmenttocoopera.htm" TargetMode="External"/><Relationship Id="rId10" Type="http://schemas.openxmlformats.org/officeDocument/2006/relationships/hyperlink" Target="https://www.sec.gov/Archives/edgar/data/1288847/000128884726000025/five9_amendmenttocoopera.htm" TargetMode="External"/><Relationship Id="rId11" Type="http://schemas.openxmlformats.org/officeDocument/2006/relationships/hyperlink" Target="https://www.sec.gov/Archives/edgar/data/1288847/000128884726000023/specialprsunoticeandawar.htm" TargetMode="External"/><Relationship Id="rId12" Type="http://schemas.openxmlformats.org/officeDocument/2006/relationships/hyperlink" Target="https://www.sec.gov/Archives/edgar/data/1288847/000128884726000023/specialprsunoticeandawar.htm" TargetMode="External"/><Relationship Id="rId13" Type="http://schemas.openxmlformats.org/officeDocument/2006/relationships/hyperlink" Target="https://www.sec.gov/Archives/edgar/data/1288847/000128884726000023/specialprsunoticeandawar.htm" TargetMode="External"/><Relationship Id="rId14" Type="http://schemas.openxmlformats.org/officeDocument/2006/relationships/hyperlink" Target="https://www.sec.gov/Archives/edgar/data/1288847/000128884726000023/specialprsunoticeandawar.htm" TargetMode="External"/><Relationship Id="rId15" Type="http://schemas.openxmlformats.org/officeDocument/2006/relationships/hyperlink" Target="https://www.sec.gov/Archives/edgar/data/1288847/000128884726000023/specialprsunoticeandawar.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32118</Words>
  <Characters>175310</Characters>
  <CharactersWithSpaces>206114</CharactersWithSpaces>
  <Paragraphs>2601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ex104five9prsunoticeanda</dc:title>
</cp:coreProperties>
</file>