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5047.xml.htm"/>
      <w:bookmarkStart w:id="1" w:name="kswkform4_17889850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Bryan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FIVE9,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BISHOP DR.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Five9, Inc.</w:t>
              </w:r>
            </w:hyperlink>
            <w:r>
              <w:rPr/>
              <w:t xml:space="preserve"> [ </w:t>
            </w:r>
            <w:r>
              <w:rPr>
                <w:rFonts w:ascii="Times;serif" w:hAnsi="Times;serif"/>
                <w:color w:val="0000FF"/>
                <w:sz w:val="24"/>
                <w:shd w:fill="FFFFFF" w:val="clear"/>
              </w:rPr>
              <w:t>FIVN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6,500</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33.05</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303,451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7,813</w:t>
            </w:r>
            <w:r>
              <w:rPr>
                <w:rFonts w:ascii="Times;serif" w:hAnsi="Times;serif"/>
                <w:color w:val="008000"/>
                <w:position w:val="7"/>
                <w:sz w:val="16"/>
                <w:sz w:val="20"/>
                <w:shd w:fill="FFFFFF" w:val="clear"/>
              </w:rPr>
              <w:t>(1)(2)</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33.52</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295,638</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4,995</w:t>
            </w:r>
            <w:r>
              <w:rPr>
                <w:rFonts w:ascii="Times;serif" w:hAnsi="Times;serif"/>
                <w:color w:val="008000"/>
                <w:position w:val="7"/>
                <w:sz w:val="16"/>
                <w:sz w:val="20"/>
                <w:shd w:fill="FFFFFF" w:val="clear"/>
              </w:rPr>
              <w:t>(5)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33.45</w:t>
            </w:r>
            <w:r>
              <w:rPr>
                <w:rFonts w:ascii="Times;serif" w:hAnsi="Times;serif"/>
                <w:color w:val="008000"/>
                <w:position w:val="7"/>
                <w:sz w:val="16"/>
                <w:sz w:val="20"/>
                <w:shd w:fill="FFFFFF" w:val="clear"/>
              </w:rPr>
              <w:t>(6)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290,643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1,310</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289,333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September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sales were to cover taxes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$32.35 to $33.35,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$33.36 to $33.75,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sales were to cover taxes upon the vesting of restricted stock units. The sales reported in this Form 4 were effected in accordance with Five9, Inc.s previously established sell to cover withholding policy, the Corporations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applied to the transaction by the broker under the Corporations Policy for sales to cover taxes upon vesting of restricted stock units for all individuals, including the reporting person subject to the Corporations Policy on the date such sales occurred. The reporting person undertakes to provide Five9, Inc., any security holder of Five9, Inc., or the staff of the Securities and Exchange Commission, upon request,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Meriweather,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3775" TargetMode="External"/><Relationship Id="rId5" Type="http://schemas.openxmlformats.org/officeDocument/2006/relationships/hyperlink" Target="http://www.sec.gov/cgi-bin/browse-edgar?action=getcompany&amp;CIK=00012888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4854</Characters>
  <CharactersWithSpaces>5666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