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75565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5"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64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8"/>
        </w:trPr>
        <w:tc>
          <w:tcPr>
            <w:tcW w:w="11200" w:type="dxa"/>
            <w:vAlign w:val="bottom"/>
            <w:gridSpan w:val="2"/>
          </w:tcPr>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001-36383</w:t>
            </w:r>
          </w:p>
        </w:tc>
      </w:tr>
      <w:tr>
        <w:trPr>
          <w:trHeight w:val="74"/>
        </w:trPr>
        <w:tc>
          <w:tcPr>
            <w:tcW w:w="640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r>
    </w:tbl>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416"/>
        </w:trPr>
        <w:tc>
          <w:tcPr>
            <w:tcW w:w="38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rPr>
              <w:t>Five9, Inc.</w:t>
            </w:r>
          </w:p>
        </w:tc>
        <w:tc>
          <w:tcPr>
            <w:tcW w:w="3880" w:type="dxa"/>
            <w:vAlign w:val="bottom"/>
          </w:tcPr>
          <w:p>
            <w:pPr>
              <w:spacing w:after="0"/>
              <w:rPr>
                <w:sz w:val="24"/>
                <w:szCs w:val="24"/>
                <w:color w:val="auto"/>
              </w:rPr>
            </w:pPr>
          </w:p>
        </w:tc>
      </w:tr>
      <w:tr>
        <w:trPr>
          <w:trHeight w:val="188"/>
        </w:trPr>
        <w:tc>
          <w:tcPr>
            <w:tcW w:w="380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880" w:type="dxa"/>
            <w:vAlign w:val="bottom"/>
          </w:tcPr>
          <w:p>
            <w:pPr>
              <w:spacing w:after="0"/>
              <w:rPr>
                <w:sz w:val="16"/>
                <w:szCs w:val="16"/>
                <w:color w:val="auto"/>
              </w:rPr>
            </w:pPr>
          </w:p>
        </w:tc>
      </w:tr>
      <w:tr>
        <w:trPr>
          <w:trHeight w:val="84"/>
        </w:trPr>
        <w:tc>
          <w:tcPr>
            <w:tcW w:w="380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3880" w:type="dxa"/>
            <w:vAlign w:val="bottom"/>
            <w:tcBorders>
              <w:bottom w:val="single" w:sz="8" w:color="auto"/>
            </w:tcBorders>
          </w:tcPr>
          <w:p>
            <w:pPr>
              <w:spacing w:after="0"/>
              <w:rPr>
                <w:sz w:val="7"/>
                <w:szCs w:val="7"/>
                <w:color w:val="auto"/>
              </w:rPr>
            </w:pPr>
          </w:p>
        </w:tc>
      </w:tr>
      <w:tr>
        <w:trPr>
          <w:trHeight w:val="287"/>
        </w:trPr>
        <w:tc>
          <w:tcPr>
            <w:tcW w:w="3800" w:type="dxa"/>
            <w:vAlign w:val="bottom"/>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tcPr>
          <w:p>
            <w:pPr>
              <w:spacing w:after="0"/>
              <w:rPr>
                <w:sz w:val="24"/>
                <w:szCs w:val="24"/>
                <w:color w:val="auto"/>
              </w:rPr>
            </w:pPr>
          </w:p>
        </w:tc>
        <w:tc>
          <w:tcPr>
            <w:tcW w:w="3880" w:type="dxa"/>
            <w:vAlign w:val="bottom"/>
          </w:tcPr>
          <w:p>
            <w:pPr>
              <w:jc w:val="center"/>
              <w:ind w:right="1388"/>
              <w:spacing w:after="0"/>
              <w:rPr>
                <w:sz w:val="20"/>
                <w:szCs w:val="20"/>
                <w:color w:val="auto"/>
              </w:rPr>
            </w:pPr>
            <w:r>
              <w:rPr>
                <w:rFonts w:ascii="Times New Roman" w:cs="Times New Roman" w:eastAsia="Times New Roman" w:hAnsi="Times New Roman"/>
                <w:sz w:val="14"/>
                <w:szCs w:val="14"/>
                <w:b w:val="1"/>
                <w:bCs w:val="1"/>
                <w:color w:val="auto"/>
              </w:rPr>
              <w:t>94-3394123</w:t>
            </w:r>
          </w:p>
        </w:tc>
      </w:tr>
      <w:tr>
        <w:trPr>
          <w:trHeight w:val="163"/>
        </w:trPr>
        <w:tc>
          <w:tcPr>
            <w:tcW w:w="3800" w:type="dxa"/>
            <w:vAlign w:val="bottom"/>
          </w:tcPr>
          <w:p>
            <w:pPr>
              <w:jc w:val="center"/>
              <w:ind w:left="16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520" w:type="dxa"/>
            <w:vAlign w:val="bottom"/>
          </w:tcPr>
          <w:p>
            <w:pPr>
              <w:spacing w:after="0"/>
              <w:rPr>
                <w:sz w:val="14"/>
                <w:szCs w:val="14"/>
                <w:color w:val="auto"/>
              </w:rPr>
            </w:pPr>
          </w:p>
        </w:tc>
        <w:tc>
          <w:tcPr>
            <w:tcW w:w="3880" w:type="dxa"/>
            <w:vAlign w:val="bottom"/>
          </w:tcPr>
          <w:p>
            <w:pPr>
              <w:jc w:val="center"/>
              <w:ind w:right="138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800" w:type="dxa"/>
            <w:vAlign w:val="bottom"/>
          </w:tcPr>
          <w:p>
            <w:pPr>
              <w:jc w:val="center"/>
              <w:ind w:left="16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20" w:type="dxa"/>
            <w:vAlign w:val="bottom"/>
          </w:tcPr>
          <w:p>
            <w:pPr>
              <w:spacing w:after="0"/>
              <w:rPr>
                <w:sz w:val="16"/>
                <w:szCs w:val="16"/>
                <w:color w:val="auto"/>
              </w:rPr>
            </w:pPr>
          </w:p>
        </w:tc>
        <w:tc>
          <w:tcPr>
            <w:tcW w:w="3880" w:type="dxa"/>
            <w:vAlign w:val="bottom"/>
          </w:tcPr>
          <w:p>
            <w:pPr>
              <w:jc w:val="center"/>
              <w:ind w:right="13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55"/>
        </w:trPr>
        <w:tc>
          <w:tcPr>
            <w:tcW w:w="3800" w:type="dxa"/>
            <w:vAlign w:val="bottom"/>
          </w:tcPr>
          <w:p>
            <w:pPr>
              <w:spacing w:after="0"/>
              <w:rPr>
                <w:sz w:val="22"/>
                <w:szCs w:val="22"/>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3001 Bishop Drive, Suite 350</w:t>
            </w:r>
          </w:p>
        </w:tc>
        <w:tc>
          <w:tcPr>
            <w:tcW w:w="3880" w:type="dxa"/>
            <w:vAlign w:val="bottom"/>
          </w:tcPr>
          <w:p>
            <w:pPr>
              <w:spacing w:after="0"/>
              <w:rPr>
                <w:sz w:val="22"/>
                <w:szCs w:val="22"/>
                <w:color w:val="auto"/>
              </w:rPr>
            </w:pPr>
          </w:p>
        </w:tc>
      </w:tr>
      <w:tr>
        <w:trPr>
          <w:trHeight w:val="190"/>
        </w:trPr>
        <w:tc>
          <w:tcPr>
            <w:tcW w:w="380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San Ramon, CA 94583</w:t>
            </w:r>
          </w:p>
        </w:tc>
        <w:tc>
          <w:tcPr>
            <w:tcW w:w="3880" w:type="dxa"/>
            <w:vAlign w:val="bottom"/>
          </w:tcPr>
          <w:p>
            <w:pPr>
              <w:spacing w:after="0"/>
              <w:rPr>
                <w:sz w:val="16"/>
                <w:szCs w:val="16"/>
                <w:color w:val="auto"/>
              </w:rPr>
            </w:pPr>
          </w:p>
        </w:tc>
      </w:tr>
      <w:tr>
        <w:trPr>
          <w:trHeight w:val="174"/>
        </w:trPr>
        <w:tc>
          <w:tcPr>
            <w:tcW w:w="3800" w:type="dxa"/>
            <w:vAlign w:val="bottom"/>
          </w:tcPr>
          <w:p>
            <w:pPr>
              <w:spacing w:after="0"/>
              <w:rPr>
                <w:sz w:val="15"/>
                <w:szCs w:val="15"/>
                <w:color w:val="auto"/>
              </w:rPr>
            </w:pPr>
          </w:p>
        </w:tc>
        <w:tc>
          <w:tcPr>
            <w:tcW w:w="3520" w:type="dxa"/>
            <w:vAlign w:val="bottom"/>
          </w:tcPr>
          <w:p>
            <w:pPr>
              <w:jc w:val="center"/>
              <w:ind w:left="2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3880" w:type="dxa"/>
            <w:vAlign w:val="bottom"/>
          </w:tcPr>
          <w:p>
            <w:pPr>
              <w:spacing w:after="0"/>
              <w:rPr>
                <w:sz w:val="15"/>
                <w:szCs w:val="15"/>
                <w:color w:val="auto"/>
              </w:rPr>
            </w:pPr>
          </w:p>
        </w:tc>
      </w:tr>
      <w:tr>
        <w:trPr>
          <w:trHeight w:val="178"/>
        </w:trPr>
        <w:tc>
          <w:tcPr>
            <w:tcW w:w="3800" w:type="dxa"/>
            <w:vAlign w:val="bottom"/>
          </w:tcPr>
          <w:p>
            <w:pPr>
              <w:spacing w:after="0"/>
              <w:rPr>
                <w:sz w:val="15"/>
                <w:szCs w:val="15"/>
                <w:color w:val="auto"/>
              </w:rPr>
            </w:pPr>
          </w:p>
        </w:tc>
        <w:tc>
          <w:tcPr>
            <w:tcW w:w="3520" w:type="dxa"/>
            <w:vAlign w:val="bottom"/>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(925) 201-2000</w:t>
            </w:r>
          </w:p>
        </w:tc>
        <w:tc>
          <w:tcPr>
            <w:tcW w:w="3880" w:type="dxa"/>
            <w:vAlign w:val="bottom"/>
          </w:tcPr>
          <w:p>
            <w:pPr>
              <w:spacing w:after="0"/>
              <w:rPr>
                <w:sz w:val="15"/>
                <w:szCs w:val="15"/>
                <w:color w:val="auto"/>
              </w:rPr>
            </w:pPr>
          </w:p>
        </w:tc>
      </w:tr>
      <w:tr>
        <w:trPr>
          <w:trHeight w:val="188"/>
        </w:trPr>
        <w:tc>
          <w:tcPr>
            <w:tcW w:w="380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80" w:type="dxa"/>
            <w:vAlign w:val="bottom"/>
          </w:tcPr>
          <w:p>
            <w:pPr>
              <w:spacing w:after="0"/>
              <w:rPr>
                <w:sz w:val="16"/>
                <w:szCs w:val="16"/>
                <w:color w:val="auto"/>
              </w:rPr>
            </w:pPr>
          </w:p>
        </w:tc>
      </w:tr>
      <w:tr>
        <w:trPr>
          <w:trHeight w:val="189"/>
        </w:trPr>
        <w:tc>
          <w:tcPr>
            <w:tcW w:w="3800" w:type="dxa"/>
            <w:vAlign w:val="bottom"/>
          </w:tcPr>
          <w:p>
            <w:pPr>
              <w:spacing w:after="0"/>
              <w:rPr>
                <w:sz w:val="16"/>
                <w:szCs w:val="16"/>
                <w:color w:val="auto"/>
              </w:rPr>
            </w:pPr>
          </w:p>
        </w:tc>
        <w:tc>
          <w:tcPr>
            <w:tcW w:w="3520" w:type="dxa"/>
            <w:vAlign w:val="bottom"/>
          </w:tcPr>
          <w:p>
            <w:pPr>
              <w:jc w:val="right"/>
              <w:ind w:right="520"/>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3880" w:type="dxa"/>
            <w:vAlign w:val="bottom"/>
          </w:tcPr>
          <w:p>
            <w:pPr>
              <w:spacing w:after="0"/>
              <w:rPr>
                <w:sz w:val="16"/>
                <w:szCs w:val="16"/>
                <w:color w:val="auto"/>
              </w:rPr>
            </w:pPr>
          </w:p>
        </w:tc>
      </w:tr>
      <w:tr>
        <w:trPr>
          <w:trHeight w:val="189"/>
        </w:trPr>
        <w:tc>
          <w:tcPr>
            <w:tcW w:w="380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80" w:type="dxa"/>
            <w:vAlign w:val="bottom"/>
          </w:tcPr>
          <w:p>
            <w:pPr>
              <w:spacing w:after="0"/>
              <w:rPr>
                <w:sz w:val="16"/>
                <w:szCs w:val="16"/>
                <w:color w:val="auto"/>
              </w:rPr>
            </w:pPr>
          </w:p>
        </w:tc>
      </w:tr>
      <w:tr>
        <w:trPr>
          <w:trHeight w:val="216"/>
        </w:trPr>
        <w:tc>
          <w:tcPr>
            <w:tcW w:w="380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8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380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FIVN</w:t>
            </w:r>
          </w:p>
        </w:tc>
        <w:tc>
          <w:tcPr>
            <w:tcW w:w="388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54" w:lineRule="exact"/>
        <w:rPr>
          <w:sz w:val="24"/>
          <w:szCs w:val="24"/>
          <w:color w:val="auto"/>
        </w:rPr>
      </w:pPr>
    </w:p>
    <w:p>
      <w:pPr>
        <w:ind w:right="180" w:firstLine="445"/>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 w:firstLine="445"/>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80" w:firstLine="445"/>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62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3" w:lineRule="exact"/>
        <w:rPr>
          <w:sz w:val="24"/>
          <w:szCs w:val="24"/>
          <w:color w:val="auto"/>
        </w:rPr>
      </w:pPr>
    </w:p>
    <w:p>
      <w:pPr>
        <w:ind w:right="120" w:firstLine="445"/>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left="460" w:right="24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25, 2025, there were 76,272,014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0" w:type="dxa"/>
            <w:vAlign w:val="bottom"/>
            <w:gridSpan w:val="10"/>
          </w:tcPr>
          <w:p>
            <w:pPr>
              <w:jc w:val="center"/>
              <w:ind w:right="4820"/>
              <w:spacing w:after="0"/>
              <w:rPr>
                <w:sz w:val="20"/>
                <w:szCs w:val="20"/>
                <w:color w:val="auto"/>
              </w:rPr>
            </w:pPr>
            <w:r>
              <w:rPr>
                <w:rFonts w:ascii="Times New Roman" w:cs="Times New Roman" w:eastAsia="Times New Roman" w:hAnsi="Times New Roman"/>
                <w:sz w:val="18"/>
                <w:szCs w:val="18"/>
                <w:b w:val="1"/>
                <w:bCs w:val="1"/>
                <w:color w:val="auto"/>
                <w:w w:val="99"/>
              </w:rPr>
              <w:t>FIVE9, INC.</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gridSpan w:val="10"/>
          </w:tcPr>
          <w:p>
            <w:pPr>
              <w:jc w:val="center"/>
              <w:ind w:right="48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20" w:type="dxa"/>
            <w:vAlign w:val="bottom"/>
            <w:gridSpan w:val="12"/>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7"/>
              </w:rPr>
              <w:t>SPECIAL NOTE REGARDING FORWARD-LOOKING STATEMENTS</w:t>
            </w:r>
          </w:p>
        </w:tc>
        <w:tc>
          <w:tcPr>
            <w:tcW w:w="5740" w:type="dxa"/>
            <w:vAlign w:val="bottom"/>
            <w:gridSpan w:val="8"/>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60" w:type="dxa"/>
            <w:vAlign w:val="bottom"/>
            <w:gridSpan w:val="14"/>
          </w:tcPr>
          <w:p>
            <w:pPr>
              <w:jc w:val="center"/>
              <w:ind w:right="398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1980" w:type="dxa"/>
            <w:vAlign w:val="bottom"/>
            <w:gridSpan w:val="8"/>
          </w:tcPr>
          <w:p>
            <w:pPr>
              <w:spacing w:after="0"/>
              <w:rPr>
                <w:sz w:val="18"/>
                <w:szCs w:val="18"/>
                <w:color w:val="auto"/>
              </w:rPr>
            </w:pPr>
          </w:p>
        </w:tc>
        <w:tc>
          <w:tcPr>
            <w:tcW w:w="2880" w:type="dxa"/>
            <w:vAlign w:val="bottom"/>
            <w:tcBorders>
              <w:top w:val="single" w:sz="8" w:color="0000FF"/>
            </w:tcBorders>
            <w:gridSpan w:val="11"/>
          </w:tcPr>
          <w:p>
            <w:pPr>
              <w:spacing w:after="0"/>
              <w:rPr>
                <w:sz w:val="18"/>
                <w:szCs w:val="18"/>
                <w:color w:val="auto"/>
              </w:rPr>
            </w:pPr>
          </w:p>
        </w:tc>
        <w:tc>
          <w:tcPr>
            <w:tcW w:w="3980" w:type="dxa"/>
            <w:vAlign w:val="bottom"/>
            <w:gridSpan w:val="3"/>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7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(Loss) (Unaudited)</w:t>
            </w:r>
          </w:p>
        </w:tc>
        <w:tc>
          <w:tcPr>
            <w:tcW w:w="3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7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3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060" w:type="dxa"/>
            <w:vAlign w:val="bottom"/>
            <w:gridSpan w:val="6"/>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10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9"/>
        </w:trPr>
        <w:tc>
          <w:tcPr>
            <w:tcW w:w="660" w:type="dxa"/>
            <w:vAlign w:val="bottom"/>
            <w:tcBorders>
              <w:top w:val="single" w:sz="8" w:color="0000FF"/>
            </w:tcBorders>
          </w:tcPr>
          <w:p>
            <w:pPr>
              <w:spacing w:after="0"/>
              <w:rPr>
                <w:sz w:val="18"/>
                <w:szCs w:val="18"/>
                <w:color w:val="auto"/>
              </w:rPr>
            </w:pPr>
          </w:p>
        </w:tc>
        <w:tc>
          <w:tcPr>
            <w:tcW w:w="646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Overview</w:t>
            </w:r>
          </w:p>
        </w:tc>
        <w:tc>
          <w:tcPr>
            <w:tcW w:w="390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Key Operating and Non-GAAP Financial Performance Metrics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660" w:type="dxa"/>
            <w:vAlign w:val="bottom"/>
          </w:tcPr>
          <w:p>
            <w:pPr>
              <w:spacing w:after="0"/>
              <w:rPr>
                <w:sz w:val="18"/>
                <w:szCs w:val="18"/>
                <w:color w:val="auto"/>
              </w:rPr>
            </w:pPr>
          </w:p>
        </w:tc>
        <w:tc>
          <w:tcPr>
            <w:tcW w:w="3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Key Components of Our Results of Operations</w:t>
            </w:r>
          </w:p>
        </w:tc>
        <w:tc>
          <w:tcPr>
            <w:tcW w:w="1160" w:type="dxa"/>
            <w:vAlign w:val="bottom"/>
            <w:tcBorders>
              <w:top w:val="single" w:sz="8" w:color="0000FF"/>
            </w:tcBorders>
            <w:gridSpan w:val="6"/>
          </w:tcPr>
          <w:p>
            <w:pPr>
              <w:spacing w:after="0"/>
              <w:rPr>
                <w:sz w:val="18"/>
                <w:szCs w:val="18"/>
                <w:color w:val="auto"/>
              </w:rPr>
            </w:pPr>
          </w:p>
        </w:tc>
        <w:tc>
          <w:tcPr>
            <w:tcW w:w="5820" w:type="dxa"/>
            <w:vAlign w:val="bottom"/>
            <w:gridSpan w:val="9"/>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9"/>
        </w:trPr>
        <w:tc>
          <w:tcPr>
            <w:tcW w:w="660" w:type="dxa"/>
            <w:vAlign w:val="bottom"/>
          </w:tcPr>
          <w:p>
            <w:pPr>
              <w:spacing w:after="0"/>
              <w:rPr>
                <w:sz w:val="18"/>
                <w:szCs w:val="18"/>
                <w:color w:val="auto"/>
              </w:rPr>
            </w:pPr>
          </w:p>
        </w:tc>
        <w:tc>
          <w:tcPr>
            <w:tcW w:w="55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Results of Operations for the Three Months Ended March 31, 2025 and 2024</w:t>
            </w:r>
          </w:p>
        </w:tc>
        <w:tc>
          <w:tcPr>
            <w:tcW w:w="4820" w:type="dxa"/>
            <w:vAlign w:val="bottom"/>
            <w:gridSpan w:val="5"/>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10"/>
        </w:trPr>
        <w:tc>
          <w:tcPr>
            <w:tcW w:w="660" w:type="dxa"/>
            <w:vAlign w:val="bottom"/>
          </w:tcPr>
          <w:p>
            <w:pPr>
              <w:spacing w:after="0"/>
              <w:rPr>
                <w:sz w:val="18"/>
                <w:szCs w:val="18"/>
                <w:color w:val="auto"/>
              </w:rPr>
            </w:pP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8040" w:type="dxa"/>
            <w:vAlign w:val="bottom"/>
            <w:gridSpan w:val="2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660" w:type="dxa"/>
            <w:vAlign w:val="bottom"/>
          </w:tcPr>
          <w:p>
            <w:pPr>
              <w:spacing w:after="0"/>
              <w:rPr>
                <w:sz w:val="18"/>
                <w:szCs w:val="18"/>
                <w:color w:val="auto"/>
              </w:rPr>
            </w:pPr>
          </w:p>
        </w:tc>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660" w:type="dxa"/>
            <w:vAlign w:val="bottom"/>
          </w:tcPr>
          <w:p>
            <w:pPr>
              <w:spacing w:after="0"/>
              <w:rPr>
                <w:sz w:val="18"/>
                <w:szCs w:val="18"/>
                <w:color w:val="auto"/>
              </w:rPr>
            </w:pPr>
          </w:p>
        </w:tc>
        <w:tc>
          <w:tcPr>
            <w:tcW w:w="30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Recent Accounting Pronouncements</w:t>
            </w:r>
          </w:p>
        </w:tc>
        <w:tc>
          <w:tcPr>
            <w:tcW w:w="7280" w:type="dxa"/>
            <w:vAlign w:val="bottom"/>
            <w:gridSpan w:val="16"/>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9"/>
        </w:trPr>
        <w:tc>
          <w:tcPr>
            <w:tcW w:w="660" w:type="dxa"/>
            <w:vAlign w:val="bottom"/>
          </w:tcPr>
          <w:p>
            <w:pPr>
              <w:spacing w:after="0"/>
              <w:rPr>
                <w:sz w:val="18"/>
                <w:szCs w:val="18"/>
                <w:color w:val="auto"/>
              </w:rPr>
            </w:pPr>
          </w:p>
        </w:tc>
        <w:tc>
          <w:tcPr>
            <w:tcW w:w="24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Contractual and Other Obligations</w:t>
            </w:r>
          </w:p>
        </w:tc>
        <w:tc>
          <w:tcPr>
            <w:tcW w:w="140" w:type="dxa"/>
            <w:vAlign w:val="bottom"/>
            <w:tcBorders>
              <w:top w:val="single" w:sz="8" w:color="0000FF"/>
            </w:tcBorders>
          </w:tcPr>
          <w:p>
            <w:pPr>
              <w:spacing w:after="0"/>
              <w:rPr>
                <w:sz w:val="18"/>
                <w:szCs w:val="18"/>
                <w:color w:val="auto"/>
              </w:rPr>
            </w:pPr>
          </w:p>
        </w:tc>
        <w:tc>
          <w:tcPr>
            <w:tcW w:w="7740" w:type="dxa"/>
            <w:vAlign w:val="bottom"/>
            <w:gridSpan w:val="17"/>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10"/>
        </w:trPr>
        <w:tc>
          <w:tcPr>
            <w:tcW w:w="110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10"/>
        </w:trPr>
        <w:tc>
          <w:tcPr>
            <w:tcW w:w="49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6120" w:type="dxa"/>
            <w:vAlign w:val="bottom"/>
            <w:gridSpan w:val="11"/>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466"/>
        </w:trPr>
        <w:tc>
          <w:tcPr>
            <w:tcW w:w="6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00" w:type="dxa"/>
            <w:vAlign w:val="bottom"/>
            <w:gridSpan w:val="13"/>
          </w:tcPr>
          <w:p>
            <w:pPr>
              <w:jc w:val="center"/>
              <w:ind w:right="4140"/>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43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560" w:type="dxa"/>
            <w:vAlign w:val="bottom"/>
            <w:tcBorders>
              <w:top w:val="single" w:sz="8" w:color="0000FF"/>
            </w:tcBorders>
            <w:gridSpan w:val="9"/>
          </w:tcPr>
          <w:p>
            <w:pPr>
              <w:spacing w:after="0"/>
              <w:rPr>
                <w:sz w:val="18"/>
                <w:szCs w:val="18"/>
                <w:color w:val="auto"/>
              </w:rPr>
            </w:pPr>
          </w:p>
        </w:tc>
        <w:tc>
          <w:tcPr>
            <w:tcW w:w="414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10"/>
        </w:trPr>
        <w:tc>
          <w:tcPr>
            <w:tcW w:w="2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9020" w:type="dxa"/>
            <w:vAlign w:val="bottom"/>
            <w:gridSpan w:val="23"/>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5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600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9"/>
        </w:trPr>
        <w:tc>
          <w:tcPr>
            <w:tcW w:w="3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8020" w:type="dxa"/>
            <w:vAlign w:val="bottom"/>
            <w:gridSpan w:val="19"/>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9"/>
        </w:trPr>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8580" w:type="dxa"/>
            <w:vAlign w:val="bottom"/>
            <w:gridSpan w:val="21"/>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10"/>
        </w:trPr>
        <w:tc>
          <w:tcPr>
            <w:tcW w:w="110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10"/>
        </w:trPr>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3"/>
          </w:tcPr>
          <w:p>
            <w:pPr>
              <w:spacing w:after="0"/>
              <w:rPr>
                <w:sz w:val="18"/>
                <w:szCs w:val="18"/>
                <w:color w:val="auto"/>
              </w:rPr>
            </w:pPr>
          </w:p>
        </w:tc>
        <w:tc>
          <w:tcPr>
            <w:tcW w:w="9040" w:type="dxa"/>
            <w:vAlign w:val="bottom"/>
            <w:gridSpan w:val="2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466"/>
        </w:trPr>
        <w:tc>
          <w:tcPr>
            <w:tcW w:w="110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6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future events, strategies and financial trends and performance. These forward-looking statements include statements with respect to our business, expenses, strategies, losses, growth plans, product and customer initiatives, market growth projections, and our industry, including those set forth under “Management’s Discussion and Analysis of Financial Condition and Results of Operations” and elsewhere in this Quarterly Report. Statements that include the words “expect,” “intend,” “plan,” “believe,” “project,” “forecast,” “estimate,” “may,” “should,” “anticipate” and similar statements of a future or forward-looking nature identify forward-looking statements for purposes of the federal securities laws or otherwise.</w:t>
      </w:r>
    </w:p>
    <w:p>
      <w:pPr>
        <w:spacing w:after="0" w:line="13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Forward-looking statements address matters that involve risks and uncertainties. Accordingly, there are or will be important factors that could cause our actual results to differ materially from those indicated in these statements. These factors include the information set forth under the caption "Risk Factors" set forth in Part 1, Item 1A, of our Annual Report on Form 10-K for the fiscal year ended December 31, 2024, which we encourage you to carefully read, and include the following:</w:t>
      </w:r>
    </w:p>
    <w:p>
      <w:pPr>
        <w:spacing w:after="0" w:line="4" w:lineRule="exact"/>
        <w:rPr>
          <w:sz w:val="20"/>
          <w:szCs w:val="20"/>
          <w:color w:val="auto"/>
        </w:rPr>
      </w:pPr>
    </w:p>
    <w:p>
      <w:pPr>
        <w:jc w:val="both"/>
        <w:ind w:left="660" w:right="4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including the impact of macroeconomic challenges, the global tariff increases, continued inflation, uncertainty regarding consumer spending, high interest rates, fluctuations in currency rates, the impact of the Russia-Ukraine conflict, the impact of the conflicts in the Middle East, and other factors, may continue to harm our business;</w:t>
      </w:r>
    </w:p>
    <w:p>
      <w:pPr>
        <w:spacing w:after="0" w:line="1" w:lineRule="exact"/>
        <w:rPr>
          <w:rFonts w:ascii="Times New Roman" w:cs="Times New Roman" w:eastAsia="Times New Roman" w:hAnsi="Times New Roman"/>
          <w:sz w:val="18"/>
          <w:szCs w:val="18"/>
          <w:color w:val="auto"/>
        </w:rPr>
      </w:pPr>
    </w:p>
    <w:p>
      <w:pPr>
        <w:ind w:left="660" w:right="20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or sell additional services and functionality to our existing customers, our revenue and revenue growth will be harmed;</w:t>
      </w:r>
    </w:p>
    <w:p>
      <w:pPr>
        <w:spacing w:after="0" w:line="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w:t>
      </w:r>
    </w:p>
    <w:p>
      <w:pPr>
        <w:ind w:left="660" w:right="3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percentage of our revenue is derived from existing customers, downturns or upturns in new sales will not be immediately reflected in our operating results and may be difficult to discern;</w:t>
      </w:r>
    </w:p>
    <w:p>
      <w:pPr>
        <w:ind w:left="660" w:right="50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technical operations infrastructure, our existing customers may experience service outages, our new customers may experience delays in the deployment of our solution and we could be subject to, among other things, claims for credits or damages;</w:t>
      </w:r>
    </w:p>
    <w:p>
      <w:pPr>
        <w:spacing w:after="0" w:line="1" w:lineRule="exact"/>
        <w:rPr>
          <w:rFonts w:ascii="Times New Roman" w:cs="Times New Roman" w:eastAsia="Times New Roman" w:hAnsi="Times New Roman"/>
          <w:sz w:val="18"/>
          <w:szCs w:val="18"/>
          <w:color w:val="auto"/>
        </w:rPr>
      </w:pPr>
    </w:p>
    <w:p>
      <w:pPr>
        <w:ind w:left="660" w:right="320" w:hanging="328"/>
        <w:spacing w:after="0" w:line="290"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ind w:left="660" w:right="5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development of our AI solutions may not be successful and may result in reputational harm and our future operating results could be materially harmed;</w:t>
      </w:r>
    </w:p>
    <w:p>
      <w:pPr>
        <w:ind w:left="660" w:right="2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and are continuing to increase, our network of technology solution distributors and resellers to sell our solution; our failure to effectively develop, manage, and maintain this network could materially harm our revenues;</w:t>
      </w:r>
    </w:p>
    <w:p>
      <w:pPr>
        <w:spacing w:after="0" w:line="1" w:lineRule="exact"/>
        <w:rPr>
          <w:rFonts w:ascii="Times New Roman" w:cs="Times New Roman" w:eastAsia="Times New Roman" w:hAnsi="Times New Roman"/>
          <w:sz w:val="18"/>
          <w:szCs w:val="18"/>
          <w:color w:val="auto"/>
        </w:rPr>
      </w:pPr>
    </w:p>
    <w:p>
      <w:pPr>
        <w:ind w:left="660" w:right="4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highly skilled leaders and other employees, our business and results of operations may be harmed;</w:t>
      </w:r>
    </w:p>
    <w:p>
      <w:pPr>
        <w:spacing w:after="0" w:line="27" w:lineRule="exact"/>
        <w:rPr>
          <w:rFonts w:ascii="Times New Roman" w:cs="Times New Roman" w:eastAsia="Times New Roman" w:hAnsi="Times New Roman"/>
          <w:sz w:val="18"/>
          <w:szCs w:val="18"/>
          <w:color w:val="auto"/>
        </w:rPr>
      </w:pPr>
    </w:p>
    <w:p>
      <w:pPr>
        <w:ind w:left="660" w:right="44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growth may not be indicative of our future growth, and even if we continue to grow rapidly, we may fail to manage our growth effectively;</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retain and expand our sales force will impede our growth;</w:t>
      </w:r>
    </w:p>
    <w:p>
      <w:pPr>
        <w:spacing w:after="0" w:line="36" w:lineRule="exact"/>
        <w:rPr>
          <w:rFonts w:ascii="Times New Roman" w:cs="Times New Roman" w:eastAsia="Times New Roman" w:hAnsi="Times New Roman"/>
          <w:sz w:val="18"/>
          <w:szCs w:val="18"/>
          <w:color w:val="auto"/>
        </w:rPr>
      </w:pPr>
    </w:p>
    <w:p>
      <w:pPr>
        <w:ind w:left="660" w:right="36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 technology and features incorporated into our solution include new and evolving technologies that may present both legal and business risks;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AI by our workforce may present risks to our business;</w:t>
      </w:r>
    </w:p>
    <w:p>
      <w:pPr>
        <w:spacing w:after="0" w:line="15" w:lineRule="exact"/>
        <w:rPr>
          <w:rFonts w:ascii="Times New Roman" w:cs="Times New Roman" w:eastAsia="Times New Roman" w:hAnsi="Times New Roman"/>
          <w:sz w:val="18"/>
          <w:szCs w:val="18"/>
          <w:color w:val="auto"/>
        </w:rPr>
      </w:pPr>
    </w:p>
    <w:p>
      <w:pPr>
        <w:ind w:left="660" w:right="60" w:hanging="328"/>
        <w:spacing w:after="0" w:line="23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contact center software solutions market is subject to rapid technological change, and we must develop and sell incremental and new solutions in order to maintain and grow our business;</w:t>
      </w:r>
    </w:p>
    <w:p>
      <w:pPr>
        <w:spacing w:after="0" w:line="1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 and our failure to successfully maintain, grow and manage these relationships could harm our business;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10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markets in which we participate involve a high number of competitors that is continuing to increase, and if we do not compete effectively, our operating results could be harmed;</w:t>
      </w:r>
    </w:p>
    <w:p>
      <w:pPr>
        <w:spacing w:after="0" w:line="2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expand our international operations, which exposes us to significant macroeconomic and other risks;</w:t>
      </w:r>
    </w:p>
    <w:p>
      <w:pPr>
        <w:spacing w:after="0" w:line="36" w:lineRule="exact"/>
        <w:rPr>
          <w:rFonts w:ascii="Times New Roman" w:cs="Times New Roman" w:eastAsia="Times New Roman" w:hAnsi="Times New Roman"/>
          <w:sz w:val="18"/>
          <w:szCs w:val="18"/>
          <w:color w:val="auto"/>
        </w:rPr>
      </w:pPr>
    </w:p>
    <w:p>
      <w:pPr>
        <w:ind w:left="660" w:right="160" w:hanging="328"/>
        <w:spacing w:after="0" w:line="27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cybersecurity incidents, and improper access to, use of, or disclosure of our data or our customers’ data, or other cyber-attacks on our systems, could result in litigation and regulatory risk, harm our reputation, our business or financial results;</w:t>
      </w:r>
    </w:p>
    <w:p>
      <w:pPr>
        <w:spacing w:after="0" w:line="1" w:lineRule="exact"/>
        <w:rPr>
          <w:rFonts w:ascii="Times New Roman" w:cs="Times New Roman" w:eastAsia="Times New Roman" w:hAnsi="Times New Roman"/>
          <w:sz w:val="18"/>
          <w:szCs w:val="18"/>
          <w:color w:val="auto"/>
        </w:rPr>
      </w:pPr>
    </w:p>
    <w:p>
      <w:pPr>
        <w:ind w:left="660" w:right="14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spacing w:after="0" w:line="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w:t>
      </w: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achieve or sustain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volatile, may continue to be volatile and may decline, including due to factors beyond our control;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additional financing on favorable terms, or at all, to meet our future capital needs;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could harm our business and our reputation;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cash to service our convertible senior notes and repay such notes, if required.</w:t>
      </w:r>
    </w:p>
    <w:p>
      <w:pPr>
        <w:spacing w:after="0" w:line="158"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or incorporated into, this report.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12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9"/>
        </w:trPr>
        <w:tc>
          <w:tcPr>
            <w:tcW w:w="74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362,546</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investments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643,410</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115,172</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50,840</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net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79,267</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76,600</w:t>
            </w:r>
          </w:p>
        </w:tc>
      </w:tr>
      <w:tr>
        <w:trPr>
          <w:trHeight w:val="20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1,287,451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1,248,568</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146,460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144,888</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19,269</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65,632</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366,698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365,436</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13,384</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net — less current portion</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157,557</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155,157</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2,089,924</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2,051,214</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29,477</w:t>
            </w:r>
          </w:p>
        </w:tc>
        <w:tc>
          <w:tcPr>
            <w:tcW w:w="2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26,282</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80,354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83,720</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79,173</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434,031</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433,490</w:t>
            </w:r>
          </w:p>
        </w:tc>
      </w:tr>
      <w:tr>
        <w:trPr>
          <w:trHeight w:val="20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638,892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641,691</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senior notes - less current portion</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732,721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731,855</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less current portion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37,071</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less current portion</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11,688</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6,717</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1,425,638</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1,429,022</w:t>
            </w:r>
          </w:p>
        </w:tc>
      </w:tr>
      <w:tr>
        <w:trPr>
          <w:trHeight w:val="19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1,080,782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1,039,125</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(417,069)</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(417,645)</w:t>
            </w:r>
          </w:p>
        </w:tc>
      </w:tr>
      <w:tr>
        <w:trPr>
          <w:trHeight w:val="207"/>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664,286</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622,192</w:t>
            </w: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2,089,924</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2,051,214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18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38"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279,705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247,010</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125,973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114,530</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132,480</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41,518</w:t>
            </w:r>
          </w:p>
        </w:tc>
        <w:tc>
          <w:tcPr>
            <w:tcW w:w="0" w:type="dxa"/>
            <w:vAlign w:val="bottom"/>
          </w:tcPr>
          <w:p>
            <w:pPr>
              <w:spacing w:after="0"/>
              <w:rPr>
                <w:sz w:val="1"/>
                <w:szCs w:val="1"/>
                <w:color w:val="auto"/>
              </w:rPr>
            </w:pPr>
          </w:p>
        </w:tc>
      </w:tr>
      <w:tr>
        <w:trPr>
          <w:trHeight w:val="213"/>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81,109</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30,548</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159,160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153,175</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(20,695)</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0" w:type="dxa"/>
            <w:vAlign w:val="bottom"/>
          </w:tcPr>
          <w:p>
            <w:pPr>
              <w:spacing w:after="0"/>
              <w:rPr>
                <w:sz w:val="1"/>
                <w:szCs w:val="1"/>
                <w:color w:val="auto"/>
              </w:rPr>
            </w:pPr>
          </w:p>
        </w:tc>
      </w:tr>
      <w:tr>
        <w:trPr>
          <w:trHeight w:val="213"/>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early extinguishment of debt</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14,607</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net income (loss) per share: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75,949</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73,488</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89,275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18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000" w:type="dxa"/>
            <w:vAlign w:val="bottom"/>
          </w:tcPr>
          <w:p>
            <w:pPr>
              <w:spacing w:after="0"/>
              <w:rPr>
                <w:sz w:val="14"/>
                <w:szCs w:val="14"/>
                <w:color w:val="auto"/>
              </w:rPr>
            </w:pPr>
          </w:p>
        </w:tc>
        <w:tc>
          <w:tcPr>
            <w:tcW w:w="1760" w:type="dxa"/>
            <w:vAlign w:val="bottom"/>
            <w:gridSpan w:val="3"/>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Additional Paid-In</w:t>
            </w:r>
          </w:p>
        </w:tc>
        <w:tc>
          <w:tcPr>
            <w:tcW w:w="16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Total Stockholders’</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380" w:type="dxa"/>
            <w:vAlign w:val="bottom"/>
            <w:gridSpan w:val="3"/>
            <w:vMerge w:val="restart"/>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Other Comprehensive</w:t>
            </w: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4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4"/>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73,317</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942,280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(404,850)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538,085</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new capped calls associated with the 2029</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(93,438)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(93,438)</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10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Partial termination of existing capped calls associated with</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2025 convertible senior notes</w:t>
            </w:r>
          </w:p>
        </w:tc>
        <w:tc>
          <w:tcPr>
            <w:tcW w:w="1060" w:type="dxa"/>
            <w:vAlign w:val="bottom"/>
            <w:gridSpan w:val="2"/>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165"/>
        </w:trPr>
        <w:tc>
          <w:tcPr>
            <w:tcW w:w="4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45,987</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0" w:type="dxa"/>
            <w:vAlign w:val="bottom"/>
          </w:tcPr>
          <w:p>
            <w:pPr>
              <w:spacing w:after="0"/>
              <w:rPr>
                <w:sz w:val="1"/>
                <w:szCs w:val="1"/>
                <w:color w:val="auto"/>
              </w:rPr>
            </w:pPr>
          </w:p>
        </w:tc>
      </w:tr>
      <w:tr>
        <w:trPr>
          <w:trHeight w:val="237"/>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73,849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895,754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483,598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75,808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622,192</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5"/>
        </w:trPr>
        <w:tc>
          <w:tcPr>
            <w:tcW w:w="4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37"/>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76,243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664,286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40" w:type="dxa"/>
            <w:vAlign w:val="bottom"/>
            <w:gridSpan w:val="4"/>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15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66"/>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2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12,183</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Reduction in the carrying amount of right-of-use assets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16,269</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Accretion of discount on marketable investments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39,245</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44,684</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discount and issuance costs on convertible senior notes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260" w:type="dxa"/>
            <w:vAlign w:val="bottom"/>
          </w:tcPr>
          <w:p>
            <w:pPr>
              <w:spacing w:after="0"/>
              <w:rPr>
                <w:sz w:val="16"/>
                <w:szCs w:val="16"/>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charge of long-lived assets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on finance lease obligations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(6,085)</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(33,565)</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15,832</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18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48,384</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32,353</w:t>
            </w:r>
          </w:p>
        </w:tc>
      </w:tr>
      <w:tr>
        <w:trPr>
          <w:trHeight w:val="18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marketable investments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(275,939)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(524,865)</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sales of marketable investments</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12,517</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investments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251,292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260,619</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(11,951)</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Capitalization of software development costs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settlement for acquisition of businesses</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(38,103)</w:t>
            </w:r>
          </w:p>
        </w:tc>
        <w:tc>
          <w:tcPr>
            <w:tcW w:w="2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(266,823)</w:t>
            </w:r>
          </w:p>
        </w:tc>
      </w:tr>
      <w:tr>
        <w:trPr>
          <w:trHeight w:val="18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2029 convertible senior notes</w:t>
            </w:r>
          </w:p>
        </w:tc>
        <w:tc>
          <w:tcPr>
            <w:tcW w:w="260" w:type="dxa"/>
            <w:vAlign w:val="bottom"/>
          </w:tcPr>
          <w:p>
            <w:pPr>
              <w:spacing w:after="0"/>
              <w:rPr>
                <w:sz w:val="16"/>
                <w:szCs w:val="16"/>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731,055</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capped call transactions associated with the 2029 convertible senior notes</w:t>
            </w:r>
          </w:p>
        </w:tc>
        <w:tc>
          <w:tcPr>
            <w:tcW w:w="260" w:type="dxa"/>
            <w:vAlign w:val="bottom"/>
          </w:tcPr>
          <w:p>
            <w:pPr>
              <w:spacing w:after="0"/>
              <w:rPr>
                <w:sz w:val="16"/>
                <w:szCs w:val="16"/>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(93,438)</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a portion of 2025 convertible senior notes, net of costs</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(304,485)</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from partial termination of capped calls associated with the 2025 convertible senior notes</w:t>
            </w:r>
          </w:p>
        </w:tc>
        <w:tc>
          <w:tcPr>
            <w:tcW w:w="260" w:type="dxa"/>
            <w:vAlign w:val="bottom"/>
          </w:tcPr>
          <w:p>
            <w:pPr>
              <w:spacing w:after="0"/>
              <w:rPr>
                <w:sz w:val="16"/>
                <w:szCs w:val="16"/>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common stock under ESPP</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finance lease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18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331,396</w:t>
            </w: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8,118</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96,926</w:t>
            </w:r>
          </w:p>
        </w:tc>
      </w:tr>
      <w:tr>
        <w:trPr>
          <w:trHeight w:val="196"/>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2"/>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364,185</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144,842</w:t>
            </w:r>
          </w:p>
        </w:tc>
      </w:tr>
      <w:tr>
        <w:trPr>
          <w:trHeight w:val="203"/>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End of period</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372,303</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241,768</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data:</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26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unpaid at period-end</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9,335</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and related transaction costs accrued at period-end</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r>
      <w:tr>
        <w:trPr>
          <w:trHeight w:val="203"/>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37"/>
        </w:trPr>
        <w:tc>
          <w:tcPr>
            <w:tcW w:w="74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the Condensed Consolidated Balance Sheets -</w:t>
            </w:r>
          </w:p>
        </w:tc>
        <w:tc>
          <w:tcPr>
            <w:tcW w:w="2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362,546</w:t>
            </w:r>
          </w:p>
        </w:tc>
        <w:tc>
          <w:tcPr>
            <w:tcW w:w="26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143,201</w:t>
            </w:r>
          </w:p>
        </w:tc>
      </w:tr>
      <w:tr>
        <w:trPr>
          <w:trHeight w:val="20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in 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r>
      <w:tr>
        <w:trPr>
          <w:trHeight w:val="203"/>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364,185</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144,842</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7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37"/>
        </w:trPr>
        <w:tc>
          <w:tcPr>
            <w:tcW w:w="74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the Condensed Consolidated Balance Sheets - End</w:t>
            </w: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8"/>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240,190</w:t>
            </w:r>
          </w:p>
        </w:tc>
      </w:tr>
      <w:tr>
        <w:trPr>
          <w:trHeight w:val="196"/>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Restricted cash in other assets</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w:t>
            </w:r>
          </w:p>
        </w:tc>
      </w:tr>
      <w:tr>
        <w:trPr>
          <w:trHeight w:val="227"/>
        </w:trPr>
        <w:tc>
          <w:tcPr>
            <w:tcW w:w="7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372,303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241,768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20"/>
          </w:cols>
          <w:pgMar w:left="320" w:top="121"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Summary of Significant Accounting Policies</w:t>
      </w:r>
    </w:p>
    <w:p>
      <w:pPr>
        <w:spacing w:after="0" w:line="1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Five9, Inc. and its wholly-owned subsidiaries (the “Company”) is a provider of cloud software for contact centers. The Company was incorporated in Delaware in 2001 and is headquartered in San Ramon, California. The Company has offices in Europe, Asia and Australia, which primarily provide research, development, sales, marketing, and customer support services.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in the United States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year ended December 31, 2024. In the opinion of management, the condensed consolidated financial statements reflect all adjustments, which are normal and recurring in nature, necessary for fair financial statement presentation. All intercompany transactions and balances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The significant estimates made by management affect revenue and related reserves, as well as the fair value of assets acquired and liabilities assumed through business combinations and the fair value of performance-based restricted stock units ("PRSUs"). Management periodically evaluates such estimates and they are adjusted prospectively based upon such periodic evaluation.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significant accounting policies previously disclosed in Part II, Item 8, of the Company's Annual Report on Form 10-K for the fiscal year ended December 31, 2024 as filed with the SEC on February 21,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Effective</w:t>
      </w:r>
    </w:p>
    <w:p>
      <w:pPr>
        <w:spacing w:after="0" w:line="160" w:lineRule="exact"/>
        <w:rPr>
          <w:sz w:val="20"/>
          <w:szCs w:val="20"/>
          <w:color w:val="auto"/>
        </w:rPr>
      </w:pPr>
    </w:p>
    <w:p>
      <w:pPr>
        <w:ind w:right="220" w:firstLine="486"/>
        <w:spacing w:after="0" w:line="24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ASU requires disclosure of specific categories in the effective tax rate reconciliation and additional information on income taxes paid. This ASU is effective for the Company’s fiscal years beginning after December 15, 2024. Early adoption is permitted and may be adopted on a prospective or retrospective basis. The Company is currently evaluating the impact of this ASU on its consolidated financial statement disclosures.</w:t>
      </w:r>
    </w:p>
    <w:p>
      <w:pPr>
        <w:spacing w:after="0" w:line="123"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and in January 2025, the FASB issued ASU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w:t>
      </w:r>
      <w:r>
        <w:rPr>
          <w:rFonts w:ascii="Times New Roman" w:cs="Times New Roman" w:eastAsia="Times New Roman" w:hAnsi="Times New Roman"/>
          <w:sz w:val="18"/>
          <w:szCs w:val="18"/>
          <w:color w:val="auto"/>
        </w:rPr>
        <w:t>, which clarified the effective date of ASU 2024-03. This ASU is intended to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decision-usefulness of expense information on public companies’ income statements through disaggregation of relevant expense captions in the notes to the financial statements. The guidance, as clarified by ASU 2025-01, is effective for annual reporting periods beginning after December 15, 2026, and interim periods within annual reporting periods beginning after December 15, 2027, with early adoption permitted. The Company is currently assessing the impact of this ASU on its consolidated financial statements and related disclosures.</w:t>
      </w:r>
    </w:p>
    <w:p>
      <w:pPr>
        <w:spacing w:after="0" w:line="117" w:lineRule="exact"/>
        <w:rPr>
          <w:sz w:val="20"/>
          <w:szCs w:val="20"/>
          <w:color w:val="auto"/>
        </w:rPr>
      </w:pPr>
    </w:p>
    <w:p>
      <w:pPr>
        <w:jc w:val="both"/>
        <w:ind w:right="220" w:firstLine="486"/>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with Conversion and Other Options (Subtopic 470-20)</w:t>
      </w:r>
      <w:r>
        <w:rPr>
          <w:rFonts w:ascii="Times New Roman" w:cs="Times New Roman" w:eastAsia="Times New Roman" w:hAnsi="Times New Roman"/>
          <w:sz w:val="18"/>
          <w:szCs w:val="18"/>
          <w:color w:val="auto"/>
        </w:rPr>
        <w:t>, which clarifies the requirements for determining whether certain settlements of convertible debt instruments should be accounted for as an induced conversion. The ASU is effective for annual and interim reporting periods beginning after December 15, 2025. Early adoption is permitted for entities that have implemented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ASU 2020-06, with the option to apply the guidance prospectively or retrospectively. The Company is currently assessing the impact of this ASU on its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right="66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about accounts receivable, net, deferred contract acquisition costs, net, contract assets and contract liabilities from contracts with customers (in thousands):</w:t>
      </w: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5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net: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76,600</w:t>
            </w: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155,157</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contract acquisition costs, net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236,824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231,757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 and contract liabilities: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assets (included in prepaid expenses and other current assets)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 (deferred revenue)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(79,173)</w:t>
            </w: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contract liabilities (deferred revenue) (included in 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contract liabilities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(73,165)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(72,832)</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Company receives payments from customers based upon billing cycles. Invoice payment terms are usually 30 days or less. Accounts receivable are recorded when the right to consideration becomes unconditional.</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contract acquisition costs are recorded when incurred and are amortized over an estimated customer benefit period of five years.</w:t>
      </w:r>
    </w:p>
    <w:p>
      <w:pPr>
        <w:spacing w:after="0" w:line="117"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Company’s contract assets consist of unbilled amounts typically resulting from professional services where revenue is recognized in excess of total amounts billed to the customer. The Company’s contract liabilities consist of advance payments and billings in excess of revenue recognized.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three months ended March 31, 2025, the Company recognized revenue of $49.4 million related to its contract liabilities at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of March 31, 2025, the aggregate amount of the total transaction price allocated in contracts with original duration of greater than one year to the remaining performance obligations was $1,066.7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and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Investments</w:t>
      </w:r>
    </w:p>
    <w:p>
      <w:pPr>
        <w:spacing w:after="0" w:line="121" w:lineRule="exact"/>
        <w:rPr>
          <w:sz w:val="20"/>
          <w:szCs w:val="20"/>
          <w:color w:val="auto"/>
        </w:rPr>
      </w:pPr>
    </w:p>
    <w:p>
      <w:pPr>
        <w:ind w:right="340" w:firstLine="445"/>
        <w:spacing w:after="0" w:line="266" w:lineRule="auto"/>
        <w:rPr>
          <w:sz w:val="20"/>
          <w:szCs w:val="20"/>
          <w:color w:val="auto"/>
        </w:rPr>
      </w:pPr>
      <w:r>
        <w:rPr>
          <w:rFonts w:ascii="Times New Roman" w:cs="Times New Roman" w:eastAsia="Times New Roman" w:hAnsi="Times New Roman"/>
          <w:sz w:val="18"/>
          <w:szCs w:val="18"/>
          <w:color w:val="auto"/>
        </w:rPr>
        <w:t>The Company’s marketable investments have been classified and accounted for as available-for-sale. The Company’s intent is that all marketable investments are available for use in its current operations, including marketable investments with maturity dates greater than one year from March 31, 2025. The Company’s marketable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as of March 31, 2025 and December 31, 2024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Marketable Investments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1"/>
                <w:szCs w:val="11"/>
                <w:color w:val="auto"/>
              </w:rPr>
            </w:pPr>
          </w:p>
        </w:tc>
        <w:tc>
          <w:tcPr>
            <w:tcW w:w="10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Marketable Investments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1"/>
                <w:szCs w:val="11"/>
                <w:color w:val="auto"/>
              </w:rPr>
            </w:pPr>
          </w:p>
        </w:tc>
        <w:tc>
          <w:tcPr>
            <w:tcW w:w="10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643,067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30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gross unrealized losses and the fair value for those marketable investments that were in an unrealized loss position for less than 12 months as of March 31, 2025 and December 31, 2024 (in thousands):</w:t>
      </w: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260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1420" w:type="dxa"/>
            <w:vAlign w:val="bottom"/>
            <w:gridSpan w:val="3"/>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1"/>
                <w:szCs w:val="11"/>
                <w:color w:val="auto"/>
              </w:rPr>
            </w:pPr>
          </w:p>
        </w:tc>
        <w:tc>
          <w:tcPr>
            <w:tcW w:w="10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104,716</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23"/>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305,549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185,419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300" w:firstLine="445"/>
        <w:spacing w:after="0" w:line="266" w:lineRule="auto"/>
        <w:rPr>
          <w:sz w:val="20"/>
          <w:szCs w:val="20"/>
          <w:color w:val="auto"/>
        </w:rPr>
      </w:pPr>
      <w:r>
        <w:rPr>
          <w:rFonts w:ascii="Times New Roman" w:cs="Times New Roman" w:eastAsia="Times New Roman" w:hAnsi="Times New Roman"/>
          <w:sz w:val="18"/>
          <w:szCs w:val="18"/>
          <w:color w:val="auto"/>
        </w:rPr>
        <w:t>Although the Company had certain available-for-sale debt securities in an unrealized loss position as of March 31, 2025, no impairment loss was recorded since it did not intend to sell them, did not anticipate a need to sell them, and the decline in fair value was not due to any credit-related factors.</w:t>
      </w:r>
    </w:p>
    <w:p>
      <w:pPr>
        <w:spacing w:after="0" w:line="68" w:lineRule="exact"/>
        <w:rPr>
          <w:sz w:val="20"/>
          <w:szCs w:val="20"/>
          <w:color w:val="auto"/>
        </w:rPr>
      </w:pPr>
    </w:p>
    <w:p>
      <w:pPr>
        <w:ind w:right="580" w:firstLine="445"/>
        <w:spacing w:after="0" w:line="255" w:lineRule="auto"/>
        <w:rPr>
          <w:sz w:val="20"/>
          <w:szCs w:val="20"/>
          <w:color w:val="auto"/>
        </w:rPr>
      </w:pPr>
      <w:r>
        <w:rPr>
          <w:rFonts w:ascii="Times New Roman" w:cs="Times New Roman" w:eastAsia="Times New Roman" w:hAnsi="Times New Roman"/>
          <w:sz w:val="18"/>
          <w:szCs w:val="18"/>
          <w:color w:val="auto"/>
        </w:rPr>
        <w:t>The amortized cost and fair value of the Company’s marketable investments by contractual maturity as of March 31, 2025 were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442,667</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228,727</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671,394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Observable inputs, which include unadjusted quoted prices in active markets for identical assets or liabilities.</w:t>
      </w:r>
    </w:p>
    <w:p>
      <w:pPr>
        <w:spacing w:after="0" w:line="117"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inputs, such as quoted prices in markets that are not active, or other inputs that are observable or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corroborated by observable market data for substantially the full term of the assets or liabilities.</w:t>
      </w:r>
    </w:p>
    <w:p>
      <w:pPr>
        <w:spacing w:after="0" w:line="50" w:lineRule="exact"/>
        <w:rPr>
          <w:sz w:val="20"/>
          <w:szCs w:val="20"/>
          <w:color w:val="auto"/>
        </w:rPr>
      </w:pPr>
    </w:p>
    <w:p>
      <w:pPr>
        <w:ind w:right="3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based on management’s assumptions, including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determined by using pricing models, discounted cash flow methodologies or similar techniques.</w:t>
      </w:r>
    </w:p>
    <w:p>
      <w:pPr>
        <w:spacing w:after="0" w:line="52"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its Level 1 financial instruments, which are traded in active markets, using quoted market prices for identical instruments.</w:t>
      </w:r>
    </w:p>
    <w:p>
      <w:pPr>
        <w:spacing w:after="0" w:line="54"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color w:val="auto"/>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Company’s assets measured at fair value by level within the fair value hierarchy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119,296</w:t>
            </w: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87,278</w:t>
            </w: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207,771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investments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8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445,074</w:t>
            </w: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agency and government sponsored securities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179,255</w:t>
            </w: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36,637</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investments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445,074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226,320</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671,394</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114,370</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41,832</w:t>
            </w: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442,572</w:t>
            </w: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146,760</w:t>
            </w: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w:t>
            </w: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investments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643,410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 As of March 31, 2025 and December 31, 2024, the estimated fair value of the outstanding 2025 convertible senior notes was $430.8 million and $423.2 million, respectively. As of March 31, 2025 and December 31, 2024, the estimated fair value of the outstanding 2029 convertible senior notes was $637.6 million and $674.8 million, respectively. 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spacing w:after="0" w:line="84"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identifies observable price changes in orderly transactions for such investment or a similar investment, it will measure the investment at fair value as of the date that the observable transactions or events occurred. During 2024, the Company noted an indicator of impairment of this investment and recorded a $1.3 million impairment charge. The Company concluded that there was no further indicator of impairment of this investment as of March 31, 2025.</w:t>
      </w:r>
    </w:p>
    <w:p>
      <w:pPr>
        <w:spacing w:after="0" w:line="14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Except for the equity investment described above, there were no assets or liabilities measured at fair value on a non-recurring basis as of March 31, 2025 and December 31, 2024.</w:t>
      </w:r>
    </w:p>
    <w:p>
      <w:pPr>
        <w:spacing w:after="0" w:line="108" w:lineRule="exact"/>
        <w:rPr>
          <w:sz w:val="20"/>
          <w:szCs w:val="20"/>
          <w:color w:val="auto"/>
        </w:rPr>
      </w:pPr>
    </w:p>
    <w:p>
      <w:pPr>
        <w:ind w:right="200" w:firstLine="445"/>
        <w:spacing w:after="0" w:line="250" w:lineRule="auto"/>
        <w:rPr>
          <w:sz w:val="20"/>
          <w:szCs w:val="20"/>
          <w:color w:val="auto"/>
        </w:rPr>
      </w:pPr>
      <w:r>
        <w:rPr>
          <w:rFonts w:ascii="Times New Roman" w:cs="Times New Roman" w:eastAsia="Times New Roman" w:hAnsi="Times New Roman"/>
          <w:sz w:val="18"/>
          <w:szCs w:val="18"/>
          <w:color w:val="auto"/>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Statement Components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162,902</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and government sponsored securities</w:t>
            </w: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370,344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362,546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7"/>
                <w:szCs w:val="17"/>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99,551</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trade accounts receivable, net of advance customer deposits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118,614</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115,172</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There was one customer that represented 13% of accounts receivable as of March 31, 2025.</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7"/>
                <w:szCs w:val="17"/>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7"/>
                <w:szCs w:val="17"/>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173,671</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 development costs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301,329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(164,721)</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(156,441)</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146,460</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144,888</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associated with property and equipment was $10.4 million and $9.5 million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 in a privately-held company</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0" w:type="dxa"/>
            <w:vAlign w:val="bottom"/>
          </w:tcPr>
          <w:p>
            <w:pPr>
              <w:spacing w:after="0"/>
              <w:rPr>
                <w:sz w:val="1"/>
                <w:szCs w:val="1"/>
                <w:color w:val="auto"/>
              </w:rPr>
            </w:pPr>
          </w:p>
        </w:tc>
      </w:tr>
      <w:tr>
        <w:trPr>
          <w:trHeight w:val="21"/>
        </w:trPr>
        <w:tc>
          <w:tcPr>
            <w:tcW w:w="7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30,822</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federal fees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tax liabilities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7"/>
                <w:szCs w:val="17"/>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liabilities</w:t>
            </w: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75" w:lineRule="exact"/>
        <w:rPr>
          <w:sz w:val="20"/>
          <w:szCs w:val="20"/>
          <w:color w:val="auto"/>
        </w:rPr>
      </w:pPr>
    </w:p>
    <w:p>
      <w:pPr>
        <w:ind w:right="8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activity in the Company's goodwill and intangible asset balances during the three months ended March 31, 2025 (in thousands):</w:t>
      </w: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6"/>
                <w:szCs w:val="16"/>
                <w:color w:val="auto"/>
              </w:rPr>
            </w:pP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Intangible Assets</w:t>
            </w:r>
          </w:p>
        </w:tc>
      </w:tr>
      <w:tr>
        <w:trPr>
          <w:trHeight w:val="23"/>
        </w:trPr>
        <w:tc>
          <w:tcPr>
            <w:tcW w:w="7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December 31,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65,632</w:t>
            </w:r>
          </w:p>
        </w:tc>
      </w:tr>
      <w:tr>
        <w:trPr>
          <w:trHeight w:val="230"/>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 (Acqueon)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March 31, 2025</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61,532</w:t>
            </w: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intangible assets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01"/>
        </w:trPr>
        <w:tc>
          <w:tcPr>
            <w:tcW w:w="1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51,136</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54,484</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5"/>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workforce</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13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10,169</w:t>
            </w:r>
          </w:p>
        </w:tc>
        <w:tc>
          <w:tcPr>
            <w:tcW w:w="13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320" w:type="dxa"/>
            <w:vAlign w:val="bottom"/>
            <w:tcBorders>
              <w:bottom w:val="single" w:sz="8" w:color="CCEEFF"/>
            </w:tcBorders>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340" w:type="dxa"/>
            <w:vAlign w:val="bottom"/>
            <w:tcBorders>
              <w:bottom w:val="single" w:sz="8" w:color="CCEEFF"/>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28"/>
        </w:trPr>
        <w:tc>
          <w:tcPr>
            <w:tcW w:w="1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61,532</w:t>
            </w:r>
          </w:p>
        </w:tc>
        <w:tc>
          <w:tcPr>
            <w:tcW w:w="1320" w:type="dxa"/>
            <w:vAlign w:val="bottom"/>
            <w:tcBorders>
              <w:bottom w:val="single" w:sz="8" w:color="CCEEFF"/>
            </w:tcBorders>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65,632</w:t>
            </w:r>
          </w:p>
        </w:tc>
        <w:tc>
          <w:tcPr>
            <w:tcW w:w="1340" w:type="dxa"/>
            <w:vAlign w:val="bottom"/>
            <w:tcBorders>
              <w:bottom w:val="single" w:sz="8" w:color="CCEEFF"/>
            </w:tcBorders>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60"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$4.1 million and $2.6 million for the three months ended March 31, 2025 and 2024, respectively.</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2025, the expected future amortization expense for intangible assets was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3"/>
                <w:szCs w:val="13"/>
                <w:color w:val="auto"/>
              </w:rPr>
            </w:pPr>
          </w:p>
        </w:tc>
        <w:tc>
          <w:tcPr>
            <w:tcW w:w="15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Expected Future</w:t>
            </w:r>
          </w:p>
        </w:tc>
        <w:tc>
          <w:tcPr>
            <w:tcW w:w="0" w:type="dxa"/>
            <w:vAlign w:val="bottom"/>
          </w:tcPr>
          <w:p>
            <w:pPr>
              <w:spacing w:after="0"/>
              <w:rPr>
                <w:sz w:val="1"/>
                <w:szCs w:val="1"/>
                <w:color w:val="auto"/>
              </w:rPr>
            </w:pPr>
          </w:p>
        </w:tc>
      </w:tr>
      <w:tr>
        <w:trPr>
          <w:trHeight w:val="196"/>
        </w:trPr>
        <w:tc>
          <w:tcPr>
            <w:tcW w:w="95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29"/>
        </w:trPr>
        <w:tc>
          <w:tcPr>
            <w:tcW w:w="9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0" w:type="dxa"/>
            <w:vAlign w:val="bottom"/>
          </w:tcPr>
          <w:p>
            <w:pPr>
              <w:spacing w:after="0"/>
              <w:rPr>
                <w:sz w:val="1"/>
                <w:szCs w:val="1"/>
                <w:color w:val="auto"/>
              </w:rPr>
            </w:pPr>
          </w:p>
        </w:tc>
      </w:tr>
      <w:tr>
        <w:trPr>
          <w:trHeight w:val="230"/>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0" w:type="dxa"/>
            <w:vAlign w:val="bottom"/>
          </w:tcPr>
          <w:p>
            <w:pPr>
              <w:spacing w:after="0"/>
              <w:rPr>
                <w:sz w:val="1"/>
                <w:szCs w:val="1"/>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0" w:type="dxa"/>
            <w:vAlign w:val="bottom"/>
          </w:tcPr>
          <w:p>
            <w:pPr>
              <w:spacing w:after="0"/>
              <w:rPr>
                <w:sz w:val="1"/>
                <w:szCs w:val="1"/>
                <w:color w:val="auto"/>
              </w:rPr>
            </w:pPr>
          </w:p>
        </w:tc>
      </w:tr>
      <w:tr>
        <w:trPr>
          <w:trHeight w:val="22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30"/>
        </w:trPr>
        <w:tc>
          <w:tcPr>
            <w:tcW w:w="9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0" w:type="dxa"/>
            <w:vAlign w:val="bottom"/>
          </w:tcPr>
          <w:p>
            <w:pPr>
              <w:spacing w:after="0"/>
              <w:rPr>
                <w:sz w:val="1"/>
                <w:szCs w:val="1"/>
                <w:color w:val="auto"/>
              </w:rPr>
            </w:pPr>
          </w:p>
        </w:tc>
      </w:tr>
      <w:tr>
        <w:trPr>
          <w:trHeight w:val="248"/>
        </w:trPr>
        <w:tc>
          <w:tcPr>
            <w:tcW w:w="9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61,532</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Transaction</w:t>
      </w:r>
    </w:p>
    <w:p>
      <w:pPr>
        <w:spacing w:after="0" w:line="1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the issuance of the 2029 convertible senior notes on March 1, 2024, the Company used part of the net proceeds from the issuance to repurchase approximately $313.1 million aggregate principal amount of the outstanding 2025 convertible senior notes in privately-negotiated transactions for aggregate cash consideration of approximately $304.9 million (the “Repurchase Transaction”).</w:t>
      </w:r>
    </w:p>
    <w:p>
      <w:pPr>
        <w:spacing w:after="0" w:line="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Repurchase Transaction was accounted for as a debt extinguishment. The difference between the consideration used to extinguish the 2025 convertible senior notes and the carrying value of the 2025 convertible senior notes (including unamortized debt discount and issuance costs) resulted in an extinguishment gain 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$6.6 million recorded in Other income (expense), net on the Company’s condensed consolidated statements of operations and comprehensive income (loss).</w:t>
      </w:r>
    </w:p>
    <w:p>
      <w:pPr>
        <w:spacing w:after="0" w:line="5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the Repurchase Transaction, the Company also entered into a partial termination agreement with each bank counterparty and unwound a corresponding portion of the previously purchased capped call instruments entered into in connection with the issuance of the 2025 convertible senior notes (the “2025 Capped Calls”). The Company received approximately $0.5 million in cash in connection with these partial terminations, representing the fair value at the date of settlement of the unwound 2025 Capped Calls.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2029 Convertible Senior Notes and Related Capped Call Transactions</w:t>
      </w:r>
    </w:p>
    <w:p>
      <w:pPr>
        <w:spacing w:after="0" w:line="94"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w:t>
      </w:r>
    </w:p>
    <w:p>
      <w:pPr>
        <w:spacing w:after="0" w:line="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Each $1,000 principal amount of the 2029 convertible senior notes is initially convertible into 12.5918 shares of the Company’s common stock (the “2029 Conversion Option”), which is equivalent to an initial conversion price of approximately $79.42 per share of common stock, subject to adjustment</w:t>
      </w:r>
    </w:p>
    <w:p>
      <w:pPr>
        <w:jc w:val="both"/>
        <w:spacing w:after="0" w:line="236" w:lineRule="auto"/>
        <w:rPr>
          <w:sz w:val="20"/>
          <w:szCs w:val="20"/>
          <w:color w:val="auto"/>
        </w:rPr>
      </w:pPr>
      <w:r>
        <w:rPr>
          <w:rFonts w:ascii="Times New Roman" w:cs="Times New Roman" w:eastAsia="Times New Roman" w:hAnsi="Times New Roman"/>
          <w:sz w:val="18"/>
          <w:szCs w:val="18"/>
          <w:color w:val="auto"/>
        </w:rPr>
        <w:t>upon the occurrence of specified events. 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w:t>
      </w:r>
    </w:p>
    <w:p>
      <w:pPr>
        <w:spacing w:after="0" w:line="79"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spacing w:after="0" w:line="95"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The closing market price of the Company's common stock of $27.15 per share on March 31, 2025, the last trading day during the three months ended March 31, 2025, was below $103.24 per share, which represents 130% of the initial conversion price of $79.42 per share. Additionally, the last reported sale price of the Company’s common stock for at least 20 trading days (whether or not consecutive) during a period of 30 consecutive trading days ending on, and including, the last trading day, March 31, 2025, was not greater than or equal to 130% of the initial conversion price. As such, during the three months ended March 31, 2025, the conditions allowing holders of the 2029 convertible senior notes to convert were not met. The 2029 convertible senior notes are therefore not convertible during the three months ending June 30, 2025.</w:t>
      </w:r>
    </w:p>
    <w:p>
      <w:pPr>
        <w:spacing w:after="0" w:line="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may not redeem the 2029 convertible senior notes prior to March 22, 2027. The Company may redeem for cash all or any portion of the 2029 convertible senior notes, at its option, on or after March 22, 2027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p>
    <w:p>
      <w:pPr>
        <w:spacing w:after="0" w:line="63"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2029 convertible senior notes as of March 31, 2025 was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747,500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(14,779)</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732,721</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731,855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Interest expense related to the 2029 convertible senior notes was as follows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6"/>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debt issuance costs are amortized into interest expense over the term of the 2029 convertible senior notes at an effective interest rate of 1.49%.</w:t>
      </w:r>
    </w:p>
    <w:p>
      <w:pPr>
        <w:spacing w:after="0" w:line="104"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Convertible Senior Notes and Related Capped Call Transactions</w:t>
      </w:r>
    </w:p>
    <w:p>
      <w:pPr>
        <w:spacing w:after="0" w:line="108" w:lineRule="exact"/>
        <w:rPr>
          <w:sz w:val="20"/>
          <w:szCs w:val="20"/>
          <w:color w:val="auto"/>
        </w:rPr>
      </w:pPr>
    </w:p>
    <w:p>
      <w:pPr>
        <w:ind w:right="60" w:firstLine="445"/>
        <w:spacing w:after="0" w:line="245" w:lineRule="auto"/>
        <w:rPr>
          <w:sz w:val="20"/>
          <w:szCs w:val="20"/>
          <w:color w:val="auto"/>
        </w:rPr>
      </w:pPr>
      <w:r>
        <w:rPr>
          <w:rFonts w:ascii="Times New Roman" w:cs="Times New Roman" w:eastAsia="Times New Roman" w:hAnsi="Times New Roman"/>
          <w:sz w:val="18"/>
          <w:szCs w:val="18"/>
          <w:color w:val="auto"/>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2025 convertible senior notes mature on June 1, 2025 and bear interest at a fixed rate of 0.500% per annum, payable semiannually in arrears on June 1 and December 1 of each year, beginning on December 1, 2020.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total net proceeds from the issuance of the 2025 convertible senior notes, after deducting initial purchasers' discounts and commissions and estimated debt issuance costs, were approximately $728.8 million.</w:t>
      </w:r>
    </w:p>
    <w:p>
      <w:pPr>
        <w:spacing w:after="0" w:line="54" w:lineRule="exact"/>
        <w:rPr>
          <w:sz w:val="20"/>
          <w:szCs w:val="20"/>
          <w:color w:val="auto"/>
        </w:rPr>
      </w:pPr>
    </w:p>
    <w:p>
      <w:pPr>
        <w:jc w:val="both"/>
        <w:ind w:right="20" w:firstLine="445"/>
        <w:spacing w:after="0" w:line="250" w:lineRule="auto"/>
        <w:rPr>
          <w:sz w:val="20"/>
          <w:szCs w:val="20"/>
          <w:color w:val="auto"/>
        </w:rPr>
      </w:pPr>
      <w:r>
        <w:rPr>
          <w:rFonts w:ascii="Times New Roman" w:cs="Times New Roman" w:eastAsia="Times New Roman" w:hAnsi="Times New Roman"/>
          <w:sz w:val="18"/>
          <w:szCs w:val="18"/>
          <w:color w:val="auto"/>
        </w:rPr>
        <w:t>In March 2024, the Company used part of the net proceeds from the issuance of the 2029 convertible senior notes to repurchase $313.1 million aggregate principal amount of the 2025 convertible senior notes in privately-negotiated transactions. As of March 31, 2025, after giving effect to the Repurchase Transaction, approximately $434.4 million aggregate principal amount of 2025 convertible senior notes remained outstanding.</w:t>
      </w:r>
    </w:p>
    <w:p>
      <w:pPr>
        <w:spacing w:after="0" w:line="69" w:lineRule="exact"/>
        <w:rPr>
          <w:sz w:val="20"/>
          <w:szCs w:val="20"/>
          <w:color w:val="auto"/>
        </w:rPr>
      </w:pPr>
    </w:p>
    <w:p>
      <w:pPr>
        <w:ind w:right="120" w:firstLine="445"/>
        <w:spacing w:after="0" w:line="237" w:lineRule="auto"/>
        <w:rPr>
          <w:sz w:val="20"/>
          <w:szCs w:val="20"/>
          <w:color w:val="auto"/>
        </w:rPr>
      </w:pPr>
      <w:r>
        <w:rPr>
          <w:rFonts w:ascii="Times New Roman" w:cs="Times New Roman" w:eastAsia="Times New Roman" w:hAnsi="Times New Roman"/>
          <w:sz w:val="18"/>
          <w:szCs w:val="18"/>
          <w:color w:val="auto"/>
        </w:rPr>
        <w:t>Each $1,000 principal amount of the 2025 convertible senior notes is initially convertible into 7.4437 shares of the Company’s common stock (the “2025 Conversion Option”), which is equivalent to an initial conversion price of approximately $134.34 per share of common stock, subject to adjustment upon the occurrence of specified events. The initial conversion price represents a premium of approximately 30% to the $103.34 per share closing price of the Company’s common stock on The Nasdaq Global Market on May 21, 2020. There have been no changes to the initial conversion price of the 2025 convertible senior notes since issuance. Prior to March 1, 2025, the 2025 convertible senior notes were convertible, in multiples of $1,000 principal amount, at the option of the holders prior to the close of business on the business day immediately preceding March 1, 2025, only under certain circumstances. Commencing on March 1, 2025, and until the close of business on the second scheduled trading day immediately preceding the maturity date, holders may convert all or any portion of their 2025 convertible senior notes, in multiples of $1,000 principal amount, at the option of the holder regardless of the foregoing circumstances.</w:t>
      </w:r>
    </w:p>
    <w:p>
      <w:pPr>
        <w:spacing w:after="0" w:line="91" w:lineRule="exact"/>
        <w:rPr>
          <w:sz w:val="20"/>
          <w:szCs w:val="20"/>
          <w:color w:val="auto"/>
        </w:rPr>
      </w:pPr>
    </w:p>
    <w:p>
      <w:pPr>
        <w:ind w:right="60" w:firstLine="445"/>
        <w:spacing w:after="0" w:line="262" w:lineRule="auto"/>
        <w:rPr>
          <w:sz w:val="20"/>
          <w:szCs w:val="20"/>
          <w:color w:val="auto"/>
        </w:rPr>
      </w:pPr>
      <w:r>
        <w:rPr>
          <w:rFonts w:ascii="Times New Roman" w:cs="Times New Roman" w:eastAsia="Times New Roman" w:hAnsi="Times New Roman"/>
          <w:sz w:val="17"/>
          <w:szCs w:val="17"/>
          <w:color w:val="auto"/>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2025 convertible senior notes), subject to certain conditions, holders may require the Company to repurchase for cash all or any portion of their 2025 convertible senior notes, in principal amounts of $1,000 or a multiple thereof, at a fundamental change repurchase price equal to 100% of the principal amount of the 2025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spacing w:after="0" w:line="59" w:lineRule="exact"/>
        <w:rPr>
          <w:sz w:val="20"/>
          <w:szCs w:val="20"/>
          <w:color w:val="auto"/>
        </w:rPr>
      </w:pPr>
    </w:p>
    <w:p>
      <w:pPr>
        <w:ind w:right="100" w:firstLine="445"/>
        <w:spacing w:after="0" w:line="245" w:lineRule="auto"/>
        <w:rPr>
          <w:sz w:val="20"/>
          <w:szCs w:val="20"/>
          <w:color w:val="auto"/>
        </w:rPr>
      </w:pPr>
      <w:r>
        <w:rPr>
          <w:rFonts w:ascii="Times New Roman" w:cs="Times New Roman" w:eastAsia="Times New Roman" w:hAnsi="Times New Roman"/>
          <w:sz w:val="18"/>
          <w:szCs w:val="18"/>
          <w:color w:val="auto"/>
        </w:rPr>
        <w:t>The 2025 convertible senior notes became redeemable at the Company's option on June 6, 2023. The Company may redeem for cash all or any portion of the 2025 convertible senior notes, at its option, prior to March 1, 2025, if the last reported sale price of its common stock has been at least 130% of the conversion price then in effect for at least 20 trading days (whether or not consecutive) during any 30 consecutive trading day period (including the last trading day of such period) ending not more than two trading days immediately preceding the date on which the Company provides notice of redemption at a redemption price equal to 100% of the principal amount of the 2025 convertible senior notes to be redeemed, plus accrued and unpaid interest, if any, to, but excluding, the redemption date. No sinking fund is provided for the 2025 convertible senior notes. During the three months ended March 31, 2025, the conditions allowing the Company to redeem for cash all or any portion of the 2025 convertible senior notes were not met.</w:t>
      </w:r>
    </w:p>
    <w:p>
      <w:pPr>
        <w:spacing w:after="0" w:line="87" w:lineRule="exact"/>
        <w:rPr>
          <w:sz w:val="20"/>
          <w:szCs w:val="20"/>
          <w:color w:val="auto"/>
        </w:rPr>
      </w:pPr>
    </w:p>
    <w:p>
      <w:pPr>
        <w:ind w:right="60" w:firstLine="445"/>
        <w:spacing w:after="0" w:line="246" w:lineRule="auto"/>
        <w:rPr>
          <w:sz w:val="20"/>
          <w:szCs w:val="20"/>
          <w:color w:val="auto"/>
        </w:rPr>
      </w:pPr>
      <w:r>
        <w:rPr>
          <w:rFonts w:ascii="Times New Roman" w:cs="Times New Roman" w:eastAsia="Times New Roman" w:hAnsi="Times New Roman"/>
          <w:sz w:val="18"/>
          <w:szCs w:val="18"/>
          <w:color w:val="auto"/>
        </w:rPr>
        <w:t>The 2025 convertible senior notes are the Company’s senior unsecured obligations and rank senior in right of payment to any of the Company’s indebtedness that is expressly subordinated in right of payment to the 2025 convertible senior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net carrying amount of the 2025 convertible senior notes as of March 31, 2025 and as of December 31, 2024 was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16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repaid</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(313,095)</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434,031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433,490</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related to the 2025 convertible senior notes was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190"/>
        </w:trPr>
        <w:tc>
          <w:tcPr>
            <w:tcW w:w="74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tcPr>
          <w:p>
            <w:pPr>
              <w:spacing w:after="0"/>
              <w:rPr>
                <w:sz w:val="19"/>
                <w:szCs w:val="19"/>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debt issuance costs are amortized into interest expense over the term of the 2025 convertible senior notes at an effective interest rate of 1.00%.</w:t>
      </w:r>
    </w:p>
    <w:p>
      <w:pPr>
        <w:spacing w:after="0" w:line="104" w:lineRule="exact"/>
        <w:rPr>
          <w:sz w:val="20"/>
          <w:szCs w:val="20"/>
          <w:color w:val="auto"/>
        </w:rPr>
      </w:pPr>
    </w:p>
    <w:p>
      <w:pPr>
        <w:jc w:val="both"/>
        <w:ind w:firstLine="486"/>
        <w:spacing w:after="0" w:line="238" w:lineRule="auto"/>
        <w:rPr>
          <w:sz w:val="20"/>
          <w:szCs w:val="20"/>
          <w:color w:val="auto"/>
        </w:rPr>
      </w:pPr>
      <w:r>
        <w:rPr>
          <w:rFonts w:ascii="Times New Roman" w:cs="Times New Roman" w:eastAsia="Times New Roman" w:hAnsi="Times New Roman"/>
          <w:sz w:val="18"/>
          <w:szCs w:val="18"/>
          <w:color w:val="auto"/>
        </w:rPr>
        <w:t>In connection with the issuance of the 2025 convertible senior notes, the Company entered into privately negotiated capped call transactions (each a “2025 Capped Call,” and collectively the "2025 Capped Calls") with certain financial institutions. The 2025 Capped Calls each have an initial strike price of approximately $134.34, which corresponds to the initial conversion price of the 2025 convertible senior notes. The initial cap price of the 2025 Capped Calls was $206.68 per share and is subject to certain adjustments under the terms of the 2025 Capped Calls. In connection with the Repurchase Transaction, the Company unwound a portion of the 2025 Capped Calls. Refer to the Repurchase Transaction section above for further information. There are no changes or amendments made to the remaining 2025 Capped Calls. The remaining 2025 Capped Calls cover, subject to anti-dilution adjustments, approximately 3.2 million shares of the Company’s common stock. Each 2025 Capped Call is subject to adjustment upon the occurrence of specified extraordinary events affecting the Company, including merger events, tender offers, and announcement events. In addition, each 2025 Capped Call is subject to certain specified additional disruption events that may give rise to a termination of each 2025 Capped Call, including nationalization, insolvency or delisting, changes in law, failures to deliver, insolvency filings, and hedging disruptions. For accounting purposes, each 2025 Capped Call is a separate transaction from, and not part of the terms of the 2025 convertible senior notes. As these transactions meet certain accounting criteria, the 2025 Capped Calls are recorded in stockholders' equity and are not accounted for as derivatives. The 2025 Capped Calls will not be remeasured as long as they continue to meet the conditions for equity classification.</w:t>
      </w:r>
    </w:p>
    <w:p>
      <w:pPr>
        <w:spacing w:after="0" w:line="311" w:lineRule="exact"/>
        <w:rPr>
          <w:sz w:val="20"/>
          <w:szCs w:val="20"/>
          <w:color w:val="auto"/>
        </w:rPr>
      </w:pPr>
    </w:p>
    <w:p>
      <w:pPr>
        <w:ind w:right="9420" w:firstLine="8"/>
        <w:spacing w:after="0" w:line="43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Capital Structure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860" w:firstLine="445"/>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450,000,000 shares of common stock with a par value of $0.001 per share. As of March 31, 2025 and December 31, 2024, the Company had 76,243,231 and 75,807,505 shares of common stock issued and outstanding,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The Company is authorized to designate and issue up to 5,000,000 shares of preferred stock with a par value of $0.001 per share in one or more series without stockholder approval and to fix the rights, preferences, privileges and restrictions thereof. As of March 31, 2025 and December 31, 2024, there were no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p>
      <w:pPr>
        <w:spacing w:after="0" w:line="121" w:lineRule="exact"/>
        <w:rPr>
          <w:sz w:val="20"/>
          <w:szCs w:val="20"/>
          <w:color w:val="auto"/>
        </w:rPr>
      </w:pPr>
    </w:p>
    <w:p>
      <w:pPr>
        <w:ind w:right="60" w:firstLine="445"/>
        <w:spacing w:after="0" w:line="270" w:lineRule="auto"/>
        <w:rPr>
          <w:sz w:val="20"/>
          <w:szCs w:val="20"/>
          <w:color w:val="auto"/>
        </w:rPr>
      </w:pPr>
      <w:r>
        <w:rPr>
          <w:rFonts w:ascii="Times New Roman" w:cs="Times New Roman" w:eastAsia="Times New Roman" w:hAnsi="Times New Roman"/>
          <w:sz w:val="18"/>
          <w:szCs w:val="18"/>
          <w:color w:val="auto"/>
        </w:rPr>
        <w:t>Shares of common stock reserved for future issuance related to outstanding equity awards and employee equity incentive plans as of March 31, 2025 were as follows (in thousands):</w:t>
      </w:r>
    </w:p>
    <w:tbl>
      <w:tblPr>
        <w:tblLayout w:type="fixed"/>
        <w:tblInd w:w="0" w:type="dxa"/>
        <w:tblCellMar>
          <w:top w:w="0" w:type="dxa"/>
          <w:left w:w="0" w:type="dxa"/>
          <w:bottom w:w="0" w:type="dxa"/>
          <w:right w:w="0" w:type="dxa"/>
        </w:tblCellMar>
      </w:tblPr>
      <w:tr>
        <w:trPr>
          <w:trHeight w:val="190"/>
        </w:trPr>
        <w:tc>
          <w:tcPr>
            <w:tcW w:w="9460" w:type="dxa"/>
            <w:vAlign w:val="bottom"/>
          </w:tcPr>
          <w:p>
            <w:pPr>
              <w:spacing w:after="0"/>
              <w:rPr>
                <w:sz w:val="16"/>
                <w:szCs w:val="16"/>
                <w:color w:val="auto"/>
              </w:rPr>
            </w:pPr>
          </w:p>
        </w:tc>
        <w:tc>
          <w:tcPr>
            <w:tcW w:w="17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94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(including PRSUs) outstanding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grant under 2014 Plan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ESPP</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48"/>
        </w:trPr>
        <w:tc>
          <w:tcPr>
            <w:tcW w:w="9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the Company’s stock option activity during the three months ended March 31, 2025 is as follows (in thousands,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02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06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80" w:type="dxa"/>
            <w:vAlign w:val="bottom"/>
          </w:tcPr>
          <w:p>
            <w:pPr>
              <w:spacing w:after="0"/>
              <w:rPr>
                <w:sz w:val="12"/>
                <w:szCs w:val="12"/>
                <w:color w:val="auto"/>
              </w:rPr>
            </w:pPr>
          </w:p>
        </w:tc>
        <w:tc>
          <w:tcPr>
            <w:tcW w:w="10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0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10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3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3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60" w:firstLine="445"/>
        <w:spacing w:after="0" w:line="282" w:lineRule="auto"/>
        <w:rPr>
          <w:sz w:val="20"/>
          <w:szCs w:val="20"/>
          <w:color w:val="auto"/>
        </w:rPr>
      </w:pPr>
      <w:r>
        <w:rPr>
          <w:rFonts w:ascii="Times New Roman" w:cs="Times New Roman" w:eastAsia="Times New Roman" w:hAnsi="Times New Roman"/>
          <w:sz w:val="18"/>
          <w:szCs w:val="18"/>
          <w:color w:val="auto"/>
        </w:rPr>
        <w:t>The aggregate intrinsic value amounts are computed based on the difference between the exercise price of the stock options and the fair market value of the Company’s common stock of $27.15 per share as of March 31, 2025 for all in-the-money stock options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(including PRSUs)</w:t>
      </w:r>
    </w:p>
    <w:p>
      <w:pPr>
        <w:spacing w:after="0" w:line="121" w:lineRule="exact"/>
        <w:rPr>
          <w:sz w:val="20"/>
          <w:szCs w:val="20"/>
          <w:color w:val="auto"/>
        </w:rPr>
      </w:pPr>
    </w:p>
    <w:p>
      <w:pPr>
        <w:ind w:right="180" w:firstLine="445"/>
        <w:spacing w:after="0" w:line="270" w:lineRule="auto"/>
        <w:rPr>
          <w:sz w:val="20"/>
          <w:szCs w:val="20"/>
          <w:color w:val="auto"/>
        </w:rPr>
      </w:pPr>
      <w:r>
        <w:rPr>
          <w:rFonts w:ascii="Times New Roman" w:cs="Times New Roman" w:eastAsia="Times New Roman" w:hAnsi="Times New Roman"/>
          <w:sz w:val="18"/>
          <w:szCs w:val="18"/>
          <w:color w:val="auto"/>
        </w:rPr>
        <w:t>A summary of the Company’s restricted stock unit ("RSU") activity, including PRSUs, during the three months ended March 31, 2025 is as follows (in thousands, except per share data):</w:t>
      </w: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7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0" w:type="dxa"/>
            <w:vAlign w:val="bottom"/>
          </w:tcPr>
          <w:p>
            <w:pPr>
              <w:spacing w:after="0"/>
              <w:rPr>
                <w:sz w:val="1"/>
                <w:szCs w:val="1"/>
                <w:color w:val="auto"/>
              </w:rPr>
            </w:pPr>
          </w:p>
        </w:tc>
      </w:tr>
      <w:tr>
        <w:trPr>
          <w:trHeight w:val="230"/>
        </w:trPr>
        <w:tc>
          <w:tcPr>
            <w:tcW w:w="7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 and released</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30"/>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forfeited or cancelled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48"/>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7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267,711 PRSUs granted during the three months ended March 31, 2025.</w:t>
      </w:r>
    </w:p>
    <w:p>
      <w:pPr>
        <w:spacing w:after="0" w:line="98" w:lineRule="exact"/>
        <w:rPr>
          <w:sz w:val="20"/>
          <w:szCs w:val="20"/>
          <w:color w:val="auto"/>
        </w:rPr>
      </w:pPr>
    </w:p>
    <w:p>
      <w:pPr>
        <w:ind w:firstLine="405"/>
        <w:spacing w:after="0" w:line="239" w:lineRule="auto"/>
        <w:rPr>
          <w:sz w:val="20"/>
          <w:szCs w:val="20"/>
          <w:color w:val="auto"/>
        </w:rPr>
      </w:pPr>
      <w:r>
        <w:rPr>
          <w:rFonts w:ascii="Times New Roman" w:cs="Times New Roman" w:eastAsia="Times New Roman" w:hAnsi="Times New Roman"/>
          <w:sz w:val="18"/>
          <w:szCs w:val="18"/>
          <w:i w:val="1"/>
          <w:iCs w:val="1"/>
          <w:u w:val="single" w:color="auto"/>
          <w:color w:val="auto"/>
        </w:rPr>
        <w:t>PRSUs with Market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2025, the Company granted 267,711 market-based PRSUs with a grant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$13.9 million. The amount that may be earned pursuant to the market-based PRSUs ranges from 0% to 200% of the target number based on the Company’s relative total shareholder return (“RTSR”) performance during the 2025-2027 performance period as compared to the performance during such period of companies in the S&amp;P Software and Services Select Index on January 1, 2025. The 2025-2027 performance period contains three overlapping measurement periods—a one-year period (2025), a two-year period (2025–2026), and a three-year period (2025–2027). One-third of the total market-based PRSUs may be earned and settled in shares following the end of each measurement period based on RTSR performance and subject to continued employment through the payment date. If the Company’s absolute total shareholder return for any measurement period is negative, then no more than 100% of the target amount of market-based PRSUs for such period may be earned. If an executive's employment with the Company terminates before the end of the final one-year performance period due to death or disability, 100% (if due to death) or 50% (if due to disability) of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market-based PRSUs may be earned subject to ultimate RTSR performance in each remaining performance period. Upon a qualifying termination of employment in connection with a change in control of the Company, the unvested market-based PRSUs subject to the 2023-2025 performance period, the 2024-2026 performance period and the 2025-2027 performance period will vest on a double-trigger basis (i) at the target level for the uncompleted portions of the performance periods and (ii) at the actual level of performance measured through the date of the change in control of the Company, based on the price per share paid in such change in control. The fair value of the market-based PRSUs is determined on their grant date using a Monte Carlo Simulation model based upon assumptions presented below. The Company recognizes the fair value of the market-based PRSUs ratably over their requisite service period.</w:t>
      </w:r>
    </w:p>
    <w:p>
      <w:pPr>
        <w:spacing w:after="0" w:line="63"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During the first quarter of 2025, the Company certified the performance results for the 2024 measurement period for the market-based PRSUs subject to the 2022-2024 performance period, the 2023-2025 performance period and the 2024-2026 performance period. The Company determined that its actual total shareholder return was (47.25)% for 2024. The Company's relative total shareholder return ranking for the market-based PRSUs subject to the 2022-2024 performance period was in the 3.7 percentile relative to companies in the S&amp;P Software &amp; Services Select Index on January 1, 2022, which resulted in a payout percentage of 0.00% of target for the 2024 measurement for such PRSUs. The Company's relative total shareholder return ranking for the market-based PRSUs subject to the 2023-2025 performance period was in the 2.9 percentile relative to companies in the S&amp;P Software &amp; Services Select Index on January 1, 2023, which resulted in a payout percentage of 0.0% of target for the 2024 measurement period for such PRSUs. The Company's relative total shareholder return ranking for the market-based PRSUs subject to the 2024-2026 performance period was in the 1.5 percentile relative to companies in the S&amp;P Software &amp; Services Select Index on January 1, 2024, which resulted in a payout percentage of 0.0% of target for the 2024 measurement period for such PRSUs.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Stock-based compensation expense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29"/>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12,131</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00" w:firstLine="445"/>
        <w:spacing w:after="0" w:line="270" w:lineRule="auto"/>
        <w:rPr>
          <w:sz w:val="20"/>
          <w:szCs w:val="20"/>
          <w:color w:val="auto"/>
        </w:rPr>
      </w:pPr>
      <w:r>
        <w:rPr>
          <w:rFonts w:ascii="Times New Roman" w:cs="Times New Roman" w:eastAsia="Times New Roman" w:hAnsi="Times New Roman"/>
          <w:sz w:val="18"/>
          <w:szCs w:val="18"/>
          <w:color w:val="auto"/>
        </w:rPr>
        <w:t>As of March 31, 2025, unrecognized stock-based compensation expense by award type and expected weighted-average recognition periods are summarized in the following table (in thousands, except years).</w:t>
      </w: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2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RSU</w:t>
            </w:r>
          </w:p>
        </w:tc>
        <w:tc>
          <w:tcPr>
            <w:tcW w:w="320" w:type="dxa"/>
            <w:vAlign w:val="bottom"/>
          </w:tcPr>
          <w:p>
            <w:pPr>
              <w:spacing w:after="0"/>
              <w:rPr>
                <w:sz w:val="12"/>
                <w:szCs w:val="12"/>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PRSU</w:t>
            </w:r>
          </w:p>
        </w:tc>
        <w:tc>
          <w:tcPr>
            <w:tcW w:w="340" w:type="dxa"/>
            <w:vAlign w:val="bottom"/>
          </w:tcPr>
          <w:p>
            <w:pPr>
              <w:spacing w:after="0"/>
              <w:rPr>
                <w:sz w:val="12"/>
                <w:szCs w:val="12"/>
                <w:color w:val="auto"/>
              </w:rPr>
            </w:pP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(excluding PRSUs)</w:t>
            </w: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stock-based compensation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351,433</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amortization period</w:t>
            </w:r>
          </w:p>
        </w:tc>
        <w:tc>
          <w:tcPr>
            <w:tcW w:w="220" w:type="dxa"/>
            <w:vAlign w:val="bottom"/>
          </w:tcPr>
          <w:p>
            <w:pPr>
              <w:spacing w:after="0"/>
              <w:rPr>
                <w:sz w:val="20"/>
                <w:szCs w:val="20"/>
                <w:color w:val="auto"/>
              </w:rPr>
            </w:pP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0.8 years</w:t>
            </w:r>
          </w:p>
        </w:tc>
        <w:tc>
          <w:tcPr>
            <w:tcW w:w="120" w:type="dxa"/>
            <w:vAlign w:val="bottom"/>
          </w:tcPr>
          <w:p>
            <w:pPr>
              <w:spacing w:after="0"/>
              <w:rPr>
                <w:sz w:val="20"/>
                <w:szCs w:val="20"/>
                <w:color w:val="auto"/>
              </w:rPr>
            </w:pP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2.9 years</w:t>
            </w:r>
          </w:p>
        </w:tc>
        <w:tc>
          <w:tcPr>
            <w:tcW w:w="320" w:type="dxa"/>
            <w:vAlign w:val="bottom"/>
          </w:tcPr>
          <w:p>
            <w:pPr>
              <w:spacing w:after="0"/>
              <w:rPr>
                <w:sz w:val="20"/>
                <w:szCs w:val="20"/>
                <w:color w:val="auto"/>
              </w:rPr>
            </w:pPr>
          </w:p>
        </w:tc>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1.7 years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years</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weighted-average assumptions used to value PRSUs with market conditions granted during the periods presented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PRSUs (Market Conditions)</w:t>
            </w:r>
          </w:p>
        </w:tc>
        <w:tc>
          <w:tcPr>
            <w:tcW w:w="3280" w:type="dxa"/>
            <w:vAlign w:val="bottom"/>
            <w:gridSpan w:val="3"/>
            <w:vMerge w:val="restart"/>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5"/>
        </w:trPr>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740" w:type="dxa"/>
            <w:vAlign w:val="bottom"/>
            <w:tcBorders>
              <w:top w:val="single" w:sz="8" w:color="auto"/>
              <w:bottom w:val="single" w:sz="8" w:color="CCEEFF"/>
            </w:tcBorders>
            <w:shd w:val="clear" w:color="auto" w:fill="CCEEFF"/>
          </w:tcPr>
          <w:p>
            <w:pPr>
              <w:spacing w:after="0"/>
              <w:rPr>
                <w:sz w:val="10"/>
                <w:szCs w:val="10"/>
                <w:color w:val="auto"/>
              </w:rPr>
            </w:pPr>
          </w:p>
        </w:tc>
        <w:tc>
          <w:tcPr>
            <w:tcW w:w="6020" w:type="dxa"/>
            <w:vAlign w:val="bottom"/>
            <w:tcBorders>
              <w:top w:val="single" w:sz="8" w:color="CCEEFF"/>
              <w:bottom w:val="single" w:sz="8" w:color="CCEEFF"/>
            </w:tcBorders>
            <w:shd w:val="clear" w:color="auto" w:fill="CCEEFF"/>
          </w:tcPr>
          <w:p>
            <w:pPr>
              <w:spacing w:after="0"/>
              <w:rPr>
                <w:sz w:val="10"/>
                <w:szCs w:val="10"/>
                <w:color w:val="auto"/>
              </w:rPr>
            </w:pPr>
          </w:p>
        </w:tc>
        <w:tc>
          <w:tcPr>
            <w:tcW w:w="3280" w:type="dxa"/>
            <w:vAlign w:val="bottom"/>
            <w:tcBorders>
              <w:top w:val="single" w:sz="8" w:color="CCEEFF"/>
              <w:bottom w:val="single" w:sz="8" w:color="CCEEFF"/>
            </w:tcBorders>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7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56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29"/>
        </w:trPr>
        <w:tc>
          <w:tcPr>
            <w:tcW w:w="7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8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0" w:type="dxa"/>
            <w:vAlign w:val="bottom"/>
          </w:tcPr>
          <w:p>
            <w:pPr>
              <w:spacing w:after="0"/>
              <w:rPr>
                <w:sz w:val="1"/>
                <w:szCs w:val="1"/>
                <w:color w:val="auto"/>
              </w:rPr>
            </w:pPr>
          </w:p>
        </w:tc>
      </w:tr>
      <w:tr>
        <w:trPr>
          <w:trHeight w:val="229"/>
        </w:trPr>
        <w:tc>
          <w:tcPr>
            <w:tcW w:w="7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306"/>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3"/>
                <w:szCs w:val="23"/>
                <w:color w:val="auto"/>
                <w:vertAlign w:val="superscript"/>
              </w:rPr>
              <w:t>(1)</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paid, and does not anticipate paying, cash dividends on its shares of common stock. Accordingly, the expected dividend yield is zero.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(Loss) Per Share</w:t>
      </w:r>
    </w:p>
    <w:p>
      <w:pPr>
        <w:spacing w:after="0" w:line="1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 average number of shares of common stock outstanding during the period, and excludes any dilutive effects of employee stock-based awards and potential shares upon conversion of the convertible senior notes. Diluted net income (loss) per share is computed giving effect to all potentially dilutive shares of common stock, including common stock issuable upon exercise of stock options, vesting of RSUs and PRSUs, and shares of common stock issuable upon conversion of convertible senior notes.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54"/>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income (loss)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73,488</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firstLine="445"/>
        <w:spacing w:after="0" w:line="270" w:lineRule="auto"/>
        <w:rPr>
          <w:sz w:val="20"/>
          <w:szCs w:val="20"/>
          <w:color w:val="auto"/>
        </w:rPr>
      </w:pPr>
      <w:r>
        <w:rPr>
          <w:rFonts w:ascii="Times New Roman" w:cs="Times New Roman" w:eastAsia="Times New Roman" w:hAnsi="Times New Roman"/>
          <w:sz w:val="18"/>
          <w:szCs w:val="18"/>
          <w:color w:val="auto"/>
        </w:rPr>
        <w:t>The following securities were excluded from the calculation of diluted net income (loss) per share because their effect would have been anti-dilutive (in thousands):</w:t>
      </w: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2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29"/>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(including PRSUs)</w:t>
            </w: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5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2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14,506</w:t>
            </w:r>
          </w:p>
        </w:tc>
      </w:tr>
      <w:tr>
        <w:trPr>
          <w:trHeight w:val="20"/>
        </w:trPr>
        <w:tc>
          <w:tcPr>
            <w:tcW w:w="8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firstLine="445"/>
        <w:spacing w:after="0" w:line="244" w:lineRule="auto"/>
        <w:rPr>
          <w:sz w:val="20"/>
          <w:szCs w:val="20"/>
          <w:color w:val="auto"/>
        </w:rPr>
      </w:pPr>
      <w:r>
        <w:rPr>
          <w:rFonts w:ascii="Times New Roman" w:cs="Times New Roman" w:eastAsia="Times New Roman" w:hAnsi="Times New Roman"/>
          <w:sz w:val="18"/>
          <w:szCs w:val="18"/>
          <w:color w:val="auto"/>
        </w:rPr>
        <w:t>The Company used the if-converted method for calculating any potential dilutive effect of its convertible senior notes for the three months ended March 31, 2025 and 2024.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were included in the calculation of diluted net income per share for the three months ended March 31, 2025 and were excluded in the calculation of diluted net loss per share for the three months ended March 31, 2024 because the effect would have been anti-dilutive.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for the three months ended March 31, 2025 and 2024 was approximately $0.2 million and $1.0 million, respectively.</w:t>
      </w:r>
    </w:p>
    <w:p>
      <w:pPr>
        <w:spacing w:after="0" w:line="239" w:lineRule="exact"/>
        <w:rPr>
          <w:sz w:val="20"/>
          <w:szCs w:val="20"/>
          <w:color w:val="auto"/>
        </w:rPr>
      </w:pPr>
    </w:p>
    <w:p>
      <w:pPr>
        <w:ind w:right="100" w:firstLine="445"/>
        <w:spacing w:after="0" w:line="245" w:lineRule="auto"/>
        <w:rPr>
          <w:sz w:val="20"/>
          <w:szCs w:val="20"/>
          <w:color w:val="auto"/>
        </w:rPr>
      </w:pPr>
      <w:r>
        <w:rPr>
          <w:rFonts w:ascii="Times New Roman" w:cs="Times New Roman" w:eastAsia="Times New Roman" w:hAnsi="Times New Roman"/>
          <w:sz w:val="18"/>
          <w:szCs w:val="18"/>
          <w:color w:val="auto"/>
        </w:rPr>
        <w:t>The provision for income taxes for the three months ended March 31, 2025 consisted primarily of year-to-date withholding taxes incurred as a result of the Company's activity in foreign jurisdictions. The provision for income taxes for the three months ended March 31, 2024 consisted primarily of U.S. federal and U.S. state tax expense as a result of IRC Section 174 research and experimental capitalization requirements, and foreign current income tax expense due to the Company's intercompany cost-plus operating model.</w:t>
      </w:r>
    </w:p>
    <w:p>
      <w:pPr>
        <w:spacing w:after="0" w:line="73" w:lineRule="exact"/>
        <w:rPr>
          <w:sz w:val="20"/>
          <w:szCs w:val="20"/>
          <w:color w:val="auto"/>
        </w:rPr>
      </w:pPr>
    </w:p>
    <w:p>
      <w:pPr>
        <w:ind w:right="60" w:firstLine="445"/>
        <w:spacing w:after="0" w:line="242" w:lineRule="auto"/>
        <w:rPr>
          <w:sz w:val="20"/>
          <w:szCs w:val="20"/>
          <w:color w:val="auto"/>
        </w:rPr>
      </w:pPr>
      <w:r>
        <w:rPr>
          <w:rFonts w:ascii="Times New Roman" w:cs="Times New Roman" w:eastAsia="Times New Roman" w:hAnsi="Times New Roman"/>
          <w:sz w:val="18"/>
          <w:szCs w:val="18"/>
          <w:color w:val="auto"/>
        </w:rPr>
        <w:t>For the three months ended March 31, 2025, the provision for income taxes differed from the statutory amount primarily due to non-deductible stock based compensation, IRC Section 174 research and experimental capitalization requirements, state and foreign income taxes, research and development credits and the Company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maintaining a full valuation allowance against its U.S. net deferred tax assets. For the three months ended March 31, 2024, the provision for income taxes differed from the statutory amount primarily due to certain U.S. and foreign jurisdictions where a full valuation allowance was maintained against the net deferred tax assets.</w:t>
      </w:r>
    </w:p>
    <w:p>
      <w:pPr>
        <w:spacing w:after="0" w:line="136" w:lineRule="exact"/>
        <w:rPr>
          <w:sz w:val="20"/>
          <w:szCs w:val="20"/>
          <w:color w:val="auto"/>
        </w:rPr>
      </w:pPr>
    </w:p>
    <w:p>
      <w:pPr>
        <w:ind w:firstLine="445"/>
        <w:spacing w:after="0" w:line="244" w:lineRule="auto"/>
        <w:rPr>
          <w:sz w:val="20"/>
          <w:szCs w:val="20"/>
          <w:color w:val="auto"/>
        </w:rPr>
      </w:pPr>
      <w:r>
        <w:rPr>
          <w:rFonts w:ascii="Times New Roman" w:cs="Times New Roman" w:eastAsia="Times New Roman" w:hAnsi="Times New Roman"/>
          <w:sz w:val="18"/>
          <w:szCs w:val="18"/>
          <w:color w:val="auto"/>
        </w:rPr>
        <w:t>The realization of tax benefits from deferred tax assets is dependent upon future levels of taxable income, of an appropriate character, to be recognized in the periods the items are expected to be deductible or taxable. Based on the weight of the available objective evidence, the Company does not believe it is more likely than not that the U.S. net deferred tax assets will be realizable. Accordingly, the Company has provided a full valuation allowance against such net deferred tax assets as of March 31, 2025 and December 31, 2024. The Company intends to maintain the valuation allowance until sufficient positive evidence exists to support a reversal of, or decrease in, the valuation allowance. During the three months ended March 31, 2025, there were no material changes to the total amount of unrecognized tax benefits.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firstLine="445"/>
        <w:spacing w:after="0" w:line="246" w:lineRule="auto"/>
        <w:rPr>
          <w:sz w:val="20"/>
          <w:szCs w:val="20"/>
          <w:color w:val="auto"/>
        </w:rPr>
      </w:pPr>
      <w:r>
        <w:rPr>
          <w:rFonts w:ascii="Times New Roman" w:cs="Times New Roman" w:eastAsia="Times New Roman" w:hAnsi="Times New Roman"/>
          <w:sz w:val="18"/>
          <w:szCs w:val="18"/>
          <w:color w:val="auto"/>
        </w:rPr>
        <w:t>The Company’s principal commitments consist of future payment obligations under its convertible senior notes, finance leases to finance data centers and other computer and networking equipment, operating leases for office facilities, cloud services and software and maintenance agreements, and agreements with third parties to provide co-location hosting and telecommunication services. These commitments as of December 31, 2024 are disclosed in the Company’s Annual Report on Form 10-K for the year ended December 31, 2024, and material updates to these commitments during the three months ended March 31, 2025 are disclosed herein, including in this Note 10 and in Note 12.</w:t>
      </w:r>
    </w:p>
    <w:p>
      <w:pPr>
        <w:spacing w:after="0" w:line="87"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2025, the Company’s commitments under various co-location hosting and telecommunication usage service agreements totaled $13.5 million for terms ranging up to approximately five years. These agreements require the Company to make payments over the service term in exchange for certain network services.</w:t>
      </w:r>
    </w:p>
    <w:p>
      <w:pPr>
        <w:spacing w:after="0" w:line="68"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outstanding cloud services and software and maintenance agreement commitments totaling $29.5 million, of which $11.7 million is expected to be purchased in the remainder of 2025, and the remaining $17.8 million is expected to be purchased in 2026. The Company entered into equipment finance lease arrangements that resulted in a $8.7 million additional reduction of its outstanding cloud services commitment. See Note 12 for more information.</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2025, (i) $434.4 million of aggregate principal of the 2025 convertible senior notes was outstanding and is due on June 1, 2025, and</w:t>
      </w:r>
    </w:p>
    <w:p>
      <w:pPr>
        <w:spacing w:after="0" w:line="27" w:lineRule="exact"/>
        <w:rPr>
          <w:sz w:val="20"/>
          <w:szCs w:val="20"/>
          <w:color w:val="auto"/>
        </w:rPr>
      </w:pPr>
    </w:p>
    <w:p>
      <w:pPr>
        <w:ind w:right="680" w:firstLine="8"/>
        <w:spacing w:after="0" w:line="260"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$747.5 million of aggregate principal of the 2029 convertible senior notes was outstanding and is due on March 15, 2029. See Note 6 for more information concerning the convertible senior notes.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 The Company is currently party to the following action:</w:t>
      </w:r>
    </w:p>
    <w:p>
      <w:pPr>
        <w:spacing w:after="0" w:line="75" w:lineRule="exact"/>
        <w:rPr>
          <w:sz w:val="20"/>
          <w:szCs w:val="20"/>
          <w:color w:val="auto"/>
        </w:rPr>
      </w:pPr>
    </w:p>
    <w:p>
      <w:pPr>
        <w:ind w:right="160" w:firstLine="445"/>
        <w:spacing w:after="0" w:line="254" w:lineRule="auto"/>
        <w:rPr>
          <w:sz w:val="20"/>
          <w:szCs w:val="20"/>
          <w:color w:val="auto"/>
        </w:rPr>
      </w:pPr>
      <w:r>
        <w:rPr>
          <w:rFonts w:ascii="Times New Roman" w:cs="Times New Roman" w:eastAsia="Times New Roman" w:hAnsi="Times New Roman"/>
          <w:sz w:val="18"/>
          <w:szCs w:val="18"/>
          <w:color w:val="auto"/>
        </w:rPr>
        <w:t>On December 4, 2024, a purported holder of the Company’s securities filed a putative class action complaint against the Company, its Chief Executive Officer, and its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the Company and its business and seeking unspecified damages on behalf of all persons and entities (subject to specified exceptions) that purchased or otherwise acquired the Company’s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has until May 30, 2025, to file an amended complaint. The Company cannot predict the duration or outcome 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lawsuit at this time. As a result, the Company is unable to estimate the reasonably possible loss or range of reasonably possible losses arising from this lawsuit. The Company intends to vigorously defend this lawsuit.</w:t>
      </w:r>
    </w:p>
    <w:p>
      <w:pPr>
        <w:spacing w:after="0" w:line="54"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On April 4, 2025, the parties to the derivative action jointly filed a stipulation with the court to stay the derivative action until the resolution of the motion to dismiss in the securities action, as well as any subsequent motion to dismiss any further amended complaint in the securities action. On April 8, 2025, the court approved the stay stipulation.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200" w:firstLine="445"/>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of varying scope and terms pursuant to which it agrees to indemnify customers, vendors, lessors, business partners and other parties with respect to certain matters, including losses arising out of breach of such agreements, including breach of security, services to be provided by the Company or from intellectual property infringement claims made by third parties. The Company has received indemnification demands, and will likely continue to receive demands, from customers regarding its intellectual property indemnification obligations under these contracts.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income (loss), or consolidated statements of cash flows.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Geographical Information</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has a single operating and reportable segment and manages its business activities on a consolidated basis. The Company’s single segment provides its solution through a SaaS business model. The Company generates subscription revenue from its Intelligent CX Platform, and also generates usage-based telephony revenue. The Company charges its customers monthly subscription fees for access to its solution, primarily based on the number of licenses. The Company’s AI solutions are sold to its customers on a consumption or capacity basis. The Company’s reliable, secure, and scalable Intelligent CX Platform, powered by Five9 Genius AI, delivers a comprehensive suite of easy-to-use applications that enable the breadth of customer service, sales, and marketing related functions. The Company’s chief operating decision maker (“CODM”) is its chief executive officer. The Company’s CODM reviews financial information presented on a consolidated basis for purposes of assessing financial performance and making operating decisions on how to allocate resources based on net income (loss) that is also reported on its consolidated statements of operations and comprehensive income (loss) as consolidated net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The measure of segment assets is reported on its consolidated balance sheets as total consolidated assets.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Revenue by Geographic Areas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revenues by geographic region based on customer billing address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29"/>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247,057</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219,260</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27,750</w:t>
            </w:r>
          </w:p>
        </w:tc>
      </w:tr>
      <w:tr>
        <w:trPr>
          <w:trHeight w:val="248"/>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247,010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Long-Lived Assets, Net by Geographic Areas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total property and equipment, net in the respective locations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136,382</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w:t>
            </w:r>
          </w:p>
        </w:tc>
      </w:tr>
      <w:tr>
        <w:trPr>
          <w:trHeight w:val="248"/>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Total purchases of property and equipment for the three months ended March 31, 2025 and 2024 are disclosed in the Company’s Consolidated Statements of Cash Flows.</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Segment Information - Consolidated Statement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279,705</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247,010</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cost of revenue</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(31,072)</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sales and marketing</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w:t>
            </w:r>
            <w:r>
              <w:rPr>
                <w:rFonts w:ascii="Times New Roman" w:cs="Times New Roman" w:eastAsia="Times New Roman" w:hAnsi="Times New Roman"/>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(5)</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(43,641)</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early extinguishment of debt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3"/>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92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20" w:firstLine="8"/>
        <w:spacing w:after="0" w:line="248" w:lineRule="auto"/>
        <w:tabs>
          <w:tab w:leader="none" w:pos="145"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cost of revenue includes cost of revenue in accordance with GAAP, adjusted for depreciation and amortization, stock-based compensation, acquisition and related transaction costs and one-time integration costs, and lease amortization for finance leases.</w:t>
      </w:r>
    </w:p>
    <w:p>
      <w:pPr>
        <w:spacing w:after="0" w:line="62" w:lineRule="exact"/>
        <w:rPr>
          <w:rFonts w:ascii="Times New Roman" w:cs="Times New Roman" w:eastAsia="Times New Roman" w:hAnsi="Times New Roman"/>
          <w:sz w:val="17"/>
          <w:szCs w:val="17"/>
          <w:color w:val="auto"/>
          <w:vertAlign w:val="superscript"/>
        </w:rPr>
      </w:pPr>
    </w:p>
    <w:p>
      <w:pPr>
        <w:ind w:right="160" w:firstLine="8"/>
        <w:spacing w:after="0" w:line="282" w:lineRule="auto"/>
        <w:tabs>
          <w:tab w:leader="none" w:pos="145"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research and development includes research and development in accordance with GAAP, adjusted for depreciation and amortization, stock-based compensation, exit costs related to the closure and relocation of the Company’s Russian operations, acquisition and related transaction costs and one-time integration costs, and lease amortization for finance leases.</w:t>
      </w:r>
    </w:p>
    <w:p>
      <w:pPr>
        <w:spacing w:after="0" w:line="53"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sales and marketing includes sales and marketing expense in accordance with GAAP, adjusted for depreciation and amortization, and stock-based compensation.</w:t>
      </w:r>
    </w:p>
    <w:p>
      <w:pPr>
        <w:spacing w:after="0" w:line="109" w:lineRule="exact"/>
        <w:rPr>
          <w:rFonts w:ascii="Times New Roman" w:cs="Times New Roman" w:eastAsia="Times New Roman" w:hAnsi="Times New Roman"/>
          <w:sz w:val="9"/>
          <w:szCs w:val="9"/>
          <w:color w:val="auto"/>
        </w:rPr>
      </w:pPr>
    </w:p>
    <w:p>
      <w:pPr>
        <w:ind w:right="180" w:firstLine="8"/>
        <w:spacing w:after="0" w:line="282" w:lineRule="auto"/>
        <w:tabs>
          <w:tab w:leader="none" w:pos="145"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general and administrative included general and administrative expense in accordance with GAAP, adjusted for depreciation and amortization, stock-based compensation, exit costs related to the closure and relocation of the Company’s Russian operations, acquisition 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transaction costs and one-time integration costs, costs related to strategic consulting services, and legal fees related to the securities class action and other non-recurring legal matters.</w:t>
      </w:r>
    </w:p>
    <w:p>
      <w:pPr>
        <w:spacing w:after="0" w:line="109" w:lineRule="exact"/>
        <w:rPr>
          <w:sz w:val="20"/>
          <w:szCs w:val="20"/>
          <w:color w:val="auto"/>
        </w:rPr>
      </w:pPr>
    </w:p>
    <w:p>
      <w:pPr>
        <w:ind w:right="40" w:firstLine="8"/>
        <w:spacing w:after="0" w:line="644" w:lineRule="auto"/>
        <w:tabs>
          <w:tab w:leader="none" w:pos="132"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Other segment items included in segment net income (loss) includes stock-based compensation, exit costs related to the closure and relocation of our Russian operations, acquisition and related transaction costs and one-time integration costs, lease amortization for finance leases, costs related to strategic consulting services, and legal fees related to the securities class action and other non-recurring legal matters.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to terminate the leases upon 30-days' notice. The Company does not separate lease and non-lease components for real estate operating leases.</w:t>
      </w:r>
    </w:p>
    <w:p>
      <w:pPr>
        <w:spacing w:after="0" w:line="72" w:lineRule="exact"/>
        <w:rPr>
          <w:sz w:val="20"/>
          <w:szCs w:val="20"/>
          <w:color w:val="auto"/>
        </w:rPr>
      </w:pPr>
    </w:p>
    <w:p>
      <w:pPr>
        <w:ind w:right="40" w:firstLine="445"/>
        <w:spacing w:after="0" w:line="289" w:lineRule="auto"/>
        <w:rPr>
          <w:sz w:val="20"/>
          <w:szCs w:val="20"/>
          <w:color w:val="auto"/>
        </w:rPr>
      </w:pPr>
      <w:r>
        <w:rPr>
          <w:rFonts w:ascii="Times New Roman" w:cs="Times New Roman" w:eastAsia="Times New Roman" w:hAnsi="Times New Roman"/>
          <w:sz w:val="17"/>
          <w:szCs w:val="17"/>
          <w:color w:val="auto"/>
        </w:rPr>
        <w:t>As the Company’s leases do not provide an implicit rate, the net present value of future minimum lease payments is determined using the Company’s incremental borrowing rate. Operating leases with a duration of 12 months or less are excluded from right-of-use assets and operating lease liabilities, and related lease payments are generally recognized on a straight-line basis over the lease term and variable lease payments are recognized as incurred.</w:t>
      </w:r>
    </w:p>
    <w:p>
      <w:pPr>
        <w:spacing w:after="0" w:line="50"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Company entered into additional three-year equipment finance lease agreements and recognized $3.9 million right of use assets during the three months ended March 31, 2025, which were reported within Finance lease right-of-use assets and are being depreciated on a straight-line basis over the lease term. As a result, the Company also recognized short-term lease liabilities of $1.3 million within Finance lease liabilities and long-term lease liabilities of $2.6 million within Finance lease liabilities - less current portion during these periods.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lease expenses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54"/>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used in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used in finance leases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4"/>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6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34,987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37,071</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48,329</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21,113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(20,819)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 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12,321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0" w:type="dxa"/>
            <w:vAlign w:val="bottom"/>
          </w:tcPr>
          <w:p>
            <w:pPr>
              <w:spacing w:after="0"/>
              <w:rPr>
                <w:sz w:val="1"/>
                <w:szCs w:val="1"/>
                <w:color w:val="auto"/>
              </w:rPr>
            </w:pPr>
          </w:p>
        </w:tc>
      </w:tr>
      <w:tr>
        <w:trPr>
          <w:trHeight w:val="21"/>
        </w:trPr>
        <w:tc>
          <w:tcPr>
            <w:tcW w:w="74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Weighted average remaining terms were as follows (in years):</w:t>
            </w: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1092"/>
              <w:spacing w:after="0"/>
              <w:rPr>
                <w:sz w:val="20"/>
                <w:szCs w:val="20"/>
                <w:color w:val="auto"/>
              </w:rPr>
            </w:pPr>
            <w:r>
              <w:rPr>
                <w:rFonts w:ascii="Times New Roman" w:cs="Times New Roman" w:eastAsia="Times New Roman" w:hAnsi="Times New Roman"/>
                <w:sz w:val="18"/>
                <w:szCs w:val="18"/>
                <w:color w:val="auto"/>
                <w:w w:val="97"/>
              </w:rPr>
              <w:t>2.4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05"/>
        </w:trPr>
        <w:tc>
          <w:tcPr>
            <w:tcW w:w="7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Weighted average discount rates were as follows: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9"/>
              </w:rPr>
              <w:t>4.2 %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5.8 %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419"/>
        </w:trPr>
        <w:tc>
          <w:tcPr>
            <w:tcW w:w="7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7"/>
                <w:szCs w:val="17"/>
                <w:color w:val="auto"/>
              </w:rPr>
            </w:pPr>
          </w:p>
        </w:tc>
        <w:tc>
          <w:tcPr>
            <w:tcW w:w="16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74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left="952"/>
              <w:spacing w:after="0"/>
              <w:rPr>
                <w:sz w:val="20"/>
                <w:szCs w:val="20"/>
                <w:color w:val="auto"/>
              </w:rPr>
            </w:pPr>
            <w:r>
              <w:rPr>
                <w:rFonts w:ascii="Times New Roman" w:cs="Times New Roman" w:eastAsia="Times New Roman" w:hAnsi="Times New Roman"/>
                <w:sz w:val="18"/>
                <w:szCs w:val="18"/>
                <w:color w:val="auto"/>
                <w:w w:val="98"/>
              </w:rPr>
              <w:t>(4,539)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46,118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10080"/>
        <w:spacing w:after="0"/>
        <w:rPr>
          <w:sz w:val="20"/>
          <w:szCs w:val="20"/>
          <w:color w:val="auto"/>
        </w:rPr>
      </w:pPr>
      <w:r>
        <w:rPr>
          <w:rFonts w:ascii="Times New Roman" w:cs="Times New Roman" w:eastAsia="Times New Roman" w:hAnsi="Times New Roman"/>
          <w:sz w:val="18"/>
          <w:szCs w:val="18"/>
          <w:b w:val="1"/>
          <w:bCs w:val="1"/>
          <w:color w:val="auto"/>
        </w:rPr>
        <w:t>13. Acquisition</w:t>
      </w:r>
    </w:p>
    <w:p>
      <w:pPr>
        <w:spacing w:after="0" w:line="171" w:lineRule="exact"/>
        <w:rPr>
          <w:sz w:val="20"/>
          <w:szCs w:val="20"/>
          <w:color w:val="auto"/>
        </w:rPr>
      </w:pPr>
    </w:p>
    <w:p>
      <w:pPr>
        <w:jc w:val="right"/>
        <w:ind w:right="10080"/>
        <w:spacing w:after="0"/>
        <w:rPr>
          <w:sz w:val="20"/>
          <w:szCs w:val="20"/>
          <w:color w:val="auto"/>
        </w:rPr>
      </w:pPr>
      <w:r>
        <w:rPr>
          <w:rFonts w:ascii="Times New Roman" w:cs="Times New Roman" w:eastAsia="Times New Roman" w:hAnsi="Times New Roman"/>
          <w:sz w:val="18"/>
          <w:szCs w:val="18"/>
          <w:b w:val="1"/>
          <w:bCs w:val="1"/>
          <w:i w:val="1"/>
          <w:iCs w:val="1"/>
          <w:color w:val="auto"/>
        </w:rPr>
        <w:t>Acqueon</w:t>
      </w:r>
    </w:p>
    <w:p>
      <w:pPr>
        <w:spacing w:after="0" w:line="121" w:lineRule="exact"/>
        <w:rPr>
          <w:sz w:val="20"/>
          <w:szCs w:val="20"/>
          <w:color w:val="auto"/>
        </w:rPr>
      </w:pPr>
    </w:p>
    <w:p>
      <w:pPr>
        <w:ind w:right="320" w:firstLine="486"/>
        <w:spacing w:after="0" w:line="250" w:lineRule="auto"/>
        <w:rPr>
          <w:sz w:val="20"/>
          <w:szCs w:val="20"/>
          <w:color w:val="auto"/>
        </w:rPr>
      </w:pPr>
      <w:r>
        <w:rPr>
          <w:rFonts w:ascii="Times New Roman" w:cs="Times New Roman" w:eastAsia="Times New Roman" w:hAnsi="Times New Roman"/>
          <w:sz w:val="18"/>
          <w:szCs w:val="18"/>
          <w:color w:val="auto"/>
        </w:rPr>
        <w:t>On August 27, 2024, the Company acquired all of the issued and outstanding shares of capital stock of Acqueon for total consideration of approximately $173.8 million. This acquisition, which was accounted for as a business combination, is intended to build on the pre-existing partnership between the companies, and to extend the Company's AI-powered CX platform by adding omnichannel proactive customer engagement to expand the Company's outbound capabilities.</w:t>
      </w:r>
    </w:p>
    <w:p>
      <w:pPr>
        <w:spacing w:after="0" w:line="123"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color w:val="auto"/>
        </w:rPr>
        <w:t>The excess of the purchase price over identifiable intangible assets and net tangible assets in the amount of $139.4 million was allocated to goodwill, which is not deductible for tax purposes. The fair values assigned to assets acquired and liabilities assumed are based on management’s best estimates and assumptions as of the acquisition date and are considered preliminary pending finalization of valuation analyses pertaining to intangible assets acquired, liabilities assumed and tax liabilities assumed. During the measurement period, which may be up to one year from the acquisition date, the Company may record adjustments to the fair value of these tangible and intangible assets acquired and liabilities assumed, with the corresponding offset to goodwill. The Company recorded adjustments of less than $0.1 million and $1.3 million within one year from acquisition date measurement period for 2024 and for the three months ended March 31, 2025,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preliminary allocation of the purchase price at the acquisition date (in thousands):</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9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assets acquired</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technology</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139,429</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196,882</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(17,997)</w:t>
            </w:r>
          </w:p>
        </w:tc>
      </w:tr>
      <w:tr>
        <w:trPr>
          <w:trHeight w:val="248"/>
        </w:trPr>
        <w:tc>
          <w:tcPr>
            <w:tcW w:w="9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w:t>
      </w:r>
    </w:p>
    <w:p>
      <w:pPr>
        <w:spacing w:after="0" w:line="9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this acquisition, the Company incurred total acquisition-related transaction costs of $7.9 million during 2024, and incurred no additional costs during the three months ended March 31, 2025, that have been expensed as incurred and included in general and administrative expenses in the consolidated statements of operations and comprehensive income (loss).</w:t>
      </w:r>
    </w:p>
    <w:p>
      <w:pPr>
        <w:spacing w:after="0" w:line="108"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results of operations of this acquisition are included in the accompanying consolidated statements of operations and comprehensive income (loss) from the date of acquisition and are not material to the Company's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w:t>
      </w:r>
    </w:p>
    <w:p>
      <w:pPr>
        <w:spacing w:after="0" w:line="25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August 20, 2024, the Company announced a reduction in force plan (the “2024 Plan”) as part of its broader efforts to drive balanced, profitable growth, further supporting its positive, long-term outlook and focus on increasing shareholder value. The 2024 Plan reduced the Company’s global full-time employees by approximately 6%. For the year ended December 31, 2024, the Company incurred a total of $9.6 million in restructuring costs under the 2024 Plan, primarily consisting of notice period payments, severance payments, employee benefits and related costs, all of which are cash expenditures, of which $2.1 million was recorded in cost of revenue, $1.9 million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was recorded in research and development expenses, $4.4 million was recorded in sales and marketing expenses, and $1.2 million was recorded in general and administrative expenses on the consolidated statements of operations and comprehensive income (loss). As of March 31, 2025, $9.4 million had been paid and the remaining $0.2 million was recorded within Accrued and other current liabilities in the consolidated balance sheets and is expected to be mostly paid in the second quarter of 2025. Other than as set forth herein, the Company does not expect to incur any additional costs under the 2024 Plan.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108" w:lineRule="exact"/>
        <w:rPr>
          <w:sz w:val="20"/>
          <w:szCs w:val="20"/>
          <w:color w:val="auto"/>
        </w:rPr>
      </w:pPr>
    </w:p>
    <w:p>
      <w:pPr>
        <w:ind w:firstLine="486"/>
        <w:spacing w:after="0" w:line="239" w:lineRule="auto"/>
        <w:rPr>
          <w:sz w:val="20"/>
          <w:szCs w:val="20"/>
          <w:color w:val="auto"/>
        </w:rPr>
      </w:pPr>
      <w:r>
        <w:rPr>
          <w:rFonts w:ascii="Times New Roman" w:cs="Times New Roman" w:eastAsia="Times New Roman" w:hAnsi="Times New Roman"/>
          <w:sz w:val="18"/>
          <w:szCs w:val="18"/>
          <w:color w:val="auto"/>
        </w:rPr>
        <w:t>On March 31, 2025, the Board of Directors of the Company approved a reduction in force plan (the “2025 Plan”) as part of its broader efforts to prioritize investments in key strategic areas, including artificial intelligence, as well as to drive profitable growth in supporting its positive, long-term outlook and increasing shareholder value. On April 3, 2025, the Company commenced execution of the 2025 Plan, which is expected to reduce the Company’s global full-time employees by approximately 4%. The Company estimates the cash expenditures associated with the 2025 Plan to be approximately $7 million to $9 million, primarily consisting of severance payments, notice period payments in applicable jurisdictions, employee benefits and related costs. The Company estimates non-cash expenditures associated with the 2025 Plan to be approximately $1 million to $1.5 million related to the vesting of share-based awards. The Company expects to incur these expenses primarily in the second and third quarters of 2025. The actions associated with the 2025 Plan are expected to be substantially complete by the end of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condensed consolidated financial statements and notes thereto included elsewhere in this Quarterly Report on Form 10-Q and our Annual Report on Form 10-K for the year ended December 31,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are a leading provider of intelligent cloud contact centers with more than 3,000 customers. We believe we achieved this leadership position through our expertise and technology, which has empowered us to help organizations of all sizes transition from legacy on-premises contact center systems to our cloud solution. Our solution, comprised of our Intelligent CX Platform and applications, allows simultaneous management and optimization of customer interactions across voice, chat, email, web, social media and mobile channels, either directly or through our APIs. Our Intelligent CX Platform, powered by Five9 Genius AI, matches each customer interaction with an appropriate agent resource and delivers relevant customer data to the agent in real-time through integrations with adjacent enterprise applications, such as CRM software, to optimize the customer experience and improve agent productivity. Unlike legacy on-premises contact center systems, our solution requires minimal up-front investment, can be rapidly deployed and adjusted depending on our customer’s requirements.</w:t>
      </w:r>
    </w:p>
    <w:p>
      <w:pPr>
        <w:spacing w:after="0" w:line="8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Since founding our business in 2001, we have focused exclusively on delivering cloud contact center software. We initially targeted smaller contact center opportunities with our telesales team and, over time, invested in expanding the breadth and depth of the functionality of our cloud platform to meet the evolving requirements of our customers. In 2009, we made a strategic decision to expand our market opportunity to include larger contact centers. This decision drove further investments in research and development and the establishment of our field sales team to meet the requirements of these larger contact centers. We believe this shift has helped us diversify our customer base, while significantly enhancing our opportunity for future revenue growth. In 2018, we started including AI enhancements to our platform, and AI is now embedded throughout our platform. To complement these efforts, we have also focused on building customer awareness and driving adoption of our solution through marketing activities, which include internet advertising, digital marketing campaigns, social media, trade shows, industry events, telemarketing and out of home campaigns.</w:t>
      </w:r>
    </w:p>
    <w:p>
      <w:pPr>
        <w:spacing w:after="0" w:line="70" w:lineRule="exact"/>
        <w:rPr>
          <w:sz w:val="20"/>
          <w:szCs w:val="20"/>
          <w:color w:val="auto"/>
        </w:rPr>
      </w:pPr>
    </w:p>
    <w:p>
      <w:pPr>
        <w:ind w:right="40" w:firstLine="445"/>
        <w:spacing w:after="0" w:line="237" w:lineRule="auto"/>
        <w:rPr>
          <w:sz w:val="20"/>
          <w:szCs w:val="20"/>
          <w:color w:val="auto"/>
        </w:rPr>
      </w:pPr>
      <w:r>
        <w:rPr>
          <w:rFonts w:ascii="Times New Roman" w:cs="Times New Roman" w:eastAsia="Times New Roman" w:hAnsi="Times New Roman"/>
          <w:sz w:val="18"/>
          <w:szCs w:val="18"/>
          <w:color w:val="auto"/>
        </w:rPr>
        <w:t>We provide our solution through a software-as-a-service, or SaaS, business model. We generate subscription revenue from our Intelligent CX Platform, and also generate usage-based telephony revenue. We charge our customers monthly subscription fees for access to our Intelligent CX Platform, primarily based on the number of licenses, as well as on a consumption or capacity basis for our AI solutions. Our customers generally purchase both subscriptions and related telephony usage from us. However, a growing number of our customers subscribe to our platform but purchase telephony usage directly from wholesale telecommunications service providers.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related usage fees are billed in arrears. For each the three months ended March 31, 2025 and 2024, subscription and related usage fees accounted for 93% of our revenue. The remainder was comprised of professional services revenue from the implementation and optimization of our solution.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12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are subject to risks and exposures, including continued macroeconomic challenges, the impact of global tariff increases, the Russia-Ukraine conflict and the conflicts in the Middle East. While the implications of macroeconomic challenges, and global and regional conflicts on our business, results of operations and overall financial position remain uncertain over the long term, we expect that macroeconomic challenges will continue to have an adverse impact on our revenue in future periods.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in Force Plans</w:t>
      </w:r>
    </w:p>
    <w:p>
      <w:pPr>
        <w:spacing w:after="0" w:line="121" w:lineRule="exact"/>
        <w:rPr>
          <w:sz w:val="20"/>
          <w:szCs w:val="20"/>
          <w:color w:val="auto"/>
        </w:rPr>
      </w:pPr>
    </w:p>
    <w:p>
      <w:pPr>
        <w:ind w:right="60" w:firstLine="486"/>
        <w:spacing w:after="0" w:line="238" w:lineRule="auto"/>
        <w:rPr>
          <w:sz w:val="20"/>
          <w:szCs w:val="20"/>
          <w:color w:val="auto"/>
        </w:rPr>
      </w:pPr>
      <w:r>
        <w:rPr>
          <w:rFonts w:ascii="Times New Roman" w:cs="Times New Roman" w:eastAsia="Times New Roman" w:hAnsi="Times New Roman"/>
          <w:sz w:val="18"/>
          <w:szCs w:val="18"/>
          <w:color w:val="auto"/>
        </w:rPr>
        <w:t>In August 2024, we announced a reduction in force plan, or the 2024 Plan, as part of our broader efforts to drive balanced, profitable growth, further supporting our positive, long-term outlook and focus on increasing stockholder value. The 2024 Plan reduced our global full-time employees by approximately 6%. For the year ended December 31, 2024, we incurred a total of $9.6 million in restructuring costs under the 2024 Plan, primarily consisting of notice period payments, severance payments, employee benefits and related costs, all of which were cash expenditures, of which $2.1 million was recorded in cost of revenue, $1.9 million was recorded in research and development expenses, $4.4 million was recorded in sales and marketing expenses, and $1.2 million was recorded in general and administrative expenses. We do not expect to incur any additional costs under the 2024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486"/>
        <w:spacing w:after="0" w:line="237" w:lineRule="auto"/>
        <w:rPr>
          <w:sz w:val="20"/>
          <w:szCs w:val="20"/>
          <w:color w:val="auto"/>
        </w:rPr>
      </w:pPr>
      <w:r>
        <w:rPr>
          <w:rFonts w:ascii="Times New Roman" w:cs="Times New Roman" w:eastAsia="Times New Roman" w:hAnsi="Times New Roman"/>
          <w:sz w:val="18"/>
          <w:szCs w:val="18"/>
          <w:color w:val="auto"/>
        </w:rPr>
        <w:t>On March 31, 2025, we approved an additional reduction in force plan, or the 2025 Plan, as part of our broader efforts to prioritize investments in key strategic areas, including artificial intelligence, as well as to drive profitable growth in supporting its positive, long-term outlook and increasing shareholder value. On April 3, 2025, we commenced execution of the 2025 Plan, which is expected to reduce our global full-time employees by approximately 4%. We estimate the cash expenditures associated with the 2025 Plan to be approximately $7 million to $9 million, primarily consisting of severance payments, notice period payments in applicable jurisdictions, employee benefits and related costs. We estimate non-cash expenditures associated with the 2025 Plan to be approximately $1 million to $1.5 million related to the vesting of share-based awards. We expect to incur these expenses primarily in the second and third quarters of 2025. The actions associated with the 2025 Plan are expected to be substantially complete by the end of the second quarter of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GAAP Operating Results</w:t>
      </w:r>
    </w:p>
    <w:p>
      <w:pPr>
        <w:spacing w:after="0" w:line="18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revenue increased to $279.7 million for the three months ended March 31, 2025 from $247.0 million for the three months ended March 31, 2024. Revenue growth was primarily attributable to our larger customers, driven by an increase in our sales and marketing activities and our improved brand awareness. For each of the three months ended March 31, 2025 and 2024, no single customer accounted for more than 10% of our total revenue. As of March 31, 2025, we had over 3,000 customers across multiple industries with a wide range of license sizes. We had a net income of $0.6 million in the three months ended March 31, 2025, compared to a net loss of $7.1 million in the three months ended March 31, 2024.</w:t>
      </w:r>
    </w:p>
    <w:p>
      <w:pPr>
        <w:spacing w:after="0" w:line="62" w:lineRule="exact"/>
        <w:rPr>
          <w:sz w:val="20"/>
          <w:szCs w:val="20"/>
          <w:color w:val="auto"/>
        </w:rPr>
      </w:pPr>
    </w:p>
    <w:p>
      <w:pPr>
        <w:ind w:right="60" w:firstLine="445"/>
        <w:spacing w:after="0" w:line="237" w:lineRule="auto"/>
        <w:rPr>
          <w:sz w:val="20"/>
          <w:szCs w:val="20"/>
          <w:color w:val="auto"/>
        </w:rPr>
      </w:pPr>
      <w:r>
        <w:rPr>
          <w:rFonts w:ascii="Times New Roman" w:cs="Times New Roman" w:eastAsia="Times New Roman" w:hAnsi="Times New Roman"/>
          <w:sz w:val="18"/>
          <w:szCs w:val="18"/>
          <w:color w:val="auto"/>
        </w:rPr>
        <w:t>We have continued to make significant expenditures and investments, including in sales and marketing, research and development, infrastructure and investments in complementary businesses, technologies and intellectual property rights. We primarily evaluate the success of our business based on revenue growth and the efficiency and effectiveness of our investments. The growth of our business and our future success depend on many factors, including our ability to continue to expand our base of larger customers, grow revenue from our existing customers, innovate and expand internationally. While these areas represent significant opportunities for us, they also pose risks and challenges that we must successfully address, including the impact of continued macroeconomic challenges, the impact of global tariff increases, the Russia-Ukraine conflict and the conflicts in the Middle East, in order to successfully grow our business and improve our operating results.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Performance Metrics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Annual Dollar-Based Retention Rate</w:t>
      </w:r>
    </w:p>
    <w:p>
      <w:pPr>
        <w:spacing w:after="0" w:line="175"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believe that our Annual Dollar-Based Retention Rate provides insight into our ability to retain and grow revenue from our customers, and is a measure of the long-term value of our customer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customers in the comparable prior year period, and we define Retained Net Revenue as recurring net revenue from that same group of customers in the current period. We define recurring net revenue as net subscription and related usage revenue.</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Annual Dollar-Based Retention Rate based on Net Revenue for the periods presented:</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380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3"/>
        </w:trPr>
        <w:tc>
          <w:tcPr>
            <w:tcW w:w="74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0"/>
        </w:trPr>
        <w:tc>
          <w:tcPr>
            <w:tcW w:w="742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Annual Dollar-Based Retention Rate</w:t>
            </w:r>
          </w:p>
        </w:tc>
        <w:tc>
          <w:tcPr>
            <w:tcW w:w="1780" w:type="dxa"/>
            <w:vAlign w:val="bottom"/>
            <w:tcBorders>
              <w:top w:val="single" w:sz="8" w:color="auto"/>
            </w:tcBorders>
          </w:tcPr>
          <w:p>
            <w:pPr>
              <w:jc w:val="right"/>
              <w:ind w:right="602"/>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0"/>
                <w:szCs w:val="20"/>
                <w:color w:val="auto"/>
              </w:rPr>
            </w:pPr>
          </w:p>
        </w:tc>
        <w:tc>
          <w:tcPr>
            <w:tcW w:w="176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79"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Our Dollar-Based Retention Rate decreased year-over-year primarily due to continued macroeconomic headwinds on our installed base and larger seasonal decreases in our consumer and healthcare vertical markets.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We monitor adjusted EBITDA, a non-GAAP financial measure, to analyze our financial results and believe that it is useful to investors, as a supplement to U.S. GAAP measures, in evaluating our ongoing operational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75"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income (loss). We calculate adjusted EBITDA as net income (loss) before (1) depreciation and amortization, (2) stock-based compensation, (3) interest expense, (4) gain on early extinguishment of debt, (5) interest income and other, (6) exit costs related to the closure and relocation of our Russian operations, (7) acquisition and related transaction costs and one-time integration costs, (8) lease amortization for finance leases, (9) one-time expenses related to strategic consulting services for operational review, (10) legal fees related to the securities class action and other non-recurring legal matters, (11) provision for income taxes, and (12) other items that do not directly affect what we consider to be our core operating performance.</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a reconciliation of net income (loss) to adjusted EBITDA for the periods presented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4"/>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3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2"/>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w:t>
            </w: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adjustments: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12,183</w:t>
            </w:r>
          </w:p>
        </w:tc>
      </w:tr>
      <w:tr>
        <w:trPr>
          <w:trHeight w:val="203"/>
        </w:trPr>
        <w:tc>
          <w:tcPr>
            <w:tcW w:w="786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44,684</w:t>
            </w:r>
          </w:p>
        </w:tc>
      </w:tr>
      <w:tr>
        <w:trPr>
          <w:trHeight w:val="20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180" w:type="dxa"/>
            <w:vAlign w:val="bottom"/>
          </w:tcPr>
          <w:p>
            <w:pPr>
              <w:spacing w:after="0"/>
              <w:rPr>
                <w:sz w:val="16"/>
                <w:szCs w:val="16"/>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 and other</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(10,559)</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Exit costs related to closure and relocation of Russian operations</w:t>
            </w:r>
          </w:p>
        </w:tc>
        <w:tc>
          <w:tcPr>
            <w:tcW w:w="180" w:type="dxa"/>
            <w:vAlign w:val="bottom"/>
          </w:tcPr>
          <w:p>
            <w:pPr>
              <w:spacing w:after="0"/>
              <w:rPr>
                <w:sz w:val="16"/>
                <w:szCs w:val="16"/>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and related transaction costs and one-time integration costs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amortization for finance leases</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One-time expenses related to strategic consulting services for operational review</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Legal fees related to the securities class action</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r>
      <w:tr>
        <w:trPr>
          <w:trHeight w:val="19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52,703</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37,586</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expenses included in our results of operations for the periods presented are as follows (in thousands):</w:t>
      </w:r>
    </w:p>
    <w:p>
      <w:pPr>
        <w:spacing w:after="0" w:line="4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3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2"/>
        </w:trPr>
        <w:tc>
          <w:tcPr>
            <w:tcW w:w="6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9,613</w:t>
            </w:r>
          </w:p>
        </w:tc>
      </w:tr>
      <w:tr>
        <w:trPr>
          <w:trHeight w:val="195"/>
        </w:trPr>
        <w:tc>
          <w:tcPr>
            <w:tcW w:w="6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r>
      <w:tr>
        <w:trPr>
          <w:trHeight w:val="210"/>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228"/>
        </w:trPr>
        <w:tc>
          <w:tcPr>
            <w:tcW w:w="6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7 to the condensed consolidated financial statements for stock-based compensation expense included in our results of operations for the periods presented.</w:t>
      </w:r>
    </w:p>
    <w:p>
      <w:pPr>
        <w:spacing w:after="0" w:line="27" w:lineRule="exact"/>
        <w:rPr>
          <w:rFonts w:ascii="Times New Roman" w:cs="Times New Roman" w:eastAsia="Times New Roman" w:hAnsi="Times New Roman"/>
          <w:sz w:val="14"/>
          <w:szCs w:val="14"/>
          <w:color w:val="auto"/>
        </w:rPr>
      </w:pPr>
    </w:p>
    <w:p>
      <w:pPr>
        <w:ind w:left="660" w:right="380" w:hanging="328"/>
        <w:spacing w:after="0" w:line="243" w:lineRule="auto"/>
        <w:tabs>
          <w:tab w:leader="none" w:pos="6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adjustments do not have a material impact on our worldwide income tax provision due to the tax treatment of the non-GAAP adjustments reported, and our domestic valuation allowance position.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445"/>
        <w:spacing w:after="0" w:line="272" w:lineRule="auto"/>
        <w:rPr>
          <w:sz w:val="20"/>
          <w:szCs w:val="20"/>
          <w:color w:val="auto"/>
        </w:rPr>
      </w:pPr>
      <w:r>
        <w:rPr>
          <w:rFonts w:ascii="Times New Roman" w:cs="Times New Roman" w:eastAsia="Times New Roman" w:hAnsi="Times New Roman"/>
          <w:sz w:val="17"/>
          <w:szCs w:val="17"/>
          <w:color w:val="auto"/>
        </w:rPr>
        <w:t>Our revenue consists of subscription and related usage as well as professional services. We consider our subscription and related usage to be recurring revenue. We charge our customers monthly subscription fees for access to our Intelligent CX Platform, primarily based on the number of licenses, as well as on a consumption or capacity basis for our AI solutions. We offer monthly, annual and multiple-year contracts to our customers, generally with</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usage fees are billed in arrears.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Usage fees are billed in arrears based on customer-specific per minute rate plans and are recognized as actual usage occurs.</w:t>
      </w:r>
    </w:p>
    <w:p>
      <w:pPr>
        <w:spacing w:after="0" w:line="7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addition, we generate professional services revenue from assisting customers in implementing our solution and optimizing its use. These services include application configuration, system integration and education and training services. Professional services are primarily billed on a fixed-fee basis and are typically performed by us directly. However, our customers can choose to perform these services themselves, use one of our certified professional service providers,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w:t>
      </w:r>
    </w:p>
    <w:p>
      <w:pPr>
        <w:spacing w:after="0" w:line="66" w:lineRule="exact"/>
        <w:rPr>
          <w:sz w:val="20"/>
          <w:szCs w:val="20"/>
          <w:color w:val="auto"/>
        </w:rPr>
      </w:pPr>
    </w:p>
    <w:p>
      <w:pPr>
        <w:ind w:right="40" w:firstLine="445"/>
        <w:spacing w:after="0" w:line="245" w:lineRule="auto"/>
        <w:rPr>
          <w:sz w:val="20"/>
          <w:szCs w:val="20"/>
          <w:color w:val="auto"/>
        </w:rPr>
      </w:pPr>
      <w:r>
        <w:rPr>
          <w:rFonts w:ascii="Times New Roman" w:cs="Times New Roman" w:eastAsia="Times New Roman" w:hAnsi="Times New Roman"/>
          <w:sz w:val="18"/>
          <w:szCs w:val="18"/>
          <w:color w:val="auto"/>
        </w:rPr>
        <w:t>While the implications of macroeconomic events on our business, results of operations and overall financial position remain uncertain over the long term, we expect that macroeconomic challenges will continue to have an adverse impact on our revenue in future periods. For example, despite increases in up-sells and cross-sells, our installed base business, which contributes a significant portion of our annual revenue growth, continues to experience macroeconomic challenges.</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08" w:lineRule="exact"/>
        <w:rPr>
          <w:sz w:val="20"/>
          <w:szCs w:val="20"/>
          <w:color w:val="auto"/>
        </w:rPr>
      </w:pPr>
    </w:p>
    <w:p>
      <w:pPr>
        <w:ind w:firstLine="445"/>
        <w:spacing w:after="0" w:line="237" w:lineRule="auto"/>
        <w:rPr>
          <w:sz w:val="20"/>
          <w:szCs w:val="20"/>
          <w:color w:val="auto"/>
        </w:rPr>
      </w:pPr>
      <w:r>
        <w:rPr>
          <w:rFonts w:ascii="Times New Roman" w:cs="Times New Roman" w:eastAsia="Times New Roman" w:hAnsi="Times New Roman"/>
          <w:sz w:val="18"/>
          <w:szCs w:val="18"/>
          <w:color w:val="auto"/>
        </w:rPr>
        <w:t>Our cost of revenue consists primarily of personnel costs, including stock-based compensation, fees that we pay to telecommunications providers for usage, Universal Service Fund, or USF, contributions and other regulatory costs, depreciation and related expenses of our servers and equipment, costs to build out and maintain co-location data centers, costs of public cloud-based data centers, cost of third party software that we resell, allocated office and facility costs, amortization of acquired technology, amortization of internal-use software development costs and lease amortization for finance leases. Cost of revenue can fluctuate based on a number of factors, including the fees we pay to telecommunications providers, which vary depending on our customers’ usage of our Intelligent CX Platform, the timing of capital expenditures and related depreciation charges and changes in headcount. We expect to continue investing in professional services, public cloud, cloud operations, customer support and network infrastructure to maintain high quality and availability of services, which we believe will result in absolute dollar increases in cost of revenue but percentage of revenue declines in the long-term through economies of scale.</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classify our operating expenses as research and development, sales and marketing, and general and administrative expenses.</w:t>
      </w:r>
    </w:p>
    <w:p>
      <w:pPr>
        <w:spacing w:after="0" w:line="102" w:lineRule="exact"/>
        <w:rPr>
          <w:sz w:val="20"/>
          <w:szCs w:val="20"/>
          <w:color w:val="auto"/>
        </w:rPr>
      </w:pPr>
    </w:p>
    <w:p>
      <w:pPr>
        <w:ind w:right="100" w:firstLine="445"/>
        <w:spacing w:after="0" w:line="243"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consist primarily of salary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personnel related to the development of new products,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spacing w:after="0" w:line="73" w:lineRule="exact"/>
        <w:rPr>
          <w:sz w:val="20"/>
          <w:szCs w:val="20"/>
          <w:color w:val="auto"/>
        </w:rPr>
      </w:pPr>
    </w:p>
    <w:p>
      <w:pPr>
        <w:ind w:right="40" w:firstLine="445"/>
        <w:spacing w:after="0" w:line="243"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consist primarily of salaries and related expenses, including stock-based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in sales and marketing, amortization of deferred contract acquisition costs,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20" w:firstLine="44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salary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2025 and 2024</w:t>
      </w:r>
    </w:p>
    <w:p>
      <w:pPr>
        <w:spacing w:after="0" w:line="121" w:lineRule="exact"/>
        <w:rPr>
          <w:sz w:val="20"/>
          <w:szCs w:val="20"/>
          <w:color w:val="auto"/>
        </w:rPr>
      </w:pPr>
    </w:p>
    <w:p>
      <w:pPr>
        <w:ind w:right="60" w:firstLine="445"/>
        <w:spacing w:after="0" w:line="270" w:lineRule="auto"/>
        <w:rPr>
          <w:sz w:val="20"/>
          <w:szCs w:val="20"/>
          <w:color w:val="auto"/>
        </w:rPr>
      </w:pPr>
      <w:r>
        <w:rPr>
          <w:rFonts w:ascii="Times New Roman" w:cs="Times New Roman" w:eastAsia="Times New Roman" w:hAnsi="Times New Roman"/>
          <w:sz w:val="18"/>
          <w:szCs w:val="18"/>
          <w:color w:val="auto"/>
        </w:rPr>
        <w:t>Based on the condensed consolidated statements of operations and comprehensive income (loss) set forth in this Quarterly Report on Form 10-Q, the following table sets forth our operating results as a percentage of revenue for the periods indicated:</w:t>
      </w: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gridSpan w:val="11"/>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62 %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early extinguishment of debt</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1"/>
                <w:szCs w:val="11"/>
                <w:color w:val="auto"/>
              </w:rPr>
            </w:pPr>
          </w:p>
        </w:tc>
        <w:tc>
          <w:tcPr>
            <w:tcW w:w="1260" w:type="dxa"/>
            <w:vAlign w:val="bottom"/>
            <w:gridSpan w:val="3"/>
          </w:tcPr>
          <w:p>
            <w:pPr>
              <w:jc w:val="right"/>
              <w:ind w:right="38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279,705</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247,010</w:t>
            </w:r>
          </w:p>
        </w:tc>
        <w:tc>
          <w:tcPr>
            <w:tcW w:w="46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32,695</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The increase in revenue for the three months ended March 31, 2025 compared to the same period of 2024 was primarily attributable to our larger customers, driven by an increase in our sales and marketing activities and our improved brand awareness.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1"/>
                <w:szCs w:val="11"/>
                <w:color w:val="auto"/>
              </w:rPr>
            </w:pPr>
          </w:p>
        </w:tc>
        <w:tc>
          <w:tcPr>
            <w:tcW w:w="130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1"/>
                <w:szCs w:val="11"/>
                <w:color w:val="auto"/>
              </w:rPr>
            </w:pPr>
          </w:p>
        </w:tc>
        <w:tc>
          <w:tcPr>
            <w:tcW w:w="90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8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7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125,973</w:t>
            </w:r>
          </w:p>
        </w:tc>
        <w:tc>
          <w:tcPr>
            <w:tcW w:w="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114,530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11,443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Revenue</w:t>
            </w:r>
          </w:p>
        </w:tc>
        <w:tc>
          <w:tcPr>
            <w:tcW w:w="18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45 %</w:t>
            </w:r>
          </w:p>
        </w:tc>
        <w:tc>
          <w:tcPr>
            <w:tcW w:w="24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46 %</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80" w:firstLine="445"/>
        <w:spacing w:after="0" w:line="237" w:lineRule="auto"/>
        <w:rPr>
          <w:sz w:val="20"/>
          <w:szCs w:val="20"/>
          <w:color w:val="auto"/>
        </w:rPr>
      </w:pPr>
      <w:r>
        <w:rPr>
          <w:rFonts w:ascii="Times New Roman" w:cs="Times New Roman" w:eastAsia="Times New Roman" w:hAnsi="Times New Roman"/>
          <w:sz w:val="18"/>
          <w:szCs w:val="18"/>
          <w:color w:val="auto"/>
        </w:rPr>
        <w:t>The increase in cost of revenue for the three months ended March 31, 2025 compared to the same period of 2024 was primarily due to a $2.9 million increase in third-party costs driven by increased customer activities, a $2.7 million increase in depreciation, data center and public cloud costs to support our growing capacity needs, a $1.4 million increase in lease amortization of finance leases, a $1.1 million increase in amortization of capitalized internal-use software development costs, a $0.8 million increase in USF contributions and other federal telecommunication service fees due to increased customer usage, a $0.5 million increase in personnel-related costs, and a $0.5 million increase in usage and carrier costs due to increased volume. The $0.5 million increase in personnel-related costs was primarily driven by increased headcount and higher salaries, offset in part by a decrease in stock-based compensation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980" w:type="dxa"/>
            <w:vAlign w:val="bottom"/>
          </w:tcPr>
          <w:p>
            <w:pPr>
              <w:jc w:val="right"/>
              <w:ind w:right="34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153,732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132,480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21,252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60" w:firstLine="445"/>
        <w:spacing w:after="0" w:line="250" w:lineRule="auto"/>
        <w:rPr>
          <w:sz w:val="20"/>
          <w:szCs w:val="20"/>
          <w:color w:val="auto"/>
        </w:rPr>
      </w:pPr>
      <w:r>
        <w:rPr>
          <w:rFonts w:ascii="Times New Roman" w:cs="Times New Roman" w:eastAsia="Times New Roman" w:hAnsi="Times New Roman"/>
          <w:sz w:val="18"/>
          <w:szCs w:val="18"/>
          <w:color w:val="auto"/>
        </w:rPr>
        <w:t>The increase in gross profit for the three months ended March 31, 2025 compared to the same period of 2024 was primarily due to increases in subscription and related revenues. We expect gross margin to increase in the long- term with long-term revenue growth outpacing continued investments in professional services, public cloud, cloud operations, customer support and network infrastructure.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36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080" w:type="dxa"/>
            <w:vAlign w:val="bottom"/>
          </w:tcPr>
          <w:p>
            <w:pPr>
              <w:jc w:val="right"/>
              <w:ind w:right="38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41,100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41,518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40" w:type="dxa"/>
            <w:vAlign w:val="bottom"/>
          </w:tcPr>
          <w:p>
            <w:pPr>
              <w:spacing w:after="0"/>
              <w:rPr>
                <w:sz w:val="18"/>
                <w:szCs w:val="18"/>
                <w:color w:val="auto"/>
              </w:rPr>
            </w:pPr>
          </w:p>
        </w:tc>
        <w:tc>
          <w:tcPr>
            <w:tcW w:w="11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right="60" w:firstLine="445"/>
        <w:spacing w:after="0" w:line="245" w:lineRule="auto"/>
        <w:rPr>
          <w:sz w:val="20"/>
          <w:szCs w:val="20"/>
          <w:color w:val="auto"/>
        </w:rPr>
      </w:pPr>
      <w:r>
        <w:rPr>
          <w:rFonts w:ascii="Times New Roman" w:cs="Times New Roman" w:eastAsia="Times New Roman" w:hAnsi="Times New Roman"/>
          <w:sz w:val="18"/>
          <w:szCs w:val="18"/>
          <w:color w:val="auto"/>
        </w:rPr>
        <w:t>The decrease in research and development expenses for the three months ended March 31, 2025 compared to the same period of 2024 was primarily due to a $5.2 million increase in research and development costs (excluding stock-based compensation costs) that qualified for capitalization, offset in part by a $3.6 million increase in personnel-related costs, and a $0.8 million increase in staff augmentation costs. The $3.6 million increase in personnel-related costs was primarily driven by increased headcount and higher salaries, offset in part by a decrease in stock-based compensation costs.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36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060" w:type="dxa"/>
            <w:vAlign w:val="bottom"/>
          </w:tcPr>
          <w:p>
            <w:pPr>
              <w:jc w:val="right"/>
              <w:ind w:right="38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82,855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81,109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increase in sales and marketing expenses for the three months ended March 31, 2025 compared to the same period of 2024 was primarily due to a $3.1 million increase in amortization of deferred contract acquisition costs driven by the growth in sales and bookings of our solution, offset in part by a $2.8 million decrease in personnel-related costs mainly due to decreased headcount as a result of the 2024 Plan and by a decrease in stock-based compensation costs. The remaining increase was due to an increase in overall marketing spend.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36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060" w:type="dxa"/>
            <w:vAlign w:val="bottom"/>
          </w:tcPr>
          <w:p>
            <w:pPr>
              <w:jc w:val="right"/>
              <w:ind w:right="38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35,205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30,548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4,657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March 31, 2025 compared to the same period of 2024 was primarily due to a $1.6 million increase in professional costs mainly associated with strategic consulting services, a $1.2 million increase in personnel-related costs driven by increased headcount and higher salaries, offset in part by a decrease in stock-based compensation costs, and a $0.6 million increase in hosted software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362"/>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38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(4,115)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(2,567)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early extinguishment of debt</w:t>
            </w:r>
          </w:p>
        </w:tc>
        <w:tc>
          <w:tcPr>
            <w:tcW w:w="1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6,615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10,303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10,559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6,188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14,607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2025 compared to the same period of 2024 was primarily due to the issuance of the 2029 convertible senior notes in March 2024.</w:t>
      </w:r>
    </w:p>
    <w:p>
      <w:pPr>
        <w:spacing w:after="0" w:line="40"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The repurchase transaction was accounted for as a debt extinguishment. The difference between the consideration used to extinguish the 2025 convertible senior notes and the carrying value of the 2025 convertible senior notes (including unamortized debt discount and issuance cost) resulted in an extinguishment gain of approximately $6.6 million. See Note 6 to the condensed consolidated financial statements for further details.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sales of our solution, net proceeds from our equity and debt financings, including the issuance of our 2029 convertible senior notes in March 2024, issuance of our 2025 convertible senior notes in May and June 2020 and of our 2023 convertible senior notes in May 2018, and lease facilities. As of March 31, 2025, we had $648.6 million in working capital, which included $370.3 million 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and cash equivalents and $671.4 million in marketable investments. Our intent is that all marketable investments are available for use in our current operations, including marketable investments with maturity dates greater than one year from March 31, 2025.</w:t>
      </w:r>
    </w:p>
    <w:p>
      <w:pPr>
        <w:spacing w:after="0" w:line="5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w:t>
      </w:r>
    </w:p>
    <w:p>
      <w:pPr>
        <w:spacing w:after="0" w:line="67" w:lineRule="exact"/>
        <w:rPr>
          <w:sz w:val="20"/>
          <w:szCs w:val="20"/>
          <w:color w:val="auto"/>
        </w:rPr>
      </w:pPr>
    </w:p>
    <w:p>
      <w:pPr>
        <w:ind w:right="20" w:firstLine="445"/>
        <w:spacing w:after="0" w:line="236" w:lineRule="auto"/>
        <w:rPr>
          <w:sz w:val="20"/>
          <w:szCs w:val="20"/>
          <w:color w:val="auto"/>
        </w:rPr>
      </w:pPr>
      <w:r>
        <w:rPr>
          <w:rFonts w:ascii="Times New Roman" w:cs="Times New Roman" w:eastAsia="Times New Roman" w:hAnsi="Times New Roman"/>
          <w:sz w:val="18"/>
          <w:szCs w:val="18"/>
          <w:color w:val="auto"/>
        </w:rPr>
        <w:t>We plan to continue to finance our operations in the future primarily through sales of our solution, net proceeds from equity and debt financings, and lease facilities. Our future capital requirements will depend on many factors including our growth rate, continuing market acceptance of our solution, the strength of the global economy, customer retention, growth within our installed base, our ability to gain new customers,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expanding our operations in Portugal, and the effect of the length and severity of the continued macroeconomic challenges, the impact of global tariff increases, the Russia-Ukraine conflict, and the conflicts in the Middle East, on these or other factors. We currently plan to use cash to settle amounts due under our convertible senior notes that mature on June 1, 2025. We may also acquire or invest in complementary businesses, technologies and intellectual property rights, such as our recent acquisitions of Aceyus in August 2023 and Acqueon in August 2024,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economic downturn and fluctuations in the financial markets, including due to the impact of global tariff increases, the Russia-Ukraine conflict and the conflicts in the Middle East.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w:t>
      </w:r>
    </w:p>
    <w:p>
      <w:pPr>
        <w:spacing w:after="0" w:line="91"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48,384</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32,353</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(266,823)</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331,396</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96,926</w:t>
            </w:r>
          </w:p>
        </w:tc>
      </w:tr>
      <w:tr>
        <w:trPr>
          <w:trHeight w:val="21"/>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primarily influenced by our personnel-related expenditures, data center and telecommunications carrier costs, office and facility related costs, USF contributions and other regulatory costs and the amount and timing of customer payments. If we continue to improve our financial results, we expect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to increase. Our largest source of operating cash inflows is cash collections from our customers for subscription and related usage services. Payments from customers for these services are typically received monthly.</w:t>
      </w:r>
    </w:p>
    <w:p>
      <w:pPr>
        <w:spacing w:after="0" w:line="10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$48.4 million during the three months ended March 31, 2025. Net cash provided by operating activities resulted from our net income of $0.6 million, adjustments to reconcile net income to net cash provided by operating activities of $78.3 million, primarily consisting of $39.2 million of stock-based compensation, $20.4 million of amortization of deferred contract acquisition costs, $14.5 million of depreciation and amortization, $5.1 million of reduction in the carrying amount of right-of-use assets, and $1.4 million of amortization of issuance costs on our convertible senior notes, partially offset by use of cash for operating assets and liabilities of $(30.5) million primarily due to the timing of cash payments to vendors and cash receipts from customers and $(3.3) million accretion of discount on marketable investments.</w:t>
      </w:r>
    </w:p>
    <w:p>
      <w:pPr>
        <w:spacing w:after="0" w:line="133"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$32.4 million during the three months ended March 31, 2024. Net cash provided by operating activities resulted from our net loss of $7.1 million, adjustments to reconcile net loss to net cash provided by operating activities of $66.3 million, primarily consisting of $44.7 million of stock-based compensation, $16.3 million of amortization of commission costs, $12.2 million of depreciation and amortization, $3.3 million of amortization of reduction in the carrying amount of right-of-use assets and $1.1 million of amortization of issuance costs on our convertible senior notes, partially offset by use of cash for operating assets and liabilities of $(26.9) million primarily due to the timing of cash payments to vendors and cash receipts from customers.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400" w:firstLine="44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$(38.1) million in the three months ended March 31, 2025 was comprised of $275.9 million related to purchases of marketable investments, $8.7 million in capitalized software development costs and $4.7 million in capital expenditures, offset in part by $251.3 million related to cash proceeds from maturities of marketable investments.</w:t>
      </w:r>
    </w:p>
    <w:p>
      <w:pPr>
        <w:spacing w:after="0" w:line="54" w:lineRule="exact"/>
        <w:rPr>
          <w:sz w:val="20"/>
          <w:szCs w:val="20"/>
          <w:color w:val="auto"/>
        </w:rPr>
      </w:pPr>
    </w:p>
    <w:p>
      <w:pPr>
        <w:ind w:right="320" w:firstLine="445"/>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of $(266.8) million in the three months ended March 31, 2024 was comprised of $524.9 million related to purchases of marketable investments, $12.0 million in capital expenditures and $3.2 million in capitalized software development costs, offset in part by $273.1 million related to cash proceeds from sales and maturities of marketable investments.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$(2.2) million in the three months ended March 31, 2025 was from $2.2 million of payments related to finance leases.</w:t>
      </w:r>
    </w:p>
    <w:p>
      <w:pPr>
        <w:spacing w:after="0" w:line="40" w:lineRule="exact"/>
        <w:rPr>
          <w:sz w:val="20"/>
          <w:szCs w:val="20"/>
          <w:color w:val="auto"/>
        </w:rPr>
      </w:pPr>
    </w:p>
    <w:p>
      <w:pPr>
        <w:ind w:right="240" w:firstLine="445"/>
        <w:spacing w:after="0" w:line="239" w:lineRule="auto"/>
        <w:rPr>
          <w:sz w:val="20"/>
          <w:szCs w:val="20"/>
          <w:color w:val="auto"/>
        </w:rPr>
      </w:pPr>
      <w:r>
        <w:rPr>
          <w:rFonts w:ascii="Times New Roman" w:cs="Times New Roman" w:eastAsia="Times New Roman" w:hAnsi="Times New Roman"/>
          <w:sz w:val="18"/>
          <w:szCs w:val="18"/>
          <w:color w:val="auto"/>
        </w:rPr>
        <w:t>Net cash provided by financing activities of $331.4 million in the three months ended March 31, 2024 was related to net cash proceeds of $728.8 million from the issuance of the 2029 convertible senior notes, net of initial purchasers' discounts and commissions and debt issuance costs, $0.5 million cash received from the partial termination of capped calls associated with the 2025 convertible senior notes, and $0.4 million of cash proceeds from the exercise of stock options, offset in part by $304.5 million from the repurchase of a portion of the 2025 convertible senior notes, $93.4 million from the payment for capped call transactions associated with the 2029 convertible senior notes, and $0.5 million of payments related to finance leases.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w:t>
      </w:r>
    </w:p>
    <w:p>
      <w:pPr>
        <w:spacing w:after="0" w:line="68"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disclosed in our Annual Report on Form 10-K for the fiscal year ended December 31, 2024 filed with the SEC on February 22,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notes to condensed consolidated financial statements included in this report.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62" w:lineRule="exact"/>
        <w:rPr>
          <w:sz w:val="20"/>
          <w:szCs w:val="20"/>
          <w:color w:val="auto"/>
        </w:rPr>
      </w:pPr>
    </w:p>
    <w:p>
      <w:pPr>
        <w:ind w:right="140" w:firstLine="486"/>
        <w:spacing w:after="0" w:line="241" w:lineRule="auto"/>
        <w:rPr>
          <w:sz w:val="20"/>
          <w:szCs w:val="20"/>
          <w:color w:val="auto"/>
        </w:rPr>
      </w:pPr>
      <w:r>
        <w:rPr>
          <w:rFonts w:ascii="Times New Roman" w:cs="Times New Roman" w:eastAsia="Times New Roman" w:hAnsi="Times New Roman"/>
          <w:sz w:val="18"/>
          <w:szCs w:val="18"/>
          <w:color w:val="auto"/>
        </w:rPr>
        <w:t>In May and June 2020, we issued $747.5 million aggregate principal amount of our 2025 convertible senior notes in a private offering. The 2025 convertible senior notes mature on June 1, 2025 and are our senior unsecured obligations. The 2025 convertible senior notes bear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2025 convertible senior notes. As of March 31, 2025, the aggregate principal amount outstanding of our 2025</w:t>
      </w:r>
    </w:p>
    <w:p>
      <w:pPr>
        <w:spacing w:after="0" w:line="8"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convertible senior notes was $434.4 million. We currently plan to use cash to settle amounts due under our convertible senior notes that mature on June 1, 2025, which will decrease our cash and cash equivalents, could preclude us from making other investments in our business and operations, and could necessitate or accelerate additional fundraising by us.</w:t>
      </w:r>
    </w:p>
    <w:p>
      <w:pPr>
        <w:spacing w:after="0" w:line="76" w:lineRule="exact"/>
        <w:rPr>
          <w:sz w:val="20"/>
          <w:szCs w:val="20"/>
          <w:color w:val="auto"/>
        </w:rPr>
      </w:pPr>
    </w:p>
    <w:p>
      <w:pPr>
        <w:ind w:firstLine="445"/>
        <w:spacing w:after="0" w:line="242" w:lineRule="auto"/>
        <w:rPr>
          <w:sz w:val="20"/>
          <w:szCs w:val="20"/>
          <w:color w:val="auto"/>
        </w:rPr>
      </w:pPr>
      <w:r>
        <w:rPr>
          <w:rFonts w:ascii="Times New Roman" w:cs="Times New Roman" w:eastAsia="Times New Roman" w:hAnsi="Times New Roman"/>
          <w:sz w:val="18"/>
          <w:szCs w:val="18"/>
          <w:color w:val="auto"/>
        </w:rPr>
        <w:t>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$728.8 million. As of March 31, 2025, the aggregate principal amount outstanding of our 2029 convertible senior notes was $747.5 million.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to the condensed consolidated financial statements included in this report for further details.</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9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$50.7 million as of March 31, 2025, with $9.8 million payable in the remainder of 2025, $19.6 million payable within one to three years, $13.7 million payable within three to five years, and $7.6 million payable after five years. We also had outstanding finance lease obligations of $22.9 million as of March 31, 2025, with $7.6 million payable in the remainder of 2025, and $15.0 million payable within one to three years, and $0.3 million payable within three to five years. We entered into additional three-year equipment finance lease agreements and recognized $3.9 million right of use assets during the three months ended March 31, 2025, which were reported within "Finance lease right-of-use assets" and are being depreciated on a straight-line basis over the lease term. As a result, we also recognized short-term lease liabilities of $1.3 million within "Finance lease liabilities" and long-term lease liabilities of $2.6 million within "Finance lease liabilities - less current portion" during these periods. See Note 12 to the condensed consolidated financial statements included in this report for further details.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Cloud Services and Software and Maintenance</w:t>
      </w:r>
    </w:p>
    <w:p>
      <w:pPr>
        <w:spacing w:after="0" w:line="121"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As of March 31, 2025, we had outstanding cloud services and software and maintenance agreement commitments totaling $29.5 million, of which $11.7 million is expected to be purchased in the remainder of 2025, and the remaining $17.8 million is expected to be purchased in 2026. During 2024 and the three months ended March 31, 2025, we entered into equipment finance lease arrangements that resulted in $8.7 million additional reduction of our outstanding cloud services commitment.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Hosting and Telecommunication Usage Services</w:t>
      </w:r>
    </w:p>
    <w:p>
      <w:pPr>
        <w:spacing w:after="0" w:line="121"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We have agreements with third parties to provide co-location hosting and telecommunication usage services. The agreements require payments for a fixed period of time in exchange for certain guarantees of network and telecommunication availability. As of March 31, 2025, we had outstanding hosting and telecommunication usage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services obligations of $13.5 million, with $5.1 million payable in the remainder of 2025, $7.0 million payable in 2026 and 2027, and $1.4 million payable in 2028 and 2029.</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08" w:lineRule="exact"/>
        <w:rPr>
          <w:sz w:val="20"/>
          <w:szCs w:val="20"/>
          <w:color w:val="auto"/>
        </w:rPr>
      </w:pPr>
    </w:p>
    <w:p>
      <w:pPr>
        <w:ind w:right="60" w:firstLine="445"/>
        <w:spacing w:after="0" w:line="237"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breach of such agreements, services to be provided by us or from intellectual property infringement claims made by third parties. We have received indemnification demands, and will likely continue to receive demands, from customers regarding our intellectual property indemnification obligations under these contracts.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 consolidated statements of operations and comprehensive income (loss), or consolidated statements of cash flows.</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Contingencies — Legal and Regulatory</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We are currently party to the following action:</w:t>
      </w:r>
    </w:p>
    <w:p>
      <w:pPr>
        <w:spacing w:after="0" w:line="8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On December 4, 2024, a purported holder of our securities filed a putative class action complaint against us, our Chief Executive Officer, and our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us and our business and seeking unspecified damages on behalf of all persons and entities (subject to specified exceptions) that purchased or otherwise acquired our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has until May 30, 2025, to file an amended complaint. We cannot predict the duration or outcome of this lawsuit at this time. As a result, we are unable to estimate the reasonably possible loss or range of reasonably possible losses arising from this lawsuit. We intend to vigorously defend this lawsuit.</w:t>
      </w:r>
    </w:p>
    <w:p>
      <w:pPr>
        <w:spacing w:after="0" w:line="86"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On April 4, 2025, the parties to the derivative action jointly filed a stipulation with the court to stay the derivative action until the resolution of the motion to dismiss in the securities action, as well as any subsequent motion to dismiss any further amended complaint in the securities action. On April 8, 2025, the court approved the stay stipulation.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 For a discussion of market risk, see “Quantitative and Qualitative Disclosure about Market Risk” in Item 7A of our Annual Report on Form 10-K for the fiscal year ended December 31, 2024. Our exposure to market risk has not changed materially since December 31,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Sensitivity</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and marketable securities totaling $1,041.7 million as of March 31, 2025.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w:t>
      </w:r>
    </w:p>
    <w:p>
      <w:pPr>
        <w:spacing w:after="0" w:line="81"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As of March 31, 2025, aggregate principal amount outstanding of our convertible senior notes was $1,181.9 million. The fair values of the convertible senior notes are subject to interest rate risk, market risk and other factors due to their conversion features.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obligations. Additionally, we carry the convertible senior notes at face value less unamortized discount on our condensed consolidated balance sheets, and we present the fair value for required disclosure purposes only.</w:t>
      </w:r>
    </w:p>
    <w:p>
      <w:pPr>
        <w:spacing w:after="0" w:line="79"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Our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May and June 2020 related to the issuance of our 2025 convertible senior notes and entered in March 2024 related to the issuance of our 2029 convertible senior notes.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Risk</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effects. Such economic exposure to currency fluctuations is difficult to measure or predict because our sales are influenced by many factors in addition to the impact of currency fluctuations. Our operating expenses are generally denominated in the currencies of the countries in which our operations are located, except for Russia where compensation of our employees is primarily denominated in the U.S. dollar. In March 2022, we made a decision to close our Russia office in June 2022 and to establish a new European development center in Portugal.</w:t>
      </w:r>
    </w:p>
    <w:p>
      <w:pPr>
        <w:spacing w:after="0" w:line="81"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three months ended March 31, 2025, the effect of a hypothetical 10% change in foreign currency exchange rates applicable to our business would have a maximum impact of $2.8 million on our operating expenses.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March 31, 2025.</w:t>
      </w:r>
    </w:p>
    <w:p>
      <w:pPr>
        <w:spacing w:after="0" w:line="6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Based on management’s evaluation, our Chief Executive Officer and Chief Financial Officer concluded that, as of March 31, 2025,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spacing w:after="0" w:line="75"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was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may be found under the heading “Legal Matters” in Note 10 to the condensed consolidated financial statements in this Quarterly Report on Form 10-Q, which information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Part 1, Item 1A, of our Annual Report on Form 10-K for the fiscal year ended December 31, 2024. In addition to the other information set forth in this report, you should carefully consider the Risk Factors discussed in our Annual Report on Form 10-K as they could materially affect our business, financial condition and future results of operation.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Rule 10b5-1 Plans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2025, none of the Company's directors and officers adopted, modified, or terminated a Rule 10b5-1 trading arrangement or a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Exhibit</w:t>
            </w:r>
          </w:p>
        </w:tc>
        <w:tc>
          <w:tcPr>
            <w:tcW w:w="3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3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c>
          <w:tcPr>
            <w:tcW w:w="480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Description</w:t>
            </w:r>
          </w:p>
        </w:tc>
      </w:tr>
      <w:tr>
        <w:trPr>
          <w:trHeight w:val="263"/>
        </w:trPr>
        <w:tc>
          <w:tcPr>
            <w:tcW w:w="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gridSpan w:val="2"/>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Arial" w:cs="Arial" w:eastAsia="Arial" w:hAnsi="Arial"/>
                  <w:sz w:val="10"/>
                  <w:szCs w:val="10"/>
                  <w:b w:val="1"/>
                  <w:bCs w:val="1"/>
                  <w:color w:val="0000FF"/>
                </w:rPr>
                <w:t>Ø</w:t>
              </w:r>
              <w:r>
                <w:rPr>
                  <w:rFonts w:ascii="Times New Roman" w:cs="Times New Roman" w:eastAsia="Times New Roman" w:hAnsi="Times New Roman"/>
                  <w:sz w:val="18"/>
                  <w:szCs w:val="18"/>
                  <w:color w:val="0000FF"/>
                </w:rPr>
                <w:t>+</w:t>
              </w:r>
            </w:hyperlink>
          </w:p>
        </w:tc>
        <w:tc>
          <w:tcPr>
            <w:tcW w:w="5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340" w:type="dxa"/>
            <w:vAlign w:val="bottom"/>
            <w:tcBorders>
              <w:top w:val="single" w:sz="8" w:color="auto"/>
            </w:tcBorders>
            <w:gridSpan w:val="1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 xml:space="preserve">Five9, Inc. 2019 Key Employee Severance Benefit Plan, as Amended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Exhibit 10.1 to the Company’s</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34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auto"/>
              </w:rPr>
              <w:t>Current Report Form 8-K filed with the SEC on February 18, 2025 (File No. 001-36383) and incorporated by</w:t>
            </w:r>
          </w:p>
        </w:tc>
      </w:tr>
      <w:tr>
        <w:trPr>
          <w:trHeight w:val="225"/>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reference herein).</w:t>
            </w:r>
          </w:p>
        </w:tc>
      </w:tr>
      <w:tr>
        <w:trPr>
          <w:trHeight w:val="194"/>
        </w:trPr>
        <w:tc>
          <w:tcPr>
            <w:tcW w:w="112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Arial" w:cs="Arial" w:eastAsia="Arial" w:hAnsi="Arial"/>
                  <w:sz w:val="10"/>
                  <w:szCs w:val="10"/>
                  <w:b w:val="1"/>
                  <w:bCs w:val="1"/>
                  <w:color w:val="0000FF"/>
                </w:rPr>
                <w:t>Ø</w:t>
              </w:r>
              <w:r>
                <w:rPr>
                  <w:rFonts w:ascii="Times New Roman" w:cs="Times New Roman" w:eastAsia="Times New Roman" w:hAnsi="Times New Roman"/>
                  <w:sz w:val="18"/>
                  <w:szCs w:val="18"/>
                  <w:color w:val="0000FF"/>
                </w:rPr>
                <w:t>+</w:t>
              </w:r>
            </w:hyperlink>
          </w:p>
        </w:tc>
        <w:tc>
          <w:tcPr>
            <w:tcW w:w="220" w:type="dxa"/>
            <w:vAlign w:val="bottom"/>
          </w:tcPr>
          <w:p>
            <w:pPr>
              <w:spacing w:after="0"/>
              <w:rPr>
                <w:sz w:val="16"/>
                <w:szCs w:val="16"/>
                <w:color w:val="auto"/>
              </w:rPr>
            </w:pPr>
          </w:p>
        </w:tc>
        <w:tc>
          <w:tcPr>
            <w:tcW w:w="8340" w:type="dxa"/>
            <w:vAlign w:val="bottom"/>
            <w:gridSpan w:val="10"/>
          </w:tcPr>
          <w:p>
            <w:pPr>
              <w:spacing w:after="0" w:line="194"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Five9, Inc. Performance-Based Restricted Stock Unit Grant Notice and Award Agreement for 2025-2027</w:t>
              </w:r>
            </w:hyperlink>
          </w:p>
        </w:tc>
      </w:tr>
      <w:tr>
        <w:trPr>
          <w:trHeight w:val="169"/>
        </w:trPr>
        <w:tc>
          <w:tcPr>
            <w:tcW w:w="2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56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 xml:space="preserve">Performance Period - 2014 Equity Incentive Plan </w:t>
              </w:r>
              <w:r>
                <w:rPr>
                  <w:rFonts w:ascii="Times New Roman" w:cs="Times New Roman" w:eastAsia="Times New Roman" w:hAnsi="Times New Roman"/>
                  <w:sz w:val="18"/>
                  <w:szCs w:val="18"/>
                  <w:color w:val="000000"/>
                  <w:w w:val="98"/>
                </w:rPr>
                <w:t>(filed as Exhibit 10.21 to the Company’s Annual Report</w:t>
              </w:r>
            </w:hyperlink>
          </w:p>
        </w:tc>
        <w:tc>
          <w:tcPr>
            <w:tcW w:w="20" w:type="dxa"/>
            <w:vAlign w:val="bottom"/>
          </w:tcPr>
          <w:p>
            <w:pPr>
              <w:spacing w:after="0"/>
              <w:rPr>
                <w:sz w:val="14"/>
                <w:szCs w:val="14"/>
                <w:color w:val="auto"/>
              </w:rPr>
            </w:pPr>
          </w:p>
        </w:tc>
        <w:tc>
          <w:tcPr>
            <w:tcW w:w="760" w:type="dxa"/>
            <w:vAlign w:val="bottom"/>
            <w:gridSpan w:val="4"/>
          </w:tcPr>
          <w:p>
            <w:pPr>
              <w:ind w:left="80"/>
              <w:spacing w:after="0" w:line="169" w:lineRule="exact"/>
              <w:rPr>
                <w:sz w:val="20"/>
                <w:szCs w:val="20"/>
                <w:color w:val="auto"/>
              </w:rPr>
            </w:pPr>
            <w:r>
              <w:rPr>
                <w:rFonts w:ascii="Times New Roman" w:cs="Times New Roman" w:eastAsia="Times New Roman" w:hAnsi="Times New Roman"/>
                <w:sz w:val="18"/>
                <w:szCs w:val="18"/>
                <w:color w:val="auto"/>
              </w:rPr>
              <w:t>on Form</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340" w:type="dxa"/>
            <w:vAlign w:val="bottom"/>
            <w:gridSpan w:val="10"/>
          </w:tcPr>
          <w:p>
            <w:pPr>
              <w:spacing w:after="0" w:line="191" w:lineRule="exact"/>
              <w:rPr>
                <w:sz w:val="20"/>
                <w:szCs w:val="20"/>
                <w:color w:val="auto"/>
              </w:rPr>
            </w:pPr>
            <w:r>
              <w:rPr>
                <w:rFonts w:ascii="Times New Roman" w:cs="Times New Roman" w:eastAsia="Times New Roman" w:hAnsi="Times New Roman"/>
                <w:sz w:val="18"/>
                <w:szCs w:val="18"/>
                <w:color w:val="auto"/>
              </w:rPr>
              <w:t>10-K filed with the SEC on February 21, 2025 (File No. 001-36383) and incorporated by reference herein).</w:t>
            </w:r>
          </w:p>
        </w:tc>
      </w:tr>
      <w:tr>
        <w:trPr>
          <w:trHeight w:val="194"/>
        </w:trPr>
        <w:tc>
          <w:tcPr>
            <w:tcW w:w="20" w:type="dxa"/>
            <w:vAlign w:val="bottom"/>
          </w:tcPr>
          <w:p>
            <w:pPr>
              <w:spacing w:after="0"/>
              <w:rPr>
                <w:sz w:val="16"/>
                <w:szCs w:val="16"/>
                <w:color w:val="auto"/>
              </w:rPr>
            </w:pPr>
          </w:p>
        </w:tc>
        <w:tc>
          <w:tcPr>
            <w:tcW w:w="560" w:type="dxa"/>
            <w:vAlign w:val="bottom"/>
            <w:gridSpan w:val="2"/>
          </w:tcPr>
          <w:p>
            <w:pPr>
              <w:spacing w:after="0" w:line="194"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Arial" w:cs="Arial" w:eastAsia="Arial" w:hAnsi="Arial"/>
                  <w:sz w:val="10"/>
                  <w:szCs w:val="10"/>
                  <w:b w:val="1"/>
                  <w:bCs w:val="1"/>
                  <w:color w:val="0000FF"/>
                </w:rPr>
                <w:t>Ø</w:t>
              </w:r>
              <w:r>
                <w:rPr>
                  <w:rFonts w:ascii="Times New Roman" w:cs="Times New Roman" w:eastAsia="Times New Roman" w:hAnsi="Times New Roman"/>
                  <w:sz w:val="18"/>
                  <w:szCs w:val="18"/>
                  <w:color w:val="0000FF"/>
                </w:rPr>
                <w:t>+</w:t>
              </w:r>
            </w:hyperlink>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340" w:type="dxa"/>
            <w:vAlign w:val="bottom"/>
            <w:gridSpan w:val="10"/>
          </w:tcPr>
          <w:p>
            <w:pPr>
              <w:spacing w:after="0" w:line="194"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 xml:space="preserve">Consulting Agreement between Five9, Inc. and Daniel Burkland, dated February 7, 2025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Exhibit 10.1 to</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5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34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auto"/>
              </w:rPr>
              <w:t>the Company’s Current Report on Form 8-K filed with the SEC on February 11, 2025 (File No. 001-36383) and</w:t>
            </w:r>
          </w:p>
        </w:tc>
      </w:tr>
      <w:tr>
        <w:trPr>
          <w:trHeight w:val="225"/>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incorporated by reference herein).</w:t>
            </w:r>
          </w:p>
        </w:tc>
      </w:tr>
      <w:tr>
        <w:trPr>
          <w:trHeight w:val="194"/>
        </w:trPr>
        <w:tc>
          <w:tcPr>
            <w:tcW w:w="20" w:type="dxa"/>
            <w:vAlign w:val="bottom"/>
          </w:tcPr>
          <w:p>
            <w:pPr>
              <w:spacing w:after="0"/>
              <w:rPr>
                <w:sz w:val="16"/>
                <w:szCs w:val="16"/>
                <w:color w:val="auto"/>
              </w:rPr>
            </w:pPr>
          </w:p>
        </w:tc>
        <w:tc>
          <w:tcPr>
            <w:tcW w:w="560" w:type="dxa"/>
            <w:vAlign w:val="bottom"/>
            <w:gridSpan w:val="2"/>
          </w:tcPr>
          <w:p>
            <w:pPr>
              <w:spacing w:after="0" w:line="194"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Arial" w:cs="Arial" w:eastAsia="Arial" w:hAnsi="Arial"/>
                  <w:sz w:val="10"/>
                  <w:szCs w:val="10"/>
                  <w:b w:val="1"/>
                  <w:bCs w:val="1"/>
                  <w:color w:val="0000FF"/>
                </w:rPr>
                <w:t>Ø</w:t>
              </w:r>
              <w:r>
                <w:rPr>
                  <w:rFonts w:ascii="Times New Roman" w:cs="Times New Roman" w:eastAsia="Times New Roman" w:hAnsi="Times New Roman"/>
                  <w:sz w:val="18"/>
                  <w:szCs w:val="18"/>
                  <w:color w:val="0000FF"/>
                </w:rPr>
                <w:t>+</w:t>
              </w:r>
            </w:hyperlink>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340" w:type="dxa"/>
            <w:vAlign w:val="bottom"/>
            <w:gridSpan w:val="10"/>
          </w:tcPr>
          <w:p>
            <w:pPr>
              <w:spacing w:after="0" w:line="194"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 xml:space="preserve">Employment Transition Agreement between Five9, Inc. and Barry Zwarenstein, dated February 20, 2025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34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auto"/>
              </w:rPr>
              <w:t>Exhibit 10.1 to the Company’s Current Report on Form 8-K filed with the SEC on February 20, 2025 (File No.</w:t>
            </w:r>
          </w:p>
        </w:tc>
      </w:tr>
      <w:tr>
        <w:trPr>
          <w:trHeight w:val="225"/>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001-36383) and incorporated by reference herein).</w:t>
            </w:r>
          </w:p>
        </w:tc>
      </w:tr>
      <w:tr>
        <w:trPr>
          <w:trHeight w:val="194"/>
        </w:trPr>
        <w:tc>
          <w:tcPr>
            <w:tcW w:w="20" w:type="dxa"/>
            <w:vAlign w:val="bottom"/>
          </w:tcPr>
          <w:p>
            <w:pPr>
              <w:spacing w:after="0"/>
              <w:rPr>
                <w:sz w:val="16"/>
                <w:szCs w:val="16"/>
                <w:color w:val="auto"/>
              </w:rPr>
            </w:pPr>
          </w:p>
        </w:tc>
        <w:tc>
          <w:tcPr>
            <w:tcW w:w="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34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Chief Executive Officer of Five9, Inc. Pursuant to Section 302 of the Sarbanes-Oxley Act of 2002.</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Five9, Inc. Pursuant to Section 302 of the Sarbanes-Oxley Act of 2002.</w:t>
            </w:r>
          </w:p>
        </w:tc>
        <w:tc>
          <w:tcPr>
            <w:tcW w:w="4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of Five9, Inc. Pursuant to 18 U.S.C. Section</w:t>
            </w:r>
          </w:p>
        </w:tc>
      </w:tr>
      <w:tr>
        <w:trPr>
          <w:trHeight w:val="169"/>
        </w:trPr>
        <w:tc>
          <w:tcPr>
            <w:tcW w:w="2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10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 2002.</w:t>
            </w:r>
          </w:p>
        </w:tc>
        <w:tc>
          <w:tcPr>
            <w:tcW w:w="240" w:type="dxa"/>
            <w:vAlign w:val="bottom"/>
            <w:gridSpan w:val="3"/>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right w:val="single" w:sz="8" w:color="0000FF"/>
            </w:tcBorders>
            <w:gridSpan w:val="4"/>
          </w:tcPr>
          <w:p>
            <w:pPr>
              <w:spacing w:after="0" w:line="20" w:lineRule="exact"/>
              <w:rPr>
                <w:sz w:val="1"/>
                <w:szCs w:val="1"/>
                <w:color w:val="auto"/>
              </w:rPr>
            </w:pPr>
          </w:p>
        </w:tc>
        <w:tc>
          <w:tcPr>
            <w:tcW w:w="5560" w:type="dxa"/>
            <w:vAlign w:val="bottom"/>
            <w:gridSpan w:val="3"/>
            <w:shd w:val="clear" w:color="auto" w:fill="0000FF"/>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83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29"/>
        </w:trPr>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Schema Linkbase Document</w:t>
            </w:r>
          </w:p>
        </w:tc>
      </w:tr>
      <w:tr>
        <w:trPr>
          <w:trHeight w:val="230"/>
        </w:trPr>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29"/>
        </w:trPr>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30"/>
        </w:trPr>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Labels Linkbase Document</w:t>
            </w:r>
          </w:p>
        </w:tc>
      </w:tr>
      <w:tr>
        <w:trPr>
          <w:trHeight w:val="234"/>
        </w:trPr>
        <w:tc>
          <w:tcPr>
            <w:tcW w:w="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8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ind w:left="1340" w:hanging="1314"/>
        <w:spacing w:after="0"/>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
        </w:numPr>
        <w:rPr>
          <w:rFonts w:ascii="Arial" w:cs="Arial" w:eastAsia="Arial" w:hAnsi="Arial"/>
          <w:sz w:val="10"/>
          <w:szCs w:val="10"/>
          <w:b w:val="1"/>
          <w:bCs w:val="1"/>
          <w:color w:val="auto"/>
        </w:rPr>
      </w:pPr>
      <w:r>
        <w:rPr>
          <w:rFonts w:ascii="Times New Roman" w:cs="Times New Roman" w:eastAsia="Times New Roman" w:hAnsi="Times New Roman"/>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1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7" w:lineRule="exact"/>
        <w:rPr>
          <w:sz w:val="20"/>
          <w:szCs w:val="20"/>
          <w:color w:val="auto"/>
        </w:rPr>
      </w:pPr>
    </w:p>
    <w:p>
      <w:pPr>
        <w:ind w:right="5959" w:firstLine="8"/>
        <w:spacing w:after="0" w:line="302" w:lineRule="auto"/>
        <w:tabs>
          <w:tab w:leader="none" w:pos="2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Five9, Inc.</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1, 2025</w:t>
            </w:r>
          </w:p>
        </w:tc>
        <w:tc>
          <w:tcPr>
            <w:tcW w:w="2400" w:type="dxa"/>
            <w:vAlign w:val="bottom"/>
          </w:tcPr>
          <w:p>
            <w:pPr>
              <w:ind w:left="2120"/>
              <w:spacing w:after="0"/>
              <w:rPr>
                <w:sz w:val="20"/>
                <w:szCs w:val="20"/>
                <w:color w:val="auto"/>
              </w:rPr>
            </w:pPr>
            <w:r>
              <w:rPr>
                <w:rFonts w:ascii="Times New Roman" w:cs="Times New Roman" w:eastAsia="Times New Roman" w:hAnsi="Times New Roman"/>
                <w:sz w:val="18"/>
                <w:szCs w:val="18"/>
                <w:color w:val="auto"/>
                <w:w w:val="99"/>
              </w:rPr>
              <w:t>By:</w:t>
            </w:r>
          </w:p>
        </w:tc>
        <w:tc>
          <w:tcPr>
            <w:tcW w:w="332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8"/>
              </w:rPr>
              <w:t>/s/ Michael Burkland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0</wp:posOffset>
            </wp:positionV>
            <wp:extent cx="3257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jc w:val="center"/>
        <w:ind w:left="6080"/>
        <w:spacing w:after="0"/>
        <w:rPr>
          <w:sz w:val="20"/>
          <w:szCs w:val="20"/>
          <w:color w:val="auto"/>
        </w:rPr>
      </w:pPr>
      <w:r>
        <w:rPr>
          <w:rFonts w:ascii="Times New Roman" w:cs="Times New Roman" w:eastAsia="Times New Roman" w:hAnsi="Times New Roman"/>
          <w:sz w:val="18"/>
          <w:szCs w:val="18"/>
          <w:color w:val="auto"/>
        </w:rPr>
        <w:t>Michael Burkland</w:t>
      </w:r>
    </w:p>
    <w:p>
      <w:pPr>
        <w:spacing w:after="0" w:line="27"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Bryan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Bryan Lee</w:t>
      </w:r>
    </w:p>
    <w:p>
      <w:pPr>
        <w:spacing w:after="0" w:line="27"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88"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Leena Mansharamani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Leena Mansharamani</w:t>
      </w:r>
    </w:p>
    <w:p>
      <w:pPr>
        <w:spacing w:after="0" w:line="27"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340"/>
          </w:cols>
          <w:pgMar w:left="320" w:top="121" w:right="1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Burkland, certify that:</w:t>
      </w:r>
    </w:p>
    <w:p>
      <w:pPr>
        <w:spacing w:after="0" w:line="27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Five9, Inc. for the quarter ended March 31, 2025;</w:t>
      </w:r>
    </w:p>
    <w:p>
      <w:pPr>
        <w:spacing w:after="0" w:line="27" w:lineRule="exact"/>
        <w:rPr>
          <w:rFonts w:ascii="Times New Roman" w:cs="Times New Roman" w:eastAsia="Times New Roman" w:hAnsi="Times New Roman"/>
          <w:sz w:val="18"/>
          <w:szCs w:val="18"/>
          <w:color w:val="auto"/>
        </w:rPr>
      </w:pPr>
    </w:p>
    <w:p>
      <w:pPr>
        <w:jc w:val="both"/>
        <w:ind w:left="340" w:right="440" w:hanging="332"/>
        <w:spacing w:after="0" w:line="27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400" w:hanging="332"/>
        <w:spacing w:after="0" w:line="27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7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380" w:hanging="328"/>
        <w:spacing w:after="0" w:line="271"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60" w:hanging="328"/>
        <w:spacing w:after="0" w:line="271"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660" w:right="860" w:hanging="328"/>
        <w:spacing w:after="0" w:line="284"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660" w:right="80" w:hanging="328"/>
        <w:spacing w:after="0" w:line="271"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right="320" w:hanging="332"/>
        <w:spacing w:after="0" w:line="273"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280" w:hanging="328"/>
        <w:spacing w:after="0" w:line="271"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40" w:hanging="328"/>
        <w:spacing w:after="0" w:line="297"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May 1, 2025</w:t>
            </w:r>
          </w:p>
        </w:tc>
        <w:tc>
          <w:tcPr>
            <w:tcW w:w="27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9"/>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Burkland</w:t>
            </w:r>
          </w:p>
        </w:tc>
      </w:tr>
      <w:tr>
        <w:trPr>
          <w:trHeight w:val="218"/>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Burkland</w:t>
            </w:r>
          </w:p>
        </w:tc>
      </w:tr>
      <w:tr>
        <w:trPr>
          <w:trHeight w:val="230"/>
        </w:trPr>
        <w:tc>
          <w:tcPr>
            <w:tcW w:w="38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1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Lee, certify that:</w:t>
      </w:r>
    </w:p>
    <w:p>
      <w:pPr>
        <w:spacing w:after="0" w:line="27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Five9, Inc. for the quarter ended March 31, 2025;</w:t>
      </w:r>
    </w:p>
    <w:p>
      <w:pPr>
        <w:spacing w:after="0" w:line="27" w:lineRule="exact"/>
        <w:rPr>
          <w:rFonts w:ascii="Times New Roman" w:cs="Times New Roman" w:eastAsia="Times New Roman" w:hAnsi="Times New Roman"/>
          <w:sz w:val="18"/>
          <w:szCs w:val="18"/>
          <w:color w:val="auto"/>
        </w:rPr>
      </w:pPr>
    </w:p>
    <w:p>
      <w:pPr>
        <w:jc w:val="both"/>
        <w:ind w:left="340" w:right="440" w:hanging="332"/>
        <w:spacing w:after="0" w:line="27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400" w:hanging="332"/>
        <w:spacing w:after="0" w:line="27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7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380" w:hanging="328"/>
        <w:spacing w:after="0" w:line="271"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60" w:hanging="328"/>
        <w:spacing w:after="0" w:line="271"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660" w:right="860" w:hanging="328"/>
        <w:spacing w:after="0" w:line="284"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660" w:right="80" w:hanging="328"/>
        <w:spacing w:after="0" w:line="271"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right="320" w:hanging="332"/>
        <w:spacing w:after="0" w:line="273"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280" w:hanging="328"/>
        <w:spacing w:after="0" w:line="271"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40" w:hanging="328"/>
        <w:spacing w:after="0" w:line="297"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27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9"/>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 Lee</w:t>
            </w:r>
          </w:p>
        </w:tc>
      </w:tr>
      <w:tr>
        <w:trPr>
          <w:trHeight w:val="218"/>
        </w:trPr>
        <w:tc>
          <w:tcPr>
            <w:tcW w:w="39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Bryan Lee</w:t>
            </w:r>
          </w:p>
        </w:tc>
      </w:tr>
      <w:tr>
        <w:trPr>
          <w:trHeight w:val="230"/>
        </w:trPr>
        <w:tc>
          <w:tcPr>
            <w:tcW w:w="39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r>
      <w:tr>
        <w:trPr>
          <w:trHeight w:val="234"/>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111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120" w:firstLine="445"/>
        <w:spacing w:after="0" w:line="281" w:lineRule="auto"/>
        <w:rPr>
          <w:sz w:val="20"/>
          <w:szCs w:val="20"/>
          <w:color w:val="auto"/>
        </w:rPr>
      </w:pPr>
      <w:r>
        <w:rPr>
          <w:rFonts w:ascii="Times New Roman" w:cs="Times New Roman" w:eastAsia="Times New Roman" w:hAnsi="Times New Roman"/>
          <w:sz w:val="18"/>
          <w:szCs w:val="18"/>
          <w:color w:val="auto"/>
        </w:rPr>
        <w:t>I, Michael Burkland, certify, pursuant to 18 U.S.C. Section 1350, as adopted pursuant to Section 906 of the Sarbanes-Oxley Act of 2002, that the Quarterly Report of Five9, Inc. (the “Company”) on Form 10-Q for the fiscal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27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9"/>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Burkland</w:t>
            </w:r>
          </w:p>
        </w:tc>
      </w:tr>
      <w:tr>
        <w:trPr>
          <w:trHeight w:val="218"/>
        </w:trPr>
        <w:tc>
          <w:tcPr>
            <w:tcW w:w="39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Burkland</w:t>
            </w:r>
          </w:p>
        </w:tc>
      </w:tr>
      <w:tr>
        <w:trPr>
          <w:trHeight w:val="234"/>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60" w:firstLine="445"/>
        <w:spacing w:after="0" w:line="281" w:lineRule="auto"/>
        <w:rPr>
          <w:sz w:val="20"/>
          <w:szCs w:val="20"/>
          <w:color w:val="auto"/>
        </w:rPr>
      </w:pPr>
      <w:r>
        <w:rPr>
          <w:rFonts w:ascii="Times New Roman" w:cs="Times New Roman" w:eastAsia="Times New Roman" w:hAnsi="Times New Roman"/>
          <w:sz w:val="18"/>
          <w:szCs w:val="18"/>
          <w:color w:val="auto"/>
        </w:rPr>
        <w:t>I, Bryan Lee, certify, pursuant to 18 U.S.C. Section 1350, as adopted pursuant to Section 906 of the Sarbanes-Oxley Act of 2002, that the Quarterly Report of Five9, Inc. (the “Company”) on Form 10-Q for the fiscal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27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9"/>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 Lee</w:t>
            </w:r>
          </w:p>
        </w:tc>
      </w:tr>
      <w:tr>
        <w:trPr>
          <w:trHeight w:val="218"/>
        </w:trPr>
        <w:tc>
          <w:tcPr>
            <w:tcW w:w="39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Bryan Lee</w:t>
            </w:r>
          </w:p>
        </w:tc>
      </w:tr>
      <w:tr>
        <w:trPr>
          <w:trHeight w:val="234"/>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7"/>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Roman"/>
      <w:start w:val="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Ø"/>
      <w:numFmt w:val="bullet"/>
      <w:start w:val="1"/>
    </w:lvl>
    <w:lvl w:ilvl="1">
      <w:lvlJc w:val="left"/>
      <w:lvlText w:val="%2"/>
      <w:numFmt w:val="decimal"/>
      <w:start w:val="104"/>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56" Type="http://schemas.openxmlformats.org/officeDocument/2006/relationships/hyperlink" Target="https://www.sec.gov/Archives/edgar/data/1288847/000128884725000008/five9_2019keyemployeesev.htm" TargetMode="External"/><Relationship Id="rId57" Type="http://schemas.openxmlformats.org/officeDocument/2006/relationships/hyperlink" Target="https://www.sec.gov/Archives/edgar/data/1288847/000128884725000028/five9-prsunoticeandaward.htm" TargetMode="External"/><Relationship Id="rId58" Type="http://schemas.openxmlformats.org/officeDocument/2006/relationships/hyperlink" Target="https://www.sec.gov/Archives/edgar/data/1288847/000128884725000004/independent_consultingxa.htm" TargetMode="External"/><Relationship Id="rId59" Type="http://schemas.openxmlformats.org/officeDocument/2006/relationships/hyperlink" Target="https://www.sec.gov/Archives/edgar/data/1288847/000128884725000025/five9-employmenttransi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2025-05-01T15:24:11Z</dcterms:created>
  <dcterms:modified xsi:type="dcterms:W3CDTF">2025-05-01T15:24:11Z</dcterms:modified>
</cp:coreProperties>
</file>