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Five9,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338307101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338307101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3,183,415.00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3,183,415.00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3,183,415.00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338307101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3,183,415.00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3,183,415.00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3,183,415.00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4.23 %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338307101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3,183,415.00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3,183,415.00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3,183,415.00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Five9,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79"/>
        <w:spacing w:after="0"/>
        <w:rPr>
          <w:sz w:val="20"/>
          <w:szCs w:val="20"/>
          <w:color w:val="auto"/>
        </w:rPr>
      </w:pPr>
      <w:r>
        <w:rPr>
          <w:rFonts w:ascii="Times New Roman" w:cs="Times New Roman" w:eastAsia="Times New Roman" w:hAnsi="Times New Roman"/>
          <w:sz w:val="22"/>
          <w:szCs w:val="22"/>
          <w:color w:val="auto"/>
        </w:rPr>
        <w:t>3001 Bishop Drive, Suite 350, San Ramon, CA 94583</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080"/>
        <w:spacing w:after="0" w:line="286" w:lineRule="auto"/>
        <w:rPr>
          <w:sz w:val="20"/>
          <w:szCs w:val="20"/>
          <w:color w:val="auto"/>
        </w:rPr>
      </w:pPr>
      <w:r>
        <w:rPr>
          <w:rFonts w:ascii="Times New Roman" w:cs="Times New Roman" w:eastAsia="Times New Roman" w:hAnsi="Times New Roman"/>
          <w:sz w:val="22"/>
          <w:szCs w:val="22"/>
          <w:color w:val="auto"/>
        </w:rPr>
        <w:t>(i) Alyeska Investment Group, L.P. (ii) Alyeska Fund GP, LLC (iii) Anand Parekh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Alyeska Investment Group, L.P. - Delaware (ii) Alyeska Fund GP, LLC - Delaware (iii) Anand Parekh - United States of America</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338307101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3183415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3183415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3183415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1100"/>
          </w:cols>
          <w:pgMar w:left="360" w:top="112" w:right="439" w:bottom="0" w:gutter="0" w:footer="0" w:header="0"/>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40"/>
          </w:cols>
          <w:pgMar w:left="360" w:top="139" w:right="379" w:bottom="1440" w:gutter="0" w:footer="0" w:header="0"/>
        </w:sect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Item 4. Ownership: The reporting persons are the beneficial owners of 3,183,415 shares of Common Stock of the Issuer as of December 31, 2024. The percentage calculation assumes that there are currently 75,208,409 outstanding shares of Common Stock of the Issuer, based on the Issuer's Quarterly Report Form 10-Q filed with the Securities and Exchange Commission on November 7, 2024.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00" w:h="16838" w:orient="portrait"/>
      <w:cols w:equalWidth="0" w:num="1">
        <w:col w:w="11160"/>
      </w:cols>
      <w:pgMar w:left="360" w:top="13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2025-02-14T15:58:08Z</dcterms:created>
  <dcterms:modified xsi:type="dcterms:W3CDTF">2025-02-14T15:58:08Z</dcterms:modified>
</cp:coreProperties>
</file>