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February 8, 2018</w:t>
      </w:r>
    </w:p>
    <w:p>
      <w:pPr>
        <w:spacing w:after="0" w:line="8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FIVE9,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72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001-36383</w:t>
            </w:r>
          </w:p>
        </w:tc>
        <w:tc>
          <w:tcPr>
            <w:tcW w:w="1380" w:type="dxa"/>
            <w:vAlign w:val="bottom"/>
          </w:tcPr>
          <w:p>
            <w:pPr>
              <w:jc w:val="center"/>
              <w:ind w:left="162"/>
              <w:spacing w:after="0"/>
              <w:rPr>
                <w:sz w:val="20"/>
                <w:szCs w:val="20"/>
                <w:color w:val="auto"/>
              </w:rPr>
            </w:pPr>
            <w:r>
              <w:rPr>
                <w:rFonts w:ascii="Arial" w:cs="Arial" w:eastAsia="Arial" w:hAnsi="Arial"/>
                <w:sz w:val="18"/>
                <w:szCs w:val="18"/>
                <w:b w:val="1"/>
                <w:bCs w:val="1"/>
                <w:color w:val="auto"/>
                <w:w w:val="89"/>
              </w:rPr>
              <w:t>94-3394123</w:t>
            </w:r>
          </w:p>
        </w:tc>
      </w:tr>
      <w:tr>
        <w:trPr>
          <w:trHeight w:val="180"/>
        </w:trPr>
        <w:tc>
          <w:tcPr>
            <w:tcW w:w="172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(State or other jurisdiction</w:t>
            </w:r>
          </w:p>
        </w:tc>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380" w:type="dxa"/>
            <w:vAlign w:val="bottom"/>
          </w:tcPr>
          <w:p>
            <w:pPr>
              <w:jc w:val="center"/>
              <w:ind w:left="14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720" w:type="dxa"/>
            <w:vAlign w:val="bottom"/>
          </w:tcPr>
          <w:p>
            <w:pPr>
              <w:jc w:val="center"/>
              <w:ind w:right="2"/>
              <w:spacing w:after="0"/>
              <w:rPr>
                <w:sz w:val="20"/>
                <w:szCs w:val="20"/>
                <w:color w:val="auto"/>
              </w:rPr>
            </w:pPr>
            <w:r>
              <w:rPr>
                <w:rFonts w:ascii="Arial" w:cs="Arial" w:eastAsia="Arial" w:hAnsi="Arial"/>
                <w:sz w:val="14"/>
                <w:szCs w:val="14"/>
                <w:b w:val="1"/>
                <w:bCs w:val="1"/>
                <w:color w:val="auto"/>
                <w:w w:val="92"/>
              </w:rPr>
              <w:t>of incorporation)</w:t>
            </w:r>
          </w:p>
        </w:tc>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380" w:type="dxa"/>
            <w:vAlign w:val="bottom"/>
          </w:tcPr>
          <w:p>
            <w:pPr>
              <w:jc w:val="center"/>
              <w:ind w:left="162"/>
              <w:spacing w:after="0"/>
              <w:rPr>
                <w:sz w:val="20"/>
                <w:szCs w:val="20"/>
                <w:color w:val="auto"/>
              </w:rPr>
            </w:pPr>
            <w:r>
              <w:rPr>
                <w:rFonts w:ascii="Arial" w:cs="Arial" w:eastAsia="Arial" w:hAnsi="Arial"/>
                <w:sz w:val="14"/>
                <w:szCs w:val="14"/>
                <w:b w:val="1"/>
                <w:bCs w:val="1"/>
                <w:color w:val="auto"/>
                <w:w w:val="96"/>
              </w:rPr>
              <w:t>Identification No.)</w:t>
            </w:r>
          </w:p>
        </w:tc>
      </w:tr>
      <w:tr>
        <w:trPr>
          <w:trHeight w:val="560"/>
        </w:trPr>
        <w:tc>
          <w:tcPr>
            <w:tcW w:w="1720" w:type="dxa"/>
            <w:vAlign w:val="bottom"/>
          </w:tcPr>
          <w:p>
            <w:pPr>
              <w:spacing w:after="0"/>
              <w:rPr>
                <w:sz w:val="24"/>
                <w:szCs w:val="24"/>
                <w:color w:val="auto"/>
              </w:rPr>
            </w:pPr>
          </w:p>
        </w:tc>
        <w:tc>
          <w:tcPr>
            <w:tcW w:w="5500" w:type="dxa"/>
            <w:vAlign w:val="bottom"/>
          </w:tcPr>
          <w:p>
            <w:pPr>
              <w:jc w:val="center"/>
              <w:ind w:right="80"/>
              <w:spacing w:after="0"/>
              <w:rPr>
                <w:sz w:val="20"/>
                <w:szCs w:val="20"/>
                <w:color w:val="auto"/>
              </w:rPr>
            </w:pPr>
            <w:r>
              <w:rPr>
                <w:rFonts w:ascii="Arial" w:cs="Arial" w:eastAsia="Arial" w:hAnsi="Arial"/>
                <w:sz w:val="16"/>
                <w:szCs w:val="16"/>
                <w:b w:val="1"/>
                <w:bCs w:val="1"/>
                <w:color w:val="auto"/>
                <w:w w:val="90"/>
              </w:rPr>
              <w:t>Bishop Ranch 8</w:t>
            </w:r>
          </w:p>
        </w:tc>
        <w:tc>
          <w:tcPr>
            <w:tcW w:w="1380" w:type="dxa"/>
            <w:vAlign w:val="bottom"/>
          </w:tcPr>
          <w:p>
            <w:pPr>
              <w:spacing w:after="0"/>
              <w:rPr>
                <w:sz w:val="24"/>
                <w:szCs w:val="24"/>
                <w:color w:val="auto"/>
              </w:rPr>
            </w:pPr>
          </w:p>
        </w:tc>
      </w:tr>
      <w:tr>
        <w:trPr>
          <w:trHeight w:val="257"/>
        </w:trPr>
        <w:tc>
          <w:tcPr>
            <w:tcW w:w="1720" w:type="dxa"/>
            <w:vAlign w:val="bottom"/>
          </w:tcPr>
          <w:p>
            <w:pPr>
              <w:spacing w:after="0"/>
              <w:rPr>
                <w:sz w:val="22"/>
                <w:szCs w:val="22"/>
                <w:color w:val="auto"/>
              </w:rPr>
            </w:pPr>
          </w:p>
        </w:tc>
        <w:tc>
          <w:tcPr>
            <w:tcW w:w="550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4000 Executive Parkway, Suite 400</w:t>
            </w:r>
          </w:p>
        </w:tc>
        <w:tc>
          <w:tcPr>
            <w:tcW w:w="1380" w:type="dxa"/>
            <w:vAlign w:val="bottom"/>
          </w:tcPr>
          <w:p>
            <w:pPr>
              <w:spacing w:after="0"/>
              <w:rPr>
                <w:sz w:val="22"/>
                <w:szCs w:val="22"/>
                <w:color w:val="auto"/>
              </w:rPr>
            </w:pPr>
          </w:p>
        </w:tc>
      </w:tr>
      <w:tr>
        <w:trPr>
          <w:trHeight w:val="257"/>
        </w:trPr>
        <w:tc>
          <w:tcPr>
            <w:tcW w:w="1720" w:type="dxa"/>
            <w:vAlign w:val="bottom"/>
          </w:tcPr>
          <w:p>
            <w:pPr>
              <w:spacing w:after="0"/>
              <w:rPr>
                <w:sz w:val="22"/>
                <w:szCs w:val="22"/>
                <w:color w:val="auto"/>
              </w:rPr>
            </w:pPr>
          </w:p>
        </w:tc>
        <w:tc>
          <w:tcPr>
            <w:tcW w:w="5500" w:type="dxa"/>
            <w:vAlign w:val="bottom"/>
          </w:tcPr>
          <w:p>
            <w:pPr>
              <w:jc w:val="center"/>
              <w:ind w:right="60"/>
              <w:spacing w:after="0"/>
              <w:rPr>
                <w:sz w:val="20"/>
                <w:szCs w:val="20"/>
                <w:color w:val="auto"/>
              </w:rPr>
            </w:pPr>
            <w:r>
              <w:rPr>
                <w:rFonts w:ascii="Arial" w:cs="Arial" w:eastAsia="Arial" w:hAnsi="Arial"/>
                <w:sz w:val="16"/>
                <w:szCs w:val="16"/>
                <w:b w:val="1"/>
                <w:bCs w:val="1"/>
                <w:color w:val="auto"/>
                <w:w w:val="92"/>
              </w:rPr>
              <w:t>San Ramon, California 94583</w:t>
            </w:r>
          </w:p>
        </w:tc>
        <w:tc>
          <w:tcPr>
            <w:tcW w:w="1380" w:type="dxa"/>
            <w:vAlign w:val="bottom"/>
          </w:tcPr>
          <w:p>
            <w:pPr>
              <w:spacing w:after="0"/>
              <w:rPr>
                <w:sz w:val="22"/>
                <w:szCs w:val="22"/>
                <w:color w:val="auto"/>
              </w:rPr>
            </w:pPr>
          </w:p>
        </w:tc>
      </w:tr>
      <w:tr>
        <w:trPr>
          <w:trHeight w:val="224"/>
        </w:trPr>
        <w:tc>
          <w:tcPr>
            <w:tcW w:w="1720" w:type="dxa"/>
            <w:vAlign w:val="bottom"/>
          </w:tcPr>
          <w:p>
            <w:pPr>
              <w:spacing w:after="0"/>
              <w:rPr>
                <w:sz w:val="19"/>
                <w:szCs w:val="19"/>
                <w:color w:val="auto"/>
              </w:rPr>
            </w:pPr>
          </w:p>
        </w:tc>
        <w:tc>
          <w:tcPr>
            <w:tcW w:w="550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1380" w:type="dxa"/>
            <w:vAlign w:val="bottom"/>
          </w:tcPr>
          <w:p>
            <w:pPr>
              <w:spacing w:after="0"/>
              <w:rPr>
                <w:sz w:val="19"/>
                <w:szCs w:val="19"/>
                <w:color w:val="auto"/>
              </w:rPr>
            </w:pPr>
          </w:p>
        </w:tc>
      </w:tr>
      <w:tr>
        <w:trPr>
          <w:trHeight w:val="390"/>
        </w:trPr>
        <w:tc>
          <w:tcPr>
            <w:tcW w:w="1720" w:type="dxa"/>
            <w:vAlign w:val="bottom"/>
          </w:tcPr>
          <w:p>
            <w:pPr>
              <w:spacing w:after="0"/>
              <w:rPr>
                <w:sz w:val="24"/>
                <w:szCs w:val="24"/>
                <w:color w:val="auto"/>
              </w:rPr>
            </w:pPr>
          </w:p>
        </w:tc>
        <w:tc>
          <w:tcPr>
            <w:tcW w:w="5500" w:type="dxa"/>
            <w:vAlign w:val="bottom"/>
          </w:tcPr>
          <w:p>
            <w:pPr>
              <w:jc w:val="center"/>
              <w:ind w:right="80"/>
              <w:spacing w:after="0"/>
              <w:rPr>
                <w:sz w:val="20"/>
                <w:szCs w:val="20"/>
                <w:color w:val="auto"/>
              </w:rPr>
            </w:pPr>
            <w:r>
              <w:rPr>
                <w:rFonts w:ascii="Arial" w:cs="Arial" w:eastAsia="Arial" w:hAnsi="Arial"/>
                <w:sz w:val="18"/>
                <w:szCs w:val="18"/>
                <w:b w:val="1"/>
                <w:bCs w:val="1"/>
                <w:color w:val="auto"/>
                <w:w w:val="89"/>
              </w:rPr>
              <w:t>Registrant’s telephone number, including area code: (925) 201-2000</w:t>
            </w:r>
          </w:p>
        </w:tc>
        <w:tc>
          <w:tcPr>
            <w:tcW w:w="1380" w:type="dxa"/>
            <w:vAlign w:val="bottom"/>
          </w:tcPr>
          <w:p>
            <w:pPr>
              <w:spacing w:after="0"/>
              <w:rPr>
                <w:sz w:val="24"/>
                <w:szCs w:val="24"/>
                <w:color w:val="auto"/>
              </w:rPr>
            </w:pPr>
          </w:p>
        </w:tc>
      </w:tr>
      <w:tr>
        <w:trPr>
          <w:trHeight w:val="355"/>
        </w:trPr>
        <w:tc>
          <w:tcPr>
            <w:tcW w:w="1720" w:type="dxa"/>
            <w:vAlign w:val="bottom"/>
          </w:tcPr>
          <w:p>
            <w:pPr>
              <w:spacing w:after="0"/>
              <w:rPr>
                <w:sz w:val="24"/>
                <w:szCs w:val="24"/>
                <w:color w:val="auto"/>
              </w:rPr>
            </w:pPr>
          </w:p>
        </w:tc>
        <w:tc>
          <w:tcPr>
            <w:tcW w:w="5500" w:type="dxa"/>
            <w:vAlign w:val="bottom"/>
          </w:tcPr>
          <w:p>
            <w:pPr>
              <w:jc w:val="center"/>
              <w:ind w:right="60"/>
              <w:spacing w:after="0"/>
              <w:rPr>
                <w:sz w:val="20"/>
                <w:szCs w:val="20"/>
                <w:color w:val="auto"/>
              </w:rPr>
            </w:pPr>
            <w:r>
              <w:rPr>
                <w:rFonts w:ascii="Arial" w:cs="Arial" w:eastAsia="Arial" w:hAnsi="Arial"/>
                <w:sz w:val="18"/>
                <w:szCs w:val="18"/>
                <w:b w:val="1"/>
                <w:bCs w:val="1"/>
                <w:color w:val="auto"/>
                <w:w w:val="92"/>
              </w:rPr>
              <w:t>Not Applicable</w:t>
            </w:r>
          </w:p>
        </w:tc>
        <w:tc>
          <w:tcPr>
            <w:tcW w:w="1380" w:type="dxa"/>
            <w:vAlign w:val="bottom"/>
          </w:tcPr>
          <w:p>
            <w:pPr>
              <w:spacing w:after="0"/>
              <w:rPr>
                <w:sz w:val="24"/>
                <w:szCs w:val="24"/>
                <w:color w:val="auto"/>
              </w:rPr>
            </w:pPr>
          </w:p>
        </w:tc>
      </w:tr>
      <w:tr>
        <w:trPr>
          <w:trHeight w:val="186"/>
        </w:trPr>
        <w:tc>
          <w:tcPr>
            <w:tcW w:w="1720" w:type="dxa"/>
            <w:vAlign w:val="bottom"/>
          </w:tcPr>
          <w:p>
            <w:pPr>
              <w:spacing w:after="0"/>
              <w:rPr>
                <w:sz w:val="16"/>
                <w:szCs w:val="16"/>
                <w:color w:val="auto"/>
              </w:rPr>
            </w:pPr>
          </w:p>
        </w:tc>
        <w:tc>
          <w:tcPr>
            <w:tcW w:w="550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380" w:type="dxa"/>
            <w:vAlign w:val="bottom"/>
          </w:tcPr>
          <w:p>
            <w:pPr>
              <w:spacing w:after="0"/>
              <w:rPr>
                <w:sz w:val="16"/>
                <w:szCs w:val="16"/>
                <w:color w:val="auto"/>
              </w:rPr>
            </w:pPr>
          </w:p>
        </w:tc>
      </w:tr>
    </w:tbl>
    <w:p>
      <w:pPr>
        <w:spacing w:after="0" w:line="3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198" w:lineRule="exact"/>
        <w:rPr>
          <w:sz w:val="24"/>
          <w:szCs w:val="24"/>
          <w:color w:val="auto"/>
        </w:rPr>
      </w:pPr>
    </w:p>
    <w:p>
      <w:pPr>
        <w:ind w:left="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198" w:lineRule="exact"/>
        <w:rPr>
          <w:sz w:val="24"/>
          <w:szCs w:val="24"/>
          <w:color w:val="auto"/>
        </w:rPr>
      </w:pPr>
    </w:p>
    <w:p>
      <w:pPr>
        <w:ind w:left="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ind w:left="40" w:right="8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300"/>
          </w:cols>
          <w:pgMar w:left="240" w:top="733" w:right="359" w:bottom="1440" w:gutter="0" w:footer="0" w:header="0"/>
        </w:sectPr>
      </w:pPr>
    </w:p>
    <w:p>
      <w:pPr>
        <w:spacing w:after="0" w:line="8" w:lineRule="exact"/>
        <w:rPr>
          <w:sz w:val="24"/>
          <w:szCs w:val="24"/>
          <w:color w:val="auto"/>
        </w:rPr>
      </w:pPr>
    </w:p>
    <w:p>
      <w:pPr>
        <w:ind w:left="85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10480" w:space="440"/>
            <w:col w:w="380"/>
          </w:cols>
          <w:pgMar w:left="240" w:top="733" w:right="359" w:bottom="1440" w:gutter="0" w:footer="0" w:header="0"/>
          <w:type w:val="continuous"/>
        </w:sectPr>
      </w:pPr>
    </w:p>
    <w:p>
      <w:pPr>
        <w:spacing w:after="0" w:line="77" w:lineRule="exact"/>
        <w:rPr>
          <w:sz w:val="24"/>
          <w:szCs w:val="24"/>
          <w:color w:val="auto"/>
        </w:rPr>
      </w:pPr>
    </w:p>
    <w:p>
      <w:pPr>
        <w:ind w:lef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ectPr>
          <w:pgSz w:w="11900" w:h="16838" w:orient="portrait"/>
          <w:cols w:equalWidth="0" w:num="2">
            <w:col w:w="10460" w:space="460"/>
            <w:col w:w="380"/>
          </w:cols>
          <w:pgMar w:left="240" w:top="733" w:right="359" w:bottom="1440" w:gutter="0" w:footer="0" w:header="0"/>
          <w:type w:val="continuous"/>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2018 Bonus Program</w:t>
      </w:r>
    </w:p>
    <w:p>
      <w:pPr>
        <w:spacing w:after="0" w:line="225"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On February 8, 2018, the Compensation Committee of the Board of Directors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of Five9, Inc. (the “</w:t>
      </w:r>
      <w:r>
        <w:rPr>
          <w:rFonts w:ascii="Arial" w:cs="Arial" w:eastAsia="Arial" w:hAnsi="Arial"/>
          <w:sz w:val="17"/>
          <w:szCs w:val="17"/>
          <w:u w:val="single" w:color="auto"/>
          <w:color w:val="auto"/>
        </w:rPr>
        <w:t>Company</w:t>
      </w:r>
      <w:r>
        <w:rPr>
          <w:rFonts w:ascii="Arial" w:cs="Arial" w:eastAsia="Arial" w:hAnsi="Arial"/>
          <w:sz w:val="17"/>
          <w:szCs w:val="17"/>
          <w:color w:val="auto"/>
        </w:rPr>
        <w:t>”) approved performance targets for the year ending December 31, 2018 that will be used to determine the amount of cash bonus awards that may be earned, on a quarterly basis, by the Company’s Section 16 officers pursuant to the Company’s 2018 bonus program (the “</w:t>
      </w:r>
      <w:r>
        <w:rPr>
          <w:rFonts w:ascii="Arial" w:cs="Arial" w:eastAsia="Arial" w:hAnsi="Arial"/>
          <w:sz w:val="17"/>
          <w:szCs w:val="17"/>
          <w:u w:val="single" w:color="auto"/>
          <w:color w:val="auto"/>
        </w:rPr>
        <w:t>2018 Bonus Program</w:t>
      </w:r>
      <w:r>
        <w:rPr>
          <w:rFonts w:ascii="Arial" w:cs="Arial" w:eastAsia="Arial" w:hAnsi="Arial"/>
          <w:sz w:val="17"/>
          <w:szCs w:val="17"/>
          <w:color w:val="auto"/>
        </w:rPr>
        <w:t>”).</w:t>
      </w:r>
    </w:p>
    <w:p>
      <w:pPr>
        <w:spacing w:after="0" w:line="16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Funding of the 2018 Bonus Program will be based upon the Company’s financial performance and each officer’s individual performance for each quarter in the year ending December 31, 2018, using a weighting of 75% for Company financial performance and 25% for individual performance for each executive officer other than the (i) Interim Chief Executive Officer and Chief Financial Officer and (ii) President. The Interim Chief Executive Officer and Chief Financial Officer’s bonus will be funded 100% based upon Company financial performance. The President’s bonus will be funded 50% based on sales commissions and 37.5% based on Company financial performance, and 12.5% based on his individual performance. Financial performance will be based upon the Company’s achievement of predetermined revenue and adjusted EBITDA targets using a weighting of 80% for performance achieved against the revenue target and 20% for performance achieved against the adjusted EBITDA target. Achievement below 90% of the revenue target or 80% of the adjusted EBITDA target, would result in no cash payout with respect to such target. Achievement up to 125% of the revenue target would result in increasing payouts up to a maximum payout of 150% of the portion of the target bonus allocated to the revenue target. Achievement up to 150% of the adjusted EBITDA target would result in increasing payouts up to a maximum payout of 150% of the portion of the target bonus allocated to the adjusted EBITDA target. In the event that the Company’s actual adjusted EBITDA is below 80% of the adjusted EBITDA target, the maximum cash payout for achieving the revenue target will be 100% of the revenue target bonus.</w:t>
      </w:r>
    </w:p>
    <w:p>
      <w:pPr>
        <w:spacing w:after="0" w:line="18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Below are the annual target bonus levels under the 2018 Bonus Program for the Company’s listed Section 16 officers, each of which is the same as was in effect prior to February 8, 2018:</w:t>
      </w:r>
    </w:p>
    <w:p>
      <w:pPr>
        <w:spacing w:after="0" w:line="333" w:lineRule="exact"/>
        <w:rPr>
          <w:sz w:val="20"/>
          <w:szCs w:val="20"/>
          <w:color w:val="auto"/>
        </w:rPr>
      </w:pPr>
    </w:p>
    <w:tbl>
      <w:tblPr>
        <w:tblLayout w:type="fixed"/>
        <w:tblInd w:w="146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91"/>
              </w:rPr>
              <w:t>Annual Target Bonus</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Annual Target Bonus as a</w:t>
            </w:r>
          </w:p>
        </w:tc>
      </w:tr>
      <w:tr>
        <w:trPr>
          <w:trHeight w:val="210"/>
        </w:trPr>
        <w:tc>
          <w:tcPr>
            <w:tcW w:w="316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240" w:type="dxa"/>
            <w:vAlign w:val="bottom"/>
          </w:tcPr>
          <w:p>
            <w:pPr>
              <w:spacing w:after="0"/>
              <w:rPr>
                <w:sz w:val="18"/>
                <w:szCs w:val="18"/>
                <w:color w:val="auto"/>
              </w:rPr>
            </w:pPr>
          </w:p>
        </w:tc>
        <w:tc>
          <w:tcPr>
            <w:tcW w:w="23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98"/>
              </w:rPr>
              <w:t>(USD)</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of Base Salary</w:t>
            </w:r>
          </w:p>
        </w:tc>
      </w:tr>
      <w:tr>
        <w:trPr>
          <w:trHeight w:val="33"/>
        </w:trPr>
        <w:tc>
          <w:tcPr>
            <w:tcW w:w="27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Barry Zwarenstein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4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75%</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Daniel Burkland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325,000</w:t>
            </w:r>
          </w:p>
        </w:tc>
        <w:tc>
          <w:tcPr>
            <w:tcW w:w="46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81%</w:t>
            </w:r>
          </w:p>
        </w:tc>
      </w:tr>
      <w:tr>
        <w:trPr>
          <w:trHeight w:val="27"/>
        </w:trPr>
        <w:tc>
          <w:tcPr>
            <w:tcW w:w="2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Welch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164,000</w:t>
            </w:r>
          </w:p>
        </w:tc>
        <w:tc>
          <w:tcPr>
            <w:tcW w:w="4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Gaurav Passi</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164,000</w:t>
            </w:r>
          </w:p>
        </w:tc>
        <w:tc>
          <w:tcPr>
            <w:tcW w:w="46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50%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Chairman Equity Award</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February 8, 2018, the Compensation Committee also approved a restricted stock unit award (“RSU”) to Michael Burkland, the Executive Chairman and a director of the Company, with an aggregate grant date fair value equal to $360,000, in consideration of the increased time commitment by Mr. Burkland in his role as Executive Chairman of the Company. The RSU will be granted in accordance with the Company’s equity award grant policy and will vest in four quarterly installments.</w:t>
      </w:r>
    </w:p>
    <w:p>
      <w:pPr>
        <w:sectPr>
          <w:pgSz w:w="11900" w:h="16838" w:orient="portrait"/>
          <w:cols w:equalWidth="0" w:num="1">
            <w:col w:w="11400"/>
          </w:cols>
          <w:pgMar w:left="240" w:top="580"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3540" w:type="dxa"/>
            <w:vAlign w:val="bottom"/>
            <w:gridSpan w:val="2"/>
          </w:tcPr>
          <w:p>
            <w:pPr>
              <w:ind w:left="2600"/>
              <w:spacing w:after="0"/>
              <w:rPr>
                <w:sz w:val="20"/>
                <w:szCs w:val="20"/>
                <w:color w:val="auto"/>
              </w:rPr>
            </w:pPr>
            <w:r>
              <w:rPr>
                <w:rFonts w:ascii="Arial" w:cs="Arial" w:eastAsia="Arial" w:hAnsi="Arial"/>
                <w:sz w:val="18"/>
                <w:szCs w:val="18"/>
                <w:color w:val="auto"/>
                <w:w w:val="95"/>
              </w:rPr>
              <w:t>FIVE9, INC.</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360" w:type="dxa"/>
            <w:vAlign w:val="bottom"/>
            <w:vMerge w:val="restart"/>
          </w:tcPr>
          <w:p>
            <w:pPr>
              <w:spacing w:after="0"/>
              <w:rPr>
                <w:sz w:val="20"/>
                <w:szCs w:val="20"/>
                <w:color w:val="auto"/>
              </w:rPr>
            </w:pPr>
            <w:r>
              <w:rPr>
                <w:rFonts w:ascii="Arial" w:cs="Arial" w:eastAsia="Arial" w:hAnsi="Arial"/>
                <w:sz w:val="18"/>
                <w:szCs w:val="18"/>
                <w:color w:val="auto"/>
              </w:rPr>
              <w:t>Date: February 12, 2018</w:t>
            </w:r>
          </w:p>
        </w:tc>
        <w:tc>
          <w:tcPr>
            <w:tcW w:w="3540" w:type="dxa"/>
            <w:vAlign w:val="bottom"/>
            <w:gridSpan w:val="2"/>
            <w:vMerge w:val="restart"/>
          </w:tcPr>
          <w:p>
            <w:pPr>
              <w:ind w:left="2600"/>
              <w:spacing w:after="0"/>
              <w:rPr>
                <w:sz w:val="20"/>
                <w:szCs w:val="20"/>
                <w:color w:val="auto"/>
              </w:rPr>
            </w:pPr>
            <w:r>
              <w:rPr>
                <w:rFonts w:ascii="Arial" w:cs="Arial" w:eastAsia="Arial" w:hAnsi="Arial"/>
                <w:sz w:val="18"/>
                <w:szCs w:val="18"/>
                <w:color w:val="auto"/>
              </w:rPr>
              <w:t>By:</w:t>
            </w:r>
          </w:p>
        </w:tc>
        <w:tc>
          <w:tcPr>
            <w:tcW w:w="3260" w:type="dxa"/>
            <w:vAlign w:val="bottom"/>
          </w:tcPr>
          <w:p>
            <w:pPr>
              <w:jc w:val="center"/>
              <w:ind w:right="130"/>
              <w:spacing w:after="0"/>
              <w:rPr>
                <w:sz w:val="20"/>
                <w:szCs w:val="20"/>
                <w:color w:val="auto"/>
              </w:rPr>
            </w:pPr>
            <w:r>
              <w:rPr>
                <w:rFonts w:ascii="Arial" w:cs="Arial" w:eastAsia="Arial" w:hAnsi="Arial"/>
                <w:sz w:val="18"/>
                <w:szCs w:val="18"/>
                <w:color w:val="auto"/>
                <w:w w:val="91"/>
              </w:rPr>
              <w:t>/s/ Barry Zwarenstein</w:t>
            </w:r>
          </w:p>
        </w:tc>
        <w:tc>
          <w:tcPr>
            <w:tcW w:w="0" w:type="dxa"/>
            <w:vAlign w:val="bottom"/>
          </w:tcPr>
          <w:p>
            <w:pPr>
              <w:spacing w:after="0"/>
              <w:rPr>
                <w:sz w:val="1"/>
                <w:szCs w:val="1"/>
                <w:color w:val="auto"/>
              </w:rPr>
            </w:pPr>
          </w:p>
        </w:tc>
      </w:tr>
      <w:tr>
        <w:trPr>
          <w:trHeight w:val="81"/>
        </w:trPr>
        <w:tc>
          <w:tcPr>
            <w:tcW w:w="4360" w:type="dxa"/>
            <w:vAlign w:val="bottom"/>
            <w:vMerge w:val="continue"/>
          </w:tcPr>
          <w:p>
            <w:pPr>
              <w:spacing w:after="0"/>
              <w:rPr>
                <w:sz w:val="7"/>
                <w:szCs w:val="7"/>
                <w:color w:val="auto"/>
              </w:rPr>
            </w:pPr>
          </w:p>
        </w:tc>
        <w:tc>
          <w:tcPr>
            <w:tcW w:w="3540" w:type="dxa"/>
            <w:vAlign w:val="bottom"/>
            <w:gridSpan w:val="2"/>
            <w:vMerge w:val="continue"/>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tcPr>
          <w:p>
            <w:pPr>
              <w:jc w:val="center"/>
              <w:ind w:right="130"/>
              <w:spacing w:after="0"/>
              <w:rPr>
                <w:sz w:val="20"/>
                <w:szCs w:val="20"/>
                <w:color w:val="auto"/>
              </w:rPr>
            </w:pPr>
            <w:r>
              <w:rPr>
                <w:rFonts w:ascii="Arial" w:cs="Arial" w:eastAsia="Arial" w:hAnsi="Arial"/>
                <w:sz w:val="18"/>
                <w:szCs w:val="18"/>
                <w:color w:val="auto"/>
                <w:w w:val="93"/>
              </w:rPr>
              <w:t>Barry Zwarenstein</w:t>
            </w:r>
          </w:p>
        </w:tc>
        <w:tc>
          <w:tcPr>
            <w:tcW w:w="0" w:type="dxa"/>
            <w:vAlign w:val="bottom"/>
          </w:tcPr>
          <w:p>
            <w:pPr>
              <w:spacing w:after="0"/>
              <w:rPr>
                <w:sz w:val="1"/>
                <w:szCs w:val="1"/>
                <w:color w:val="auto"/>
              </w:rPr>
            </w:pPr>
          </w:p>
        </w:tc>
      </w:tr>
      <w:tr>
        <w:trPr>
          <w:trHeight w:val="337"/>
        </w:trPr>
        <w:tc>
          <w:tcPr>
            <w:tcW w:w="4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tcPr>
          <w:p>
            <w:pPr>
              <w:jc w:val="center"/>
              <w:ind w:right="130"/>
              <w:spacing w:after="0"/>
              <w:rPr>
                <w:sz w:val="20"/>
                <w:szCs w:val="20"/>
                <w:color w:val="auto"/>
              </w:rPr>
            </w:pPr>
            <w:r>
              <w:rPr>
                <w:rFonts w:ascii="Arial" w:cs="Arial" w:eastAsia="Arial" w:hAnsi="Arial"/>
                <w:sz w:val="18"/>
                <w:szCs w:val="18"/>
                <w:color w:val="auto"/>
                <w:w w:val="93"/>
              </w:rPr>
              <w:t>Interim Chief Executive Officer and Chief</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jc w:val="center"/>
              <w:ind w:right="130"/>
              <w:spacing w:after="0"/>
              <w:rPr>
                <w:sz w:val="20"/>
                <w:szCs w:val="20"/>
                <w:color w:val="auto"/>
              </w:rPr>
            </w:pPr>
            <w:r>
              <w:rPr>
                <w:rFonts w:ascii="Arial" w:cs="Arial" w:eastAsia="Arial" w:hAnsi="Arial"/>
                <w:sz w:val="18"/>
                <w:szCs w:val="18"/>
                <w:color w:val="auto"/>
                <w:w w:val="95"/>
              </w:rPr>
              <w:t>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2019-12-06T23:18:56Z</dcterms:created>
  <dcterms:modified xsi:type="dcterms:W3CDTF">2019-12-06T23:18:56Z</dcterms:modified>
</cp:coreProperties>
</file>