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0001886762</w:t>
            </w: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8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6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Five9,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6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001-36383</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w w:val="96"/>
              </w:rPr>
              <w:t>3001 Bishop Dr. Suite 350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860" w:type="dxa"/>
            <w:vAlign w:val="bottom"/>
          </w:tcPr>
          <w:p>
            <w:pPr>
              <w:spacing w:after="0"/>
              <w:rPr>
                <w:sz w:val="21"/>
                <w:szCs w:val="21"/>
                <w:color w:val="auto"/>
              </w:rPr>
            </w:pPr>
          </w:p>
        </w:tc>
        <w:tc>
          <w:tcPr>
            <w:tcW w:w="342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rPr>
              <w:t>San Ramon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860" w:type="dxa"/>
            <w:vAlign w:val="bottom"/>
          </w:tcPr>
          <w:p>
            <w:pPr>
              <w:spacing w:after="0"/>
              <w:rPr>
                <w:sz w:val="13"/>
                <w:szCs w:val="13"/>
                <w:color w:val="auto"/>
              </w:rPr>
            </w:pPr>
          </w:p>
        </w:tc>
        <w:tc>
          <w:tcPr>
            <w:tcW w:w="3420" w:type="dxa"/>
            <w:vAlign w:val="bottom"/>
            <w:vMerge w:val="restart"/>
          </w:tcPr>
          <w:p>
            <w:pPr>
              <w:ind w:left="112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860" w:type="dxa"/>
            <w:vAlign w:val="bottom"/>
          </w:tcPr>
          <w:p>
            <w:pPr>
              <w:spacing w:after="0"/>
              <w:rPr>
                <w:sz w:val="7"/>
                <w:szCs w:val="7"/>
                <w:color w:val="auto"/>
              </w:rPr>
            </w:pPr>
          </w:p>
        </w:tc>
        <w:tc>
          <w:tcPr>
            <w:tcW w:w="3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94583</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925-201-2000</w:t>
            </w:r>
          </w:p>
        </w:tc>
        <w:tc>
          <w:tcPr>
            <w:tcW w:w="0" w:type="dxa"/>
            <w:vAlign w:val="bottom"/>
          </w:tcPr>
          <w:p>
            <w:pPr>
              <w:spacing w:after="0"/>
              <w:rPr>
                <w:sz w:val="1"/>
                <w:szCs w:val="1"/>
                <w:color w:val="auto"/>
              </w:rPr>
            </w:pPr>
          </w:p>
        </w:tc>
      </w:tr>
      <w:tr>
        <w:trPr>
          <w:trHeight w:val="29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Tiffany Meriweather</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6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Barney LLC</w:t>
      </w:r>
    </w:p>
    <w:p>
      <w:pPr>
        <w:ind w:left="2500"/>
        <w:spacing w:after="0" w:line="230" w:lineRule="auto"/>
        <w:rPr>
          <w:sz w:val="20"/>
          <w:szCs w:val="20"/>
          <w:color w:val="auto"/>
        </w:rPr>
      </w:pPr>
      <w:r>
        <w:rPr>
          <w:rFonts w:ascii="Times New Roman" w:cs="Times New Roman" w:eastAsia="Times New Roman" w:hAnsi="Times New Roman"/>
          <w:sz w:val="22"/>
          <w:szCs w:val="22"/>
          <w:color w:val="auto"/>
        </w:rPr>
        <w:t>Executive Financial</w:t>
      </w:r>
    </w:p>
    <w:p>
      <w:pPr>
        <w:ind w:left="40"/>
        <w:spacing w:after="0" w:line="231" w:lineRule="auto"/>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Services</w:t>
      </w:r>
    </w:p>
    <w:p>
      <w:pPr>
        <w:ind w:left="2500"/>
        <w:spacing w:after="0" w:line="230" w:lineRule="auto"/>
        <w:rPr>
          <w:sz w:val="20"/>
          <w:szCs w:val="20"/>
          <w:color w:val="auto"/>
        </w:rPr>
      </w:pPr>
      <w:r>
        <w:rPr>
          <w:rFonts w:ascii="Times New Roman" w:cs="Times New Roman" w:eastAsia="Times New Roman" w:hAnsi="Times New Roman"/>
          <w:sz w:val="22"/>
          <w:szCs w:val="22"/>
          <w:color w:val="auto"/>
        </w:rPr>
        <w:t>1 New York Plaza 8th</w:t>
      </w:r>
    </w:p>
    <w:p>
      <w:pPr>
        <w:ind w:left="2500"/>
        <w:spacing w:after="0" w:line="231" w:lineRule="auto"/>
        <w:rPr>
          <w:sz w:val="20"/>
          <w:szCs w:val="20"/>
          <w:color w:val="auto"/>
        </w:rPr>
      </w:pPr>
      <w:r>
        <w:rPr>
          <w:rFonts w:ascii="Times New Roman" w:cs="Times New Roman" w:eastAsia="Times New Roman" w:hAnsi="Times New Roman"/>
          <w:sz w:val="22"/>
          <w:szCs w:val="22"/>
          <w:color w:val="auto"/>
        </w:rPr>
        <w:t>Floor</w:t>
      </w:r>
    </w:p>
    <w:p>
      <w:pPr>
        <w:ind w:left="250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40" w:type="dxa"/>
        <w:tblCellMar>
          <w:top w:w="0" w:type="dxa"/>
          <w:left w:w="0" w:type="dxa"/>
          <w:bottom w:w="0" w:type="dxa"/>
          <w:right w:w="0" w:type="dxa"/>
        </w:tblCellMar>
      </w:tblPr>
      <w:tr>
        <w:trPr>
          <w:trHeight w:val="253"/>
        </w:trPr>
        <w:tc>
          <w:tcPr>
            <w:tcW w:w="122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20" w:type="dxa"/>
            <w:vAlign w:val="bottom"/>
            <w:vMerge w:val="restart"/>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8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20" w:type="dxa"/>
            <w:vAlign w:val="bottom"/>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8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20" w:type="dxa"/>
            <w:vAlign w:val="bottom"/>
            <w:vMerge w:val="restart"/>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8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spacing w:after="0"/>
        <w:tabs>
          <w:tab w:leader="none" w:pos="1200" w:val="left"/>
          <w:tab w:leader="none" w:pos="2520" w:val="left"/>
          <w:tab w:leader="none" w:pos="3740" w:val="left"/>
          <w:tab w:leader="none" w:pos="5040" w:val="left"/>
        </w:tabs>
        <w:rPr>
          <w:sz w:val="20"/>
          <w:szCs w:val="20"/>
          <w:color w:val="auto"/>
        </w:rPr>
      </w:pPr>
      <w:r>
        <w:rPr>
          <w:rFonts w:ascii="Times New Roman" w:cs="Times New Roman" w:eastAsia="Times New Roman" w:hAnsi="Times New Roman"/>
          <w:sz w:val="22"/>
          <w:szCs w:val="22"/>
          <w:color w:val="auto"/>
        </w:rPr>
        <w:t>7222</w:t>
      </w:r>
      <w:r>
        <w:rPr>
          <w:sz w:val="20"/>
          <w:szCs w:val="20"/>
          <w:color w:val="auto"/>
        </w:rPr>
        <w:tab/>
      </w:r>
      <w:r>
        <w:rPr>
          <w:rFonts w:ascii="Times New Roman" w:cs="Times New Roman" w:eastAsia="Times New Roman" w:hAnsi="Times New Roman"/>
          <w:sz w:val="22"/>
          <w:szCs w:val="22"/>
          <w:color w:val="auto"/>
        </w:rPr>
        <w:t>180759.51</w:t>
      </w:r>
      <w:r>
        <w:rPr>
          <w:sz w:val="20"/>
          <w:szCs w:val="20"/>
          <w:color w:val="auto"/>
        </w:rPr>
        <w:tab/>
      </w:r>
      <w:r>
        <w:rPr>
          <w:rFonts w:ascii="Times New Roman" w:cs="Times New Roman" w:eastAsia="Times New Roman" w:hAnsi="Times New Roman"/>
          <w:sz w:val="22"/>
          <w:szCs w:val="22"/>
          <w:color w:val="auto"/>
        </w:rPr>
        <w:t>74723569</w:t>
      </w:r>
      <w:r>
        <w:rPr>
          <w:sz w:val="20"/>
          <w:szCs w:val="20"/>
          <w:color w:val="auto"/>
        </w:rPr>
        <w:tab/>
      </w:r>
      <w:r>
        <w:rPr>
          <w:rFonts w:ascii="Times New Roman" w:cs="Times New Roman" w:eastAsia="Times New Roman" w:hAnsi="Times New Roman"/>
          <w:sz w:val="22"/>
          <w:szCs w:val="22"/>
          <w:color w:val="auto"/>
        </w:rPr>
        <w:t>06/04/2026</w:t>
      </w:r>
      <w:r>
        <w:rPr>
          <w:sz w:val="20"/>
          <w:szCs w:val="20"/>
          <w:color w:val="auto"/>
        </w:rPr>
        <w:tab/>
      </w:r>
      <w:r>
        <w:rPr>
          <w:rFonts w:ascii="Times New Roman" w:cs="Times New Roman" w:eastAsia="Times New Roman" w:hAnsi="Times New Roman"/>
          <w:sz w:val="21"/>
          <w:szCs w:val="21"/>
          <w:color w:val="auto"/>
        </w:rPr>
        <w:t>Nasdaq</w:t>
      </w:r>
    </w:p>
    <w:p>
      <w:pPr>
        <w:spacing w:after="0" w:line="952" w:lineRule="exact"/>
        <w:rPr>
          <w:sz w:val="24"/>
          <w:szCs w:val="24"/>
          <w:color w:val="auto"/>
        </w:rPr>
      </w:pPr>
    </w:p>
    <w:p>
      <w:pPr>
        <w:sectPr>
          <w:pgSz w:w="11900" w:h="16838" w:orient="portrait"/>
          <w:cols w:equalWidth="0" w:num="2">
            <w:col w:w="4660" w:space="220"/>
            <w:col w:w="6360"/>
          </w:cols>
          <w:pgMar w:left="320" w:top="261" w:right="339" w:bottom="69"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10"/>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06/03/2026 RSU</w:t>
            </w:r>
          </w:p>
        </w:tc>
        <w:tc>
          <w:tcPr>
            <w:tcW w:w="15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672"/>
              <w:spacing w:after="0"/>
              <w:rPr>
                <w:sz w:val="20"/>
                <w:szCs w:val="20"/>
                <w:color w:val="auto"/>
              </w:rPr>
            </w:pPr>
            <w:r>
              <w:rPr>
                <w:rFonts w:ascii="Times New Roman" w:cs="Times New Roman" w:eastAsia="Times New Roman" w:hAnsi="Times New Roman"/>
                <w:sz w:val="22"/>
                <w:szCs w:val="22"/>
                <w:color w:val="auto"/>
                <w:w w:val="99"/>
              </w:rPr>
              <w:t>7222</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06/03/2026 Not Applicable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-152400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5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56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Tiffany Meriweather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3001 Bishop Drive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03/04/2026 5942</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106183.54</w:t>
            </w:r>
          </w:p>
        </w:tc>
        <w:tc>
          <w:tcPr>
            <w:tcW w:w="0" w:type="dxa"/>
            <w:vAlign w:val="bottom"/>
          </w:tcPr>
          <w:p>
            <w:pPr>
              <w:spacing w:after="0"/>
              <w:rPr>
                <w:sz w:val="1"/>
                <w:szCs w:val="1"/>
                <w:color w:val="auto"/>
              </w:rPr>
            </w:pPr>
          </w:p>
        </w:tc>
      </w:tr>
      <w:tr>
        <w:trPr>
          <w:trHeight w:val="161"/>
        </w:trPr>
        <w:tc>
          <w:tcPr>
            <w:tcW w:w="15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350</w:t>
            </w:r>
          </w:p>
        </w:tc>
        <w:tc>
          <w:tcPr>
            <w:tcW w:w="17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60" w:type="dxa"/>
            <w:vAlign w:val="bottom"/>
            <w:vMerge w:val="continue"/>
          </w:tcPr>
          <w:p>
            <w:pPr>
              <w:spacing w:after="0"/>
              <w:rPr>
                <w:sz w:val="7"/>
                <w:szCs w:val="7"/>
                <w:color w:val="auto"/>
              </w:rPr>
            </w:pPr>
          </w:p>
        </w:tc>
        <w:tc>
          <w:tcPr>
            <w:tcW w:w="17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San Ramon  CA</w:t>
            </w:r>
          </w:p>
        </w:tc>
        <w:tc>
          <w:tcPr>
            <w:tcW w:w="17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94583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Tiffany Meriweather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3001 Bishop Drive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05/13/2026 8497</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180306.34</w:t>
            </w:r>
          </w:p>
        </w:tc>
        <w:tc>
          <w:tcPr>
            <w:tcW w:w="0" w:type="dxa"/>
            <w:vAlign w:val="bottom"/>
          </w:tcPr>
          <w:p>
            <w:pPr>
              <w:spacing w:after="0"/>
              <w:rPr>
                <w:sz w:val="1"/>
                <w:szCs w:val="1"/>
                <w:color w:val="auto"/>
              </w:rPr>
            </w:pPr>
          </w:p>
        </w:tc>
      </w:tr>
      <w:tr>
        <w:trPr>
          <w:trHeight w:val="161"/>
        </w:trPr>
        <w:tc>
          <w:tcPr>
            <w:tcW w:w="15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350</w:t>
            </w:r>
          </w:p>
        </w:tc>
        <w:tc>
          <w:tcPr>
            <w:tcW w:w="17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60" w:type="dxa"/>
            <w:vAlign w:val="bottom"/>
            <w:vMerge w:val="continue"/>
          </w:tcPr>
          <w:p>
            <w:pPr>
              <w:spacing w:after="0"/>
              <w:rPr>
                <w:sz w:val="7"/>
                <w:szCs w:val="7"/>
                <w:color w:val="auto"/>
              </w:rPr>
            </w:pPr>
          </w:p>
        </w:tc>
        <w:tc>
          <w:tcPr>
            <w:tcW w:w="17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San Ramon  CA</w:t>
            </w:r>
          </w:p>
        </w:tc>
        <w:tc>
          <w:tcPr>
            <w:tcW w:w="17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94583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Tiffany Meriweather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3001 Bishop Drive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05/14/2026 21320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447293.6</w:t>
            </w:r>
          </w:p>
        </w:tc>
        <w:tc>
          <w:tcPr>
            <w:tcW w:w="0" w:type="dxa"/>
            <w:vAlign w:val="bottom"/>
          </w:tcPr>
          <w:p>
            <w:pPr>
              <w:spacing w:after="0"/>
              <w:rPr>
                <w:sz w:val="1"/>
                <w:szCs w:val="1"/>
                <w:color w:val="auto"/>
              </w:rPr>
            </w:pPr>
          </w:p>
        </w:tc>
      </w:tr>
      <w:tr>
        <w:trPr>
          <w:trHeight w:val="161"/>
        </w:trPr>
        <w:tc>
          <w:tcPr>
            <w:tcW w:w="15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350</w:t>
            </w:r>
          </w:p>
        </w:tc>
        <w:tc>
          <w:tcPr>
            <w:tcW w:w="17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60" w:type="dxa"/>
            <w:vAlign w:val="bottom"/>
            <w:vMerge w:val="continue"/>
          </w:tcPr>
          <w:p>
            <w:pPr>
              <w:spacing w:after="0"/>
              <w:rPr>
                <w:sz w:val="7"/>
                <w:szCs w:val="7"/>
                <w:color w:val="auto"/>
              </w:rPr>
            </w:pPr>
          </w:p>
        </w:tc>
        <w:tc>
          <w:tcPr>
            <w:tcW w:w="17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San Ramon  CA</w:t>
            </w:r>
          </w:p>
        </w:tc>
        <w:tc>
          <w:tcPr>
            <w:tcW w:w="17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94583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680"/>
        <w:spacing w:after="0" w:line="244" w:lineRule="auto"/>
        <w:rPr>
          <w:sz w:val="20"/>
          <w:szCs w:val="20"/>
          <w:color w:val="auto"/>
        </w:rPr>
      </w:pPr>
      <w:r>
        <w:rPr>
          <w:rFonts w:ascii="Times New Roman" w:cs="Times New Roman" w:eastAsia="Times New Roman" w:hAnsi="Times New Roman"/>
          <w:sz w:val="22"/>
          <w:szCs w:val="22"/>
          <w:color w:val="auto"/>
        </w:rPr>
        <w:t>The sale reported on this Form 144 represents an Issuer mandated sale by the Reporting Person to cover tax withholding obligations in connection with the vesting and settlement of Restricted Stock Units, and it does not represent a discretionary trade by the Reporting Person.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06/03/2026</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Tiffany Meriweather</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2026-06-03T16:17:52Z</dcterms:created>
  <dcterms:modified xsi:type="dcterms:W3CDTF">2026-06-03T16:17:52Z</dcterms:modified>
</cp:coreProperties>
</file>