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Kozanian Panos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Product Engineering</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5,869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161,671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represents a Five9, Inc. mandated sale by the Reporting Person to cover tax withholding obligations in connection with the vesting and settlement of restricted stock units, and it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for sales to cover taxes upon vesting of restricted stock units for all employees of Five9, Inc., including the Reporting Person,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0974"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2026-06-08T16:39:53Z</dcterms:created>
  <dcterms:modified xsi:type="dcterms:W3CDTF">2026-06-08T16:39:53Z</dcterms:modified>
</cp:coreProperties>
</file>