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73660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75565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5"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6"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64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8"/>
        </w:trPr>
        <w:tc>
          <w:tcPr>
            <w:tcW w:w="11200" w:type="dxa"/>
            <w:vAlign w:val="bottom"/>
            <w:gridSpan w:val="2"/>
          </w:tcPr>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001-36383</w:t>
            </w:r>
          </w:p>
        </w:tc>
      </w:tr>
      <w:tr>
        <w:trPr>
          <w:trHeight w:val="74"/>
        </w:trPr>
        <w:tc>
          <w:tcPr>
            <w:tcW w:w="640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r>
    </w:tbl>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416"/>
        </w:trPr>
        <w:tc>
          <w:tcPr>
            <w:tcW w:w="38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32"/>
                <w:szCs w:val="32"/>
                <w:b w:val="1"/>
                <w:bCs w:val="1"/>
                <w:color w:val="auto"/>
              </w:rPr>
              <w:t>Five9, Inc.</w:t>
            </w:r>
          </w:p>
        </w:tc>
        <w:tc>
          <w:tcPr>
            <w:tcW w:w="3880" w:type="dxa"/>
            <w:vAlign w:val="bottom"/>
          </w:tcPr>
          <w:p>
            <w:pPr>
              <w:spacing w:after="0"/>
              <w:rPr>
                <w:sz w:val="24"/>
                <w:szCs w:val="24"/>
                <w:color w:val="auto"/>
              </w:rPr>
            </w:pPr>
          </w:p>
        </w:tc>
      </w:tr>
      <w:tr>
        <w:trPr>
          <w:trHeight w:val="188"/>
        </w:trPr>
        <w:tc>
          <w:tcPr>
            <w:tcW w:w="380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880" w:type="dxa"/>
            <w:vAlign w:val="bottom"/>
          </w:tcPr>
          <w:p>
            <w:pPr>
              <w:spacing w:after="0"/>
              <w:rPr>
                <w:sz w:val="16"/>
                <w:szCs w:val="16"/>
                <w:color w:val="auto"/>
              </w:rPr>
            </w:pPr>
          </w:p>
        </w:tc>
      </w:tr>
      <w:tr>
        <w:trPr>
          <w:trHeight w:val="84"/>
        </w:trPr>
        <w:tc>
          <w:tcPr>
            <w:tcW w:w="380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3880" w:type="dxa"/>
            <w:vAlign w:val="bottom"/>
            <w:tcBorders>
              <w:bottom w:val="single" w:sz="8" w:color="auto"/>
            </w:tcBorders>
          </w:tcPr>
          <w:p>
            <w:pPr>
              <w:spacing w:after="0"/>
              <w:rPr>
                <w:sz w:val="7"/>
                <w:szCs w:val="7"/>
                <w:color w:val="auto"/>
              </w:rPr>
            </w:pPr>
          </w:p>
        </w:tc>
      </w:tr>
      <w:tr>
        <w:trPr>
          <w:trHeight w:val="287"/>
        </w:trPr>
        <w:tc>
          <w:tcPr>
            <w:tcW w:w="3800" w:type="dxa"/>
            <w:vAlign w:val="bottom"/>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tcPr>
          <w:p>
            <w:pPr>
              <w:spacing w:after="0"/>
              <w:rPr>
                <w:sz w:val="24"/>
                <w:szCs w:val="24"/>
                <w:color w:val="auto"/>
              </w:rPr>
            </w:pPr>
          </w:p>
        </w:tc>
        <w:tc>
          <w:tcPr>
            <w:tcW w:w="3880" w:type="dxa"/>
            <w:vAlign w:val="bottom"/>
          </w:tcPr>
          <w:p>
            <w:pPr>
              <w:jc w:val="center"/>
              <w:ind w:right="1388"/>
              <w:spacing w:after="0"/>
              <w:rPr>
                <w:sz w:val="20"/>
                <w:szCs w:val="20"/>
                <w:color w:val="auto"/>
              </w:rPr>
            </w:pPr>
            <w:r>
              <w:rPr>
                <w:rFonts w:ascii="Times New Roman" w:cs="Times New Roman" w:eastAsia="Times New Roman" w:hAnsi="Times New Roman"/>
                <w:sz w:val="14"/>
                <w:szCs w:val="14"/>
                <w:b w:val="1"/>
                <w:bCs w:val="1"/>
                <w:color w:val="auto"/>
              </w:rPr>
              <w:t>94-3394123</w:t>
            </w:r>
          </w:p>
        </w:tc>
      </w:tr>
      <w:tr>
        <w:trPr>
          <w:trHeight w:val="163"/>
        </w:trPr>
        <w:tc>
          <w:tcPr>
            <w:tcW w:w="3800" w:type="dxa"/>
            <w:vAlign w:val="bottom"/>
          </w:tcPr>
          <w:p>
            <w:pPr>
              <w:jc w:val="center"/>
              <w:ind w:left="16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520" w:type="dxa"/>
            <w:vAlign w:val="bottom"/>
          </w:tcPr>
          <w:p>
            <w:pPr>
              <w:spacing w:after="0"/>
              <w:rPr>
                <w:sz w:val="14"/>
                <w:szCs w:val="14"/>
                <w:color w:val="auto"/>
              </w:rPr>
            </w:pPr>
          </w:p>
        </w:tc>
        <w:tc>
          <w:tcPr>
            <w:tcW w:w="3880" w:type="dxa"/>
            <w:vAlign w:val="bottom"/>
          </w:tcPr>
          <w:p>
            <w:pPr>
              <w:jc w:val="center"/>
              <w:ind w:right="138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800" w:type="dxa"/>
            <w:vAlign w:val="bottom"/>
          </w:tcPr>
          <w:p>
            <w:pPr>
              <w:jc w:val="center"/>
              <w:ind w:left="16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520" w:type="dxa"/>
            <w:vAlign w:val="bottom"/>
          </w:tcPr>
          <w:p>
            <w:pPr>
              <w:spacing w:after="0"/>
              <w:rPr>
                <w:sz w:val="16"/>
                <w:szCs w:val="16"/>
                <w:color w:val="auto"/>
              </w:rPr>
            </w:pPr>
          </w:p>
        </w:tc>
        <w:tc>
          <w:tcPr>
            <w:tcW w:w="3880" w:type="dxa"/>
            <w:vAlign w:val="bottom"/>
          </w:tcPr>
          <w:p>
            <w:pPr>
              <w:jc w:val="center"/>
              <w:ind w:right="138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55"/>
        </w:trPr>
        <w:tc>
          <w:tcPr>
            <w:tcW w:w="3800" w:type="dxa"/>
            <w:vAlign w:val="bottom"/>
          </w:tcPr>
          <w:p>
            <w:pPr>
              <w:spacing w:after="0"/>
              <w:rPr>
                <w:sz w:val="22"/>
                <w:szCs w:val="22"/>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3001 Bishop Drive, Suite 350</w:t>
            </w:r>
          </w:p>
        </w:tc>
        <w:tc>
          <w:tcPr>
            <w:tcW w:w="3880" w:type="dxa"/>
            <w:vAlign w:val="bottom"/>
          </w:tcPr>
          <w:p>
            <w:pPr>
              <w:spacing w:after="0"/>
              <w:rPr>
                <w:sz w:val="22"/>
                <w:szCs w:val="22"/>
                <w:color w:val="auto"/>
              </w:rPr>
            </w:pPr>
          </w:p>
        </w:tc>
      </w:tr>
      <w:tr>
        <w:trPr>
          <w:trHeight w:val="190"/>
        </w:trPr>
        <w:tc>
          <w:tcPr>
            <w:tcW w:w="380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San Ramon, CA 94583</w:t>
            </w:r>
          </w:p>
        </w:tc>
        <w:tc>
          <w:tcPr>
            <w:tcW w:w="3880" w:type="dxa"/>
            <w:vAlign w:val="bottom"/>
          </w:tcPr>
          <w:p>
            <w:pPr>
              <w:spacing w:after="0"/>
              <w:rPr>
                <w:sz w:val="16"/>
                <w:szCs w:val="16"/>
                <w:color w:val="auto"/>
              </w:rPr>
            </w:pPr>
          </w:p>
        </w:tc>
      </w:tr>
      <w:tr>
        <w:trPr>
          <w:trHeight w:val="174"/>
        </w:trPr>
        <w:tc>
          <w:tcPr>
            <w:tcW w:w="3800" w:type="dxa"/>
            <w:vAlign w:val="bottom"/>
          </w:tcPr>
          <w:p>
            <w:pPr>
              <w:spacing w:after="0"/>
              <w:rPr>
                <w:sz w:val="15"/>
                <w:szCs w:val="15"/>
                <w:color w:val="auto"/>
              </w:rPr>
            </w:pPr>
          </w:p>
        </w:tc>
        <w:tc>
          <w:tcPr>
            <w:tcW w:w="3520" w:type="dxa"/>
            <w:vAlign w:val="bottom"/>
          </w:tcPr>
          <w:p>
            <w:pPr>
              <w:jc w:val="center"/>
              <w:ind w:left="2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3880" w:type="dxa"/>
            <w:vAlign w:val="bottom"/>
          </w:tcPr>
          <w:p>
            <w:pPr>
              <w:spacing w:after="0"/>
              <w:rPr>
                <w:sz w:val="15"/>
                <w:szCs w:val="15"/>
                <w:color w:val="auto"/>
              </w:rPr>
            </w:pPr>
          </w:p>
        </w:tc>
      </w:tr>
      <w:tr>
        <w:trPr>
          <w:trHeight w:val="178"/>
        </w:trPr>
        <w:tc>
          <w:tcPr>
            <w:tcW w:w="3800" w:type="dxa"/>
            <w:vAlign w:val="bottom"/>
          </w:tcPr>
          <w:p>
            <w:pPr>
              <w:spacing w:after="0"/>
              <w:rPr>
                <w:sz w:val="15"/>
                <w:szCs w:val="15"/>
                <w:color w:val="auto"/>
              </w:rPr>
            </w:pPr>
          </w:p>
        </w:tc>
        <w:tc>
          <w:tcPr>
            <w:tcW w:w="3520" w:type="dxa"/>
            <w:vAlign w:val="bottom"/>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(925) 201-2000</w:t>
            </w:r>
          </w:p>
        </w:tc>
        <w:tc>
          <w:tcPr>
            <w:tcW w:w="3880" w:type="dxa"/>
            <w:vAlign w:val="bottom"/>
          </w:tcPr>
          <w:p>
            <w:pPr>
              <w:spacing w:after="0"/>
              <w:rPr>
                <w:sz w:val="15"/>
                <w:szCs w:val="15"/>
                <w:color w:val="auto"/>
              </w:rPr>
            </w:pPr>
          </w:p>
        </w:tc>
      </w:tr>
      <w:tr>
        <w:trPr>
          <w:trHeight w:val="188"/>
        </w:trPr>
        <w:tc>
          <w:tcPr>
            <w:tcW w:w="380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80" w:type="dxa"/>
            <w:vAlign w:val="bottom"/>
          </w:tcPr>
          <w:p>
            <w:pPr>
              <w:spacing w:after="0"/>
              <w:rPr>
                <w:sz w:val="16"/>
                <w:szCs w:val="16"/>
                <w:color w:val="auto"/>
              </w:rPr>
            </w:pPr>
          </w:p>
        </w:tc>
      </w:tr>
      <w:tr>
        <w:trPr>
          <w:trHeight w:val="189"/>
        </w:trPr>
        <w:tc>
          <w:tcPr>
            <w:tcW w:w="3800" w:type="dxa"/>
            <w:vAlign w:val="bottom"/>
          </w:tcPr>
          <w:p>
            <w:pPr>
              <w:spacing w:after="0"/>
              <w:rPr>
                <w:sz w:val="16"/>
                <w:szCs w:val="16"/>
                <w:color w:val="auto"/>
              </w:rPr>
            </w:pPr>
          </w:p>
        </w:tc>
        <w:tc>
          <w:tcPr>
            <w:tcW w:w="3520" w:type="dxa"/>
            <w:vAlign w:val="bottom"/>
          </w:tcPr>
          <w:p>
            <w:pPr>
              <w:jc w:val="right"/>
              <w:ind w:right="520"/>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3880" w:type="dxa"/>
            <w:vAlign w:val="bottom"/>
          </w:tcPr>
          <w:p>
            <w:pPr>
              <w:spacing w:after="0"/>
              <w:rPr>
                <w:sz w:val="16"/>
                <w:szCs w:val="16"/>
                <w:color w:val="auto"/>
              </w:rPr>
            </w:pPr>
          </w:p>
        </w:tc>
      </w:tr>
      <w:tr>
        <w:trPr>
          <w:trHeight w:val="189"/>
        </w:trPr>
        <w:tc>
          <w:tcPr>
            <w:tcW w:w="380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80" w:type="dxa"/>
            <w:vAlign w:val="bottom"/>
          </w:tcPr>
          <w:p>
            <w:pPr>
              <w:spacing w:after="0"/>
              <w:rPr>
                <w:sz w:val="16"/>
                <w:szCs w:val="16"/>
                <w:color w:val="auto"/>
              </w:rPr>
            </w:pPr>
          </w:p>
        </w:tc>
      </w:tr>
      <w:tr>
        <w:trPr>
          <w:trHeight w:val="216"/>
        </w:trPr>
        <w:tc>
          <w:tcPr>
            <w:tcW w:w="380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8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380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FIVN</w:t>
            </w:r>
          </w:p>
        </w:tc>
        <w:tc>
          <w:tcPr>
            <w:tcW w:w="388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54" w:lineRule="exact"/>
        <w:rPr>
          <w:sz w:val="24"/>
          <w:szCs w:val="24"/>
          <w:color w:val="auto"/>
        </w:rPr>
      </w:pPr>
    </w:p>
    <w:p>
      <w:pPr>
        <w:ind w:right="180" w:firstLine="445"/>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 w:firstLine="445"/>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80" w:firstLine="445"/>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62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63" w:lineRule="exact"/>
        <w:rPr>
          <w:sz w:val="24"/>
          <w:szCs w:val="24"/>
          <w:color w:val="auto"/>
        </w:rPr>
      </w:pPr>
    </w:p>
    <w:p>
      <w:pPr>
        <w:ind w:right="120" w:firstLine="445"/>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left="460" w:right="24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25, 2025, there were 77,262,690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0" w:type="dxa"/>
            <w:vAlign w:val="bottom"/>
            <w:gridSpan w:val="10"/>
          </w:tcPr>
          <w:p>
            <w:pPr>
              <w:jc w:val="center"/>
              <w:ind w:right="4820"/>
              <w:spacing w:after="0"/>
              <w:rPr>
                <w:sz w:val="20"/>
                <w:szCs w:val="20"/>
                <w:color w:val="auto"/>
              </w:rPr>
            </w:pPr>
            <w:r>
              <w:rPr>
                <w:rFonts w:ascii="Times New Roman" w:cs="Times New Roman" w:eastAsia="Times New Roman" w:hAnsi="Times New Roman"/>
                <w:sz w:val="18"/>
                <w:szCs w:val="18"/>
                <w:b w:val="1"/>
                <w:bCs w:val="1"/>
                <w:color w:val="auto"/>
                <w:w w:val="99"/>
              </w:rPr>
              <w:t>FIVE9, INC.</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gridSpan w:val="10"/>
          </w:tcPr>
          <w:p>
            <w:pPr>
              <w:jc w:val="center"/>
              <w:ind w:right="48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20" w:type="dxa"/>
            <w:vAlign w:val="bottom"/>
            <w:gridSpan w:val="12"/>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7"/>
              </w:rPr>
              <w:t>SPECIAL NOTE REGARDING FORWARD-LOOKING STATEMENTS</w:t>
            </w:r>
          </w:p>
        </w:tc>
        <w:tc>
          <w:tcPr>
            <w:tcW w:w="5740" w:type="dxa"/>
            <w:vAlign w:val="bottom"/>
            <w:gridSpan w:val="8"/>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60" w:type="dxa"/>
            <w:vAlign w:val="bottom"/>
            <w:gridSpan w:val="14"/>
          </w:tcPr>
          <w:p>
            <w:pPr>
              <w:jc w:val="center"/>
              <w:ind w:right="398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2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1980" w:type="dxa"/>
            <w:vAlign w:val="bottom"/>
            <w:gridSpan w:val="8"/>
          </w:tcPr>
          <w:p>
            <w:pPr>
              <w:spacing w:after="0"/>
              <w:rPr>
                <w:sz w:val="18"/>
                <w:szCs w:val="18"/>
                <w:color w:val="auto"/>
              </w:rPr>
            </w:pPr>
          </w:p>
        </w:tc>
        <w:tc>
          <w:tcPr>
            <w:tcW w:w="2880" w:type="dxa"/>
            <w:vAlign w:val="bottom"/>
            <w:tcBorders>
              <w:top w:val="single" w:sz="8" w:color="0000FF"/>
            </w:tcBorders>
            <w:gridSpan w:val="11"/>
          </w:tcPr>
          <w:p>
            <w:pPr>
              <w:spacing w:after="0"/>
              <w:rPr>
                <w:sz w:val="18"/>
                <w:szCs w:val="18"/>
                <w:color w:val="auto"/>
              </w:rPr>
            </w:pPr>
          </w:p>
        </w:tc>
        <w:tc>
          <w:tcPr>
            <w:tcW w:w="3980" w:type="dxa"/>
            <w:vAlign w:val="bottom"/>
            <w:gridSpan w:val="3"/>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7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(Loss) (Unaudited)</w:t>
            </w:r>
          </w:p>
        </w:tc>
        <w:tc>
          <w:tcPr>
            <w:tcW w:w="3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7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3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060" w:type="dxa"/>
            <w:vAlign w:val="bottom"/>
            <w:gridSpan w:val="6"/>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10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9"/>
        </w:trPr>
        <w:tc>
          <w:tcPr>
            <w:tcW w:w="660" w:type="dxa"/>
            <w:vAlign w:val="bottom"/>
            <w:tcBorders>
              <w:top w:val="single" w:sz="8" w:color="0000FF"/>
            </w:tcBorders>
          </w:tcPr>
          <w:p>
            <w:pPr>
              <w:spacing w:after="0"/>
              <w:rPr>
                <w:sz w:val="18"/>
                <w:szCs w:val="18"/>
                <w:color w:val="auto"/>
              </w:rPr>
            </w:pPr>
          </w:p>
        </w:tc>
        <w:tc>
          <w:tcPr>
            <w:tcW w:w="646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Overview</w:t>
            </w:r>
          </w:p>
        </w:tc>
        <w:tc>
          <w:tcPr>
            <w:tcW w:w="390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Key Operating and Non-GAAP Financial Performance Metrics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9"/>
        </w:trPr>
        <w:tc>
          <w:tcPr>
            <w:tcW w:w="660" w:type="dxa"/>
            <w:vAlign w:val="bottom"/>
          </w:tcPr>
          <w:p>
            <w:pPr>
              <w:spacing w:after="0"/>
              <w:rPr>
                <w:sz w:val="18"/>
                <w:szCs w:val="18"/>
                <w:color w:val="auto"/>
              </w:rPr>
            </w:pPr>
          </w:p>
        </w:tc>
        <w:tc>
          <w:tcPr>
            <w:tcW w:w="3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Key Components of Our Results of Operations</w:t>
            </w:r>
          </w:p>
        </w:tc>
        <w:tc>
          <w:tcPr>
            <w:tcW w:w="1160" w:type="dxa"/>
            <w:vAlign w:val="bottom"/>
            <w:tcBorders>
              <w:top w:val="single" w:sz="8" w:color="0000FF"/>
            </w:tcBorders>
            <w:gridSpan w:val="6"/>
          </w:tcPr>
          <w:p>
            <w:pPr>
              <w:spacing w:after="0"/>
              <w:rPr>
                <w:sz w:val="18"/>
                <w:szCs w:val="18"/>
                <w:color w:val="auto"/>
              </w:rPr>
            </w:pPr>
          </w:p>
        </w:tc>
        <w:tc>
          <w:tcPr>
            <w:tcW w:w="5820" w:type="dxa"/>
            <w:vAlign w:val="bottom"/>
            <w:gridSpan w:val="9"/>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9"/>
        </w:trPr>
        <w:tc>
          <w:tcPr>
            <w:tcW w:w="660" w:type="dxa"/>
            <w:vAlign w:val="bottom"/>
          </w:tcPr>
          <w:p>
            <w:pPr>
              <w:spacing w:after="0"/>
              <w:rPr>
                <w:sz w:val="18"/>
                <w:szCs w:val="18"/>
                <w:color w:val="auto"/>
              </w:rPr>
            </w:pPr>
          </w:p>
        </w:tc>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Results of Operations for the Three and Six Months Ended June 30, 2025 and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66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3660" w:type="dxa"/>
            <w:vAlign w:val="bottom"/>
            <w:tcBorders>
              <w:top w:val="single" w:sz="8" w:color="0000FF"/>
            </w:tcBorders>
            <w:gridSpan w:val="15"/>
          </w:tcPr>
          <w:p>
            <w:pPr>
              <w:spacing w:after="0"/>
              <w:rPr>
                <w:sz w:val="18"/>
                <w:szCs w:val="18"/>
                <w:color w:val="auto"/>
              </w:rPr>
            </w:pPr>
          </w:p>
        </w:tc>
        <w:tc>
          <w:tcPr>
            <w:tcW w:w="4380" w:type="dxa"/>
            <w:vAlign w:val="bottom"/>
            <w:gridSpan w:val="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9"/>
        </w:trPr>
        <w:tc>
          <w:tcPr>
            <w:tcW w:w="660" w:type="dxa"/>
            <w:vAlign w:val="bottom"/>
          </w:tcPr>
          <w:p>
            <w:pPr>
              <w:spacing w:after="0"/>
              <w:rPr>
                <w:sz w:val="18"/>
                <w:szCs w:val="18"/>
                <w:color w:val="auto"/>
              </w:rPr>
            </w:pPr>
          </w:p>
        </w:tc>
        <w:tc>
          <w:tcPr>
            <w:tcW w:w="103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660" w:type="dxa"/>
            <w:vAlign w:val="bottom"/>
          </w:tcPr>
          <w:p>
            <w:pPr>
              <w:spacing w:after="0"/>
              <w:rPr>
                <w:sz w:val="18"/>
                <w:szCs w:val="18"/>
                <w:color w:val="auto"/>
              </w:rPr>
            </w:pPr>
          </w:p>
        </w:tc>
        <w:tc>
          <w:tcPr>
            <w:tcW w:w="30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Recent Accounting Pronouncements</w:t>
            </w:r>
          </w:p>
        </w:tc>
        <w:tc>
          <w:tcPr>
            <w:tcW w:w="7280" w:type="dxa"/>
            <w:vAlign w:val="bottom"/>
            <w:gridSpan w:val="16"/>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660" w:type="dxa"/>
            <w:vAlign w:val="bottom"/>
          </w:tcPr>
          <w:p>
            <w:pPr>
              <w:spacing w:after="0"/>
              <w:rPr>
                <w:sz w:val="18"/>
                <w:szCs w:val="18"/>
                <w:color w:val="auto"/>
              </w:rPr>
            </w:pPr>
          </w:p>
        </w:tc>
        <w:tc>
          <w:tcPr>
            <w:tcW w:w="24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Contractual and Other Obligations</w:t>
            </w:r>
          </w:p>
        </w:tc>
        <w:tc>
          <w:tcPr>
            <w:tcW w:w="140" w:type="dxa"/>
            <w:vAlign w:val="bottom"/>
            <w:tcBorders>
              <w:top w:val="single" w:sz="8" w:color="0000FF"/>
            </w:tcBorders>
          </w:tcPr>
          <w:p>
            <w:pPr>
              <w:spacing w:after="0"/>
              <w:rPr>
                <w:sz w:val="18"/>
                <w:szCs w:val="18"/>
                <w:color w:val="auto"/>
              </w:rPr>
            </w:pPr>
          </w:p>
        </w:tc>
        <w:tc>
          <w:tcPr>
            <w:tcW w:w="7740" w:type="dxa"/>
            <w:vAlign w:val="bottom"/>
            <w:gridSpan w:val="17"/>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10"/>
        </w:trPr>
        <w:tc>
          <w:tcPr>
            <w:tcW w:w="110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10"/>
        </w:trPr>
        <w:tc>
          <w:tcPr>
            <w:tcW w:w="49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6120" w:type="dxa"/>
            <w:vAlign w:val="bottom"/>
            <w:gridSpan w:val="11"/>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466"/>
        </w:trPr>
        <w:tc>
          <w:tcPr>
            <w:tcW w:w="6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00" w:type="dxa"/>
            <w:vAlign w:val="bottom"/>
            <w:gridSpan w:val="13"/>
          </w:tcPr>
          <w:p>
            <w:pPr>
              <w:jc w:val="center"/>
              <w:ind w:right="4140"/>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43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560" w:type="dxa"/>
            <w:vAlign w:val="bottom"/>
            <w:tcBorders>
              <w:top w:val="single" w:sz="8" w:color="0000FF"/>
            </w:tcBorders>
            <w:gridSpan w:val="9"/>
          </w:tcPr>
          <w:p>
            <w:pPr>
              <w:spacing w:after="0"/>
              <w:rPr>
                <w:sz w:val="18"/>
                <w:szCs w:val="18"/>
                <w:color w:val="auto"/>
              </w:rPr>
            </w:pPr>
          </w:p>
        </w:tc>
        <w:tc>
          <w:tcPr>
            <w:tcW w:w="4140" w:type="dxa"/>
            <w:vAlign w:val="bottom"/>
            <w:gridSpan w:val="4"/>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10"/>
        </w:trPr>
        <w:tc>
          <w:tcPr>
            <w:tcW w:w="20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9020" w:type="dxa"/>
            <w:vAlign w:val="bottom"/>
            <w:gridSpan w:val="23"/>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5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6000" w:type="dxa"/>
            <w:vAlign w:val="bottom"/>
            <w:gridSpan w:val="1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9"/>
        </w:trPr>
        <w:tc>
          <w:tcPr>
            <w:tcW w:w="3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8020" w:type="dxa"/>
            <w:vAlign w:val="bottom"/>
            <w:gridSpan w:val="19"/>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09"/>
        </w:trPr>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8580" w:type="dxa"/>
            <w:vAlign w:val="bottom"/>
            <w:gridSpan w:val="21"/>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10"/>
        </w:trPr>
        <w:tc>
          <w:tcPr>
            <w:tcW w:w="110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r>
      <w:tr>
        <w:trPr>
          <w:trHeight w:val="210"/>
        </w:trPr>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3"/>
          </w:tcPr>
          <w:p>
            <w:pPr>
              <w:spacing w:after="0"/>
              <w:rPr>
                <w:sz w:val="18"/>
                <w:szCs w:val="18"/>
                <w:color w:val="auto"/>
              </w:rPr>
            </w:pPr>
          </w:p>
        </w:tc>
        <w:tc>
          <w:tcPr>
            <w:tcW w:w="9040" w:type="dxa"/>
            <w:vAlign w:val="bottom"/>
            <w:gridSpan w:val="24"/>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466"/>
        </w:trPr>
        <w:tc>
          <w:tcPr>
            <w:tcW w:w="110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6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future events, strategies and financial trends and performance. These forward-looking statements include statements with respect to our business, expenses, strategies, losses, growth plans, product and customer initiatives, market growth projections, and our industry, including those set forth under “Management’s Discussion and Analysis of Financial Condition and Results of Operations” and elsewhere in this Quarterly Report. Statements that include the words “expect,” “intend,” “plan,” “believe,” “project,” “forecast,” “estimate,” “may,” “should,” “anticipate” and similar statements of a future or forward-looking nature identify forward-looking statements for purposes of the federal securities laws or otherwise.</w:t>
      </w:r>
    </w:p>
    <w:p>
      <w:pPr>
        <w:spacing w:after="0" w:line="13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Forward-looking statements address matters that involve risks and uncertainties. Accordingly, there are or will be important factors that could cause our actual results to differ materially from those indicated in these statements. These factors include the information set forth under the caption "Risk Factors" set forth in Part 1, Item 1A, of our Annual Report on Form 10-K for the fiscal year ended December 31, 2024, which we encourage you to carefully read, and include the following:</w:t>
      </w:r>
    </w:p>
    <w:p>
      <w:pPr>
        <w:spacing w:after="0" w:line="4" w:lineRule="exact"/>
        <w:rPr>
          <w:sz w:val="20"/>
          <w:szCs w:val="20"/>
          <w:color w:val="auto"/>
        </w:rPr>
      </w:pPr>
    </w:p>
    <w:p>
      <w:pPr>
        <w:ind w:left="660" w:right="180" w:hanging="328"/>
        <w:spacing w:after="0" w:line="265"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including the impact of macroeconomic challenges, global tariff increases and potential future increases and announcements regarding same, continued inflation, uncertainty regarding consumer spending, high interest rates, fluctuations in currency rates, the impact of the Russia-Ukraine conflict, the impact of the conflicts in the Middle East, and other factors, may continue to harm our business;</w:t>
      </w:r>
    </w:p>
    <w:p>
      <w:pPr>
        <w:ind w:left="660" w:right="20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or sell additional services and functionality to our existing customers, our revenue and revenue growth will be harmed;</w:t>
      </w:r>
    </w:p>
    <w:p>
      <w:pPr>
        <w:spacing w:after="0" w:line="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customers terminate their subscriptions or reduce their subscriptions and related usage, or fail to grow subscriptions at the rate they have in the past or that we might expect, our revenues and gross margins will be harmed, and we will be required to spend more money to grow our customer base;</w:t>
      </w:r>
    </w:p>
    <w:p>
      <w:pPr>
        <w:ind w:left="660" w:right="3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significant percentage of our revenue is derived from existing customers, downturns or upturns in new sales will not be immediately reflected in our operating results and may be difficult to discern;</w:t>
      </w:r>
    </w:p>
    <w:p>
      <w:pPr>
        <w:ind w:left="660" w:right="50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technical operations infrastructure, our existing customers may experience service outages, our new customers may experience delays in the deployment of our solution and we could be subject to, among other things, claims for credits or damages;</w:t>
      </w:r>
    </w:p>
    <w:p>
      <w:pPr>
        <w:spacing w:after="0" w:line="1" w:lineRule="exact"/>
        <w:rPr>
          <w:rFonts w:ascii="Times New Roman" w:cs="Times New Roman" w:eastAsia="Times New Roman" w:hAnsi="Times New Roman"/>
          <w:sz w:val="18"/>
          <w:szCs w:val="18"/>
          <w:color w:val="auto"/>
        </w:rPr>
      </w:pPr>
    </w:p>
    <w:p>
      <w:pPr>
        <w:ind w:left="660" w:right="320" w:hanging="328"/>
        <w:spacing w:after="0" w:line="290"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ind w:left="660" w:right="5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development of our AI solutions may not be successful and may result in reputational harm and our future operating results could be materially harmed;</w:t>
      </w:r>
    </w:p>
    <w:p>
      <w:pPr>
        <w:ind w:left="660" w:right="36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 technology and features incorporated into our solution include new and evolving technologies that may present both legal and business risks;</w:t>
      </w:r>
    </w:p>
    <w:p>
      <w:pPr>
        <w:spacing w:after="0" w:line="1"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and are continuing to increase, our network of technology solution distributors and resellers to sell our solution; our failure to effectively develop, manage, and maintain this network could materially harm our revenues;</w:t>
      </w:r>
    </w:p>
    <w:p>
      <w:pPr>
        <w:spacing w:after="0" w:line="1" w:lineRule="exact"/>
        <w:rPr>
          <w:rFonts w:ascii="Times New Roman" w:cs="Times New Roman" w:eastAsia="Times New Roman" w:hAnsi="Times New Roman"/>
          <w:sz w:val="18"/>
          <w:szCs w:val="18"/>
          <w:color w:val="auto"/>
        </w:rPr>
      </w:pPr>
    </w:p>
    <w:p>
      <w:pPr>
        <w:ind w:left="660" w:right="42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highly skilled leaders and other employees, our business and results of operations may be harmed;</w:t>
      </w:r>
    </w:p>
    <w:p>
      <w:pPr>
        <w:spacing w:after="0" w:line="31" w:lineRule="exact"/>
        <w:rPr>
          <w:rFonts w:ascii="Times New Roman" w:cs="Times New Roman" w:eastAsia="Times New Roman" w:hAnsi="Times New Roman"/>
          <w:sz w:val="18"/>
          <w:szCs w:val="18"/>
          <w:color w:val="auto"/>
        </w:rPr>
      </w:pPr>
    </w:p>
    <w:p>
      <w:pPr>
        <w:ind w:left="660" w:right="44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growth may not be indicative of our future growth, and even if we continue to grow rapidly, we may fail to manage our growth effectively;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retain and expand our sales force will impede our growth;</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AI by our workforce may present risks to our business;</w:t>
      </w:r>
    </w:p>
    <w:p>
      <w:pPr>
        <w:spacing w:after="0" w:line="15" w:lineRule="exact"/>
        <w:rPr>
          <w:rFonts w:ascii="Times New Roman" w:cs="Times New Roman" w:eastAsia="Times New Roman" w:hAnsi="Times New Roman"/>
          <w:sz w:val="18"/>
          <w:szCs w:val="18"/>
          <w:color w:val="auto"/>
        </w:rPr>
      </w:pPr>
    </w:p>
    <w:p>
      <w:pPr>
        <w:ind w:left="660" w:right="60" w:hanging="328"/>
        <w:spacing w:after="0" w:line="23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contact center software solutions market is subject to rapid technological change, and we must develop and sell incremental and new solutions in order to maintain and grow our business;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520" w:hanging="328"/>
        <w:spacing w:after="0" w:line="26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 and our failure to successfully maintain, grow and manage these relationships could harm our business;</w:t>
      </w:r>
    </w:p>
    <w:p>
      <w:pPr>
        <w:spacing w:after="0" w:line="35" w:lineRule="exact"/>
        <w:rPr>
          <w:rFonts w:ascii="Times New Roman" w:cs="Times New Roman" w:eastAsia="Times New Roman" w:hAnsi="Times New Roman"/>
          <w:sz w:val="18"/>
          <w:szCs w:val="18"/>
          <w:color w:val="auto"/>
        </w:rPr>
      </w:pPr>
    </w:p>
    <w:p>
      <w:pPr>
        <w:ind w:left="660" w:right="100" w:hanging="328"/>
        <w:spacing w:after="0" w:line="24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markets in which we participate involve a high number of competitors that is continuing to increase, and if we do not compete effectively, our operating results could be harmed;</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expand our international operations, which exposes us to significant macroeconomic and other risks;</w:t>
      </w:r>
    </w:p>
    <w:p>
      <w:pPr>
        <w:spacing w:after="0" w:line="49"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cybersecurity incidents, and improper access to, use of, or disclosure of our data or our customers’ data, or other cyber-attacks on our systems, could result in litigation and regulatory risk, harm our reputation, our business or financial results;</w:t>
      </w:r>
    </w:p>
    <w:p>
      <w:pPr>
        <w:ind w:left="660" w:right="1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ind w:left="660" w:right="3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be unable to achieve or sustain profitability;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volatile, may continue to be volatile and may decline, including due to factors beyond our control;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secure additional financing on favorable terms, or at all, to meet our future capital needs;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could harm our business and our reputation;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cash to service our convertible senior notes and repay such notes, if required.</w:t>
      </w:r>
    </w:p>
    <w:p>
      <w:pPr>
        <w:spacing w:after="0" w:line="158"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or incorporated into, this report.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12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9"/>
        </w:trPr>
        <w:tc>
          <w:tcPr>
            <w:tcW w:w="74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8"/>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362,546</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investments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430,397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643,410</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127,835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115,172</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50,840</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contract acquisition costs, net</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82,497</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76,600</w:t>
            </w:r>
          </w:p>
        </w:tc>
      </w:tr>
      <w:tr>
        <w:trPr>
          <w:trHeight w:val="20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894,194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1,248,568</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154,499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144,888</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38,880</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19,269</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65,632</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366,698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365,436</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13,384</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net — less current portion</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163,913</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155,157</w:t>
            </w: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1,704,860</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2,051,214</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31,063</w:t>
            </w:r>
          </w:p>
        </w:tc>
        <w:tc>
          <w:tcPr>
            <w:tcW w:w="2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26,282</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83,720</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w:t>
            </w:r>
          </w:p>
        </w:tc>
      </w:tr>
      <w:tr>
        <w:trPr>
          <w:trHeight w:val="213"/>
        </w:trPr>
        <w:tc>
          <w:tcPr>
            <w:tcW w:w="7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79,173</w:t>
            </w: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2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433,490</w:t>
            </w:r>
          </w:p>
        </w:tc>
      </w:tr>
      <w:tr>
        <w:trPr>
          <w:trHeight w:val="20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201,589</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641,691</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senior notes - less current portion</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733,620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731,855</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less current portion</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37,071</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less current portion</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11,688</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7,037</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6,717</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987,483</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1,429,022</w:t>
            </w:r>
          </w:p>
        </w:tc>
      </w:tr>
      <w:tr>
        <w:trPr>
          <w:trHeight w:val="19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1,133,107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1,039,125</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(415,915)</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(417,645)</w:t>
            </w:r>
          </w:p>
        </w:tc>
      </w:tr>
      <w:tr>
        <w:trPr>
          <w:trHeight w:val="207"/>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717,377</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622,192</w:t>
            </w: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1,704,860</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2,051,214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283,269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252,086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562,974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499,096</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127,865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118,414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253,838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232,944</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266,152</w:t>
            </w: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81,012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82,235</w:t>
            </w:r>
          </w:p>
        </w:tc>
        <w:tc>
          <w:tcPr>
            <w:tcW w:w="0" w:type="dxa"/>
            <w:vAlign w:val="bottom"/>
          </w:tcPr>
          <w:p>
            <w:pPr>
              <w:spacing w:after="0"/>
              <w:rPr>
                <w:sz w:val="1"/>
                <w:szCs w:val="1"/>
                <w:color w:val="auto"/>
              </w:rPr>
            </w:pPr>
          </w:p>
        </w:tc>
      </w:tr>
      <w:tr>
        <w:trPr>
          <w:trHeight w:val="213"/>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159,441</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71,590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64,536</w:t>
            </w:r>
          </w:p>
        </w:tc>
        <w:tc>
          <w:tcPr>
            <w:tcW w:w="0" w:type="dxa"/>
            <w:vAlign w:val="bottom"/>
          </w:tcPr>
          <w:p>
            <w:pPr>
              <w:spacing w:after="0"/>
              <w:rPr>
                <w:sz w:val="1"/>
                <w:szCs w:val="1"/>
                <w:color w:val="auto"/>
              </w:rPr>
            </w:pPr>
          </w:p>
        </w:tc>
      </w:tr>
      <w:tr>
        <w:trPr>
          <w:trHeight w:val="207"/>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156,965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153,037</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316,125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306,212</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(40,060)</w:t>
            </w: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early extinguishment of debt</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24,359</w:t>
            </w:r>
          </w:p>
        </w:tc>
        <w:tc>
          <w:tcPr>
            <w:tcW w:w="0" w:type="dxa"/>
            <w:vAlign w:val="bottom"/>
          </w:tcPr>
          <w:p>
            <w:pPr>
              <w:spacing w:after="0"/>
              <w:rPr>
                <w:sz w:val="1"/>
                <w:szCs w:val="1"/>
                <w:color w:val="auto"/>
              </w:rPr>
            </w:pPr>
          </w:p>
        </w:tc>
      </w:tr>
      <w:tr>
        <w:trPr>
          <w:trHeight w:val="207"/>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4,097</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24,501</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(15,559)</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4,334</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net income (loss) per share: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76,654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74,203</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76,303</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73,845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88,523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(19,893)</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18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000" w:type="dxa"/>
            <w:vAlign w:val="bottom"/>
          </w:tcPr>
          <w:p>
            <w:pPr>
              <w:spacing w:after="0"/>
              <w:rPr>
                <w:sz w:val="14"/>
                <w:szCs w:val="14"/>
                <w:color w:val="auto"/>
              </w:rPr>
            </w:pPr>
          </w:p>
        </w:tc>
        <w:tc>
          <w:tcPr>
            <w:tcW w:w="1760" w:type="dxa"/>
            <w:vAlign w:val="bottom"/>
            <w:gridSpan w:val="3"/>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Additional Paid-In</w:t>
            </w:r>
          </w:p>
        </w:tc>
        <w:tc>
          <w:tcPr>
            <w:tcW w:w="16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Total Stockholders’</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380" w:type="dxa"/>
            <w:vAlign w:val="bottom"/>
            <w:gridSpan w:val="3"/>
            <w:vMerge w:val="restart"/>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Other Comprehensive</w:t>
            </w: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4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4"/>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73,849</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895,754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(411,927)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483,598</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65"/>
        </w:trPr>
        <w:tc>
          <w:tcPr>
            <w:tcW w:w="4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45,761</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(12,816)</w:t>
            </w:r>
          </w:p>
        </w:tc>
        <w:tc>
          <w:tcPr>
            <w:tcW w:w="0" w:type="dxa"/>
            <w:vAlign w:val="bottom"/>
          </w:tcPr>
          <w:p>
            <w:pPr>
              <w:spacing w:after="0"/>
              <w:rPr>
                <w:sz w:val="1"/>
                <w:szCs w:val="1"/>
                <w:color w:val="auto"/>
              </w:rPr>
            </w:pPr>
          </w:p>
        </w:tc>
      </w:tr>
      <w:tr>
        <w:trPr>
          <w:trHeight w:val="212"/>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74,719</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951,048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(424,743)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525,878</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76,243</w:t>
            </w:r>
          </w:p>
        </w:tc>
        <w:tc>
          <w:tcPr>
            <w:tcW w:w="120" w:type="dxa"/>
            <w:vAlign w:val="bottom"/>
          </w:tcPr>
          <w:p>
            <w:pPr>
              <w:spacing w:after="0"/>
              <w:rPr>
                <w:sz w:val="18"/>
                <w:szCs w:val="18"/>
                <w:color w:val="auto"/>
              </w:rPr>
            </w:pPr>
          </w:p>
        </w:tc>
        <w:tc>
          <w:tcPr>
            <w:tcW w:w="700" w:type="dxa"/>
            <w:vAlign w:val="bottom"/>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76</w:t>
            </w:r>
          </w:p>
        </w:tc>
        <w:tc>
          <w:tcPr>
            <w:tcW w:w="12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1,080,782</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(417,069)</w:t>
            </w:r>
          </w:p>
        </w:tc>
        <w:tc>
          <w:tcPr>
            <w:tcW w:w="12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664,286</w:t>
            </w: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44,377</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237"/>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77,263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717,377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18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000" w:type="dxa"/>
            <w:vAlign w:val="bottom"/>
          </w:tcPr>
          <w:p>
            <w:pPr>
              <w:spacing w:after="0"/>
              <w:rPr>
                <w:sz w:val="14"/>
                <w:szCs w:val="14"/>
                <w:color w:val="auto"/>
              </w:rPr>
            </w:pPr>
          </w:p>
        </w:tc>
        <w:tc>
          <w:tcPr>
            <w:tcW w:w="1760" w:type="dxa"/>
            <w:vAlign w:val="bottom"/>
            <w:gridSpan w:val="3"/>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Additional Paid-In</w:t>
            </w:r>
          </w:p>
        </w:tc>
        <w:tc>
          <w:tcPr>
            <w:tcW w:w="16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Total Stockholders’</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380" w:type="dxa"/>
            <w:vAlign w:val="bottom"/>
            <w:gridSpan w:val="3"/>
            <w:vMerge w:val="restart"/>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Other Comprehensive</w:t>
            </w: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4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4"/>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73,317</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942,280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(404,850)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538,085</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new capped calls associated with the 2029</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(93,438)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(93,438)</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10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Partial termination of existing capped calls associated with</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2025 convertible senior notes</w:t>
            </w:r>
          </w:p>
        </w:tc>
        <w:tc>
          <w:tcPr>
            <w:tcW w:w="1060" w:type="dxa"/>
            <w:vAlign w:val="bottom"/>
            <w:gridSpan w:val="2"/>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165"/>
        </w:trPr>
        <w:tc>
          <w:tcPr>
            <w:tcW w:w="4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1,178</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91,748</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(19,893)</w:t>
            </w:r>
          </w:p>
        </w:tc>
        <w:tc>
          <w:tcPr>
            <w:tcW w:w="0" w:type="dxa"/>
            <w:vAlign w:val="bottom"/>
          </w:tcPr>
          <w:p>
            <w:pPr>
              <w:spacing w:after="0"/>
              <w:rPr>
                <w:sz w:val="1"/>
                <w:szCs w:val="1"/>
                <w:color w:val="auto"/>
              </w:rPr>
            </w:pPr>
          </w:p>
        </w:tc>
      </w:tr>
      <w:tr>
        <w:trPr>
          <w:trHeight w:val="212"/>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74,719</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951,048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(424,743)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525,878</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75,808</w:t>
            </w:r>
          </w:p>
        </w:tc>
        <w:tc>
          <w:tcPr>
            <w:tcW w:w="120" w:type="dxa"/>
            <w:vAlign w:val="bottom"/>
          </w:tcPr>
          <w:p>
            <w:pPr>
              <w:spacing w:after="0"/>
              <w:rPr>
                <w:sz w:val="18"/>
                <w:szCs w:val="18"/>
                <w:color w:val="auto"/>
              </w:rPr>
            </w:pPr>
          </w:p>
        </w:tc>
        <w:tc>
          <w:tcPr>
            <w:tcW w:w="700" w:type="dxa"/>
            <w:vAlign w:val="bottom"/>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76</w:t>
            </w:r>
          </w:p>
        </w:tc>
        <w:tc>
          <w:tcPr>
            <w:tcW w:w="12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1,039,125</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(417,645)</w:t>
            </w:r>
          </w:p>
        </w:tc>
        <w:tc>
          <w:tcPr>
            <w:tcW w:w="12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622,192</w:t>
            </w: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vesting of restricted stock</w:t>
            </w: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86,032</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237"/>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77,263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717,377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40" w:type="dxa"/>
            <w:vAlign w:val="bottom"/>
          </w:tcPr>
          <w:p>
            <w:pPr>
              <w:spacing w:after="0"/>
              <w:rPr>
                <w:sz w:val="16"/>
                <w:szCs w:val="16"/>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66"/>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(19,893)</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29,139</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25,121</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Reduction in the carrying amount of right-of-use assets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10,080</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33,825</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Accretion of discount on marketable investments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(5,325)</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(11,217)</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81,104</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88,316</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discount and issuance costs on convertible senior notes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280" w:type="dxa"/>
            <w:vAlign w:val="bottom"/>
          </w:tcPr>
          <w:p>
            <w:pPr>
              <w:spacing w:after="0"/>
              <w:rPr>
                <w:sz w:val="16"/>
                <w:szCs w:val="16"/>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charge of long-lived assets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on finance lease obligations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(13,608)</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(56,181)</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(53,032)</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(11,522)</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2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83,445</w:t>
            </w:r>
          </w:p>
        </w:tc>
        <w:tc>
          <w:tcPr>
            <w:tcW w:w="2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52,231</w:t>
            </w: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marketable investments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(315,146)</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(816,492)</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sales of marketable investments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12,517</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marketable investments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442,655</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470,755</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(18,722)</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Capitalization of software development costs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(18,730)</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settlement for acquisition of businesses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8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191,063</w:t>
            </w:r>
          </w:p>
        </w:tc>
        <w:tc>
          <w:tcPr>
            <w:tcW w:w="26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(360,103)</w:t>
            </w: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2029 convertible senior notes</w:t>
            </w:r>
          </w:p>
        </w:tc>
        <w:tc>
          <w:tcPr>
            <w:tcW w:w="280" w:type="dxa"/>
            <w:vAlign w:val="bottom"/>
          </w:tcPr>
          <w:p>
            <w:pPr>
              <w:spacing w:after="0"/>
              <w:rPr>
                <w:sz w:val="16"/>
                <w:szCs w:val="16"/>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731,055</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capped call transactions associated with the 2029 convertible senior notes</w:t>
            </w:r>
          </w:p>
        </w:tc>
        <w:tc>
          <w:tcPr>
            <w:tcW w:w="280" w:type="dxa"/>
            <w:vAlign w:val="bottom"/>
          </w:tcPr>
          <w:p>
            <w:pPr>
              <w:spacing w:after="0"/>
              <w:rPr>
                <w:sz w:val="16"/>
                <w:szCs w:val="16"/>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(93,438)</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a portion of 2025 convertible senior notes, net of costs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(304,485)</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outstanding 2025 convertible senior notes at maturity</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(434,405)</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from partial termination of capped calls associated with the 2025 convertible senior notes</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common stock under ESPP</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9,522</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Payment of finance lease liabilities</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2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(431,125)</w:t>
            </w:r>
          </w:p>
        </w:tc>
        <w:tc>
          <w:tcPr>
            <w:tcW w:w="2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340,412</w:t>
            </w:r>
          </w:p>
        </w:tc>
        <w:tc>
          <w:tcPr>
            <w:tcW w:w="0" w:type="dxa"/>
            <w:vAlign w:val="bottom"/>
          </w:tcPr>
          <w:p>
            <w:pPr>
              <w:spacing w:after="0"/>
              <w:rPr>
                <w:sz w:val="1"/>
                <w:szCs w:val="1"/>
                <w:color w:val="auto"/>
              </w:rPr>
            </w:pPr>
          </w:p>
        </w:tc>
      </w:tr>
      <w:tr>
        <w:trPr>
          <w:trHeight w:val="189"/>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(156,617)</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32,540</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Beginning of period</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364,185</w:t>
            </w:r>
          </w:p>
        </w:tc>
        <w:tc>
          <w:tcPr>
            <w:tcW w:w="2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144,842</w:t>
            </w:r>
          </w:p>
        </w:tc>
        <w:tc>
          <w:tcPr>
            <w:tcW w:w="0" w:type="dxa"/>
            <w:vAlign w:val="bottom"/>
          </w:tcPr>
          <w:p>
            <w:pPr>
              <w:spacing w:after="0"/>
              <w:rPr>
                <w:sz w:val="1"/>
                <w:szCs w:val="1"/>
                <w:color w:val="auto"/>
              </w:rPr>
            </w:pPr>
          </w:p>
        </w:tc>
      </w:tr>
      <w:tr>
        <w:trPr>
          <w:trHeight w:val="228"/>
        </w:trPr>
        <w:tc>
          <w:tcPr>
            <w:tcW w:w="7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207,568</w:t>
            </w:r>
          </w:p>
        </w:tc>
        <w:tc>
          <w:tcPr>
            <w:tcW w:w="2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177,382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26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unpaid at period-end</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13,058</w:t>
            </w:r>
          </w:p>
        </w:tc>
        <w:tc>
          <w:tcPr>
            <w:tcW w:w="26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16,684</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0" w:type="dxa"/>
            <w:vAlign w:val="bottom"/>
          </w:tcPr>
          <w:p>
            <w:pPr>
              <w:spacing w:after="0"/>
              <w:rPr>
                <w:sz w:val="1"/>
                <w:szCs w:val="1"/>
                <w:color w:val="auto"/>
              </w:rPr>
            </w:pPr>
          </w:p>
        </w:tc>
      </w:tr>
      <w:tr>
        <w:trPr>
          <w:trHeight w:val="203"/>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74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the Condensed Consolidated Balance Sheets -</w:t>
            </w:r>
          </w:p>
        </w:tc>
        <w:tc>
          <w:tcPr>
            <w:tcW w:w="2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362,546</w:t>
            </w:r>
          </w:p>
        </w:tc>
        <w:tc>
          <w:tcPr>
            <w:tcW w:w="26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143,201</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in other assets</w:t>
            </w:r>
          </w:p>
        </w:tc>
        <w:tc>
          <w:tcPr>
            <w:tcW w:w="2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2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203"/>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364,185</w:t>
            </w:r>
          </w:p>
        </w:tc>
        <w:tc>
          <w:tcPr>
            <w:tcW w:w="26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144,842</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4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the Condensed Consolidated Balance Sheets - End</w:t>
            </w: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205,479</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175,699</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Restricted cash in other assets</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2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0" w:type="dxa"/>
            <w:vAlign w:val="bottom"/>
          </w:tcPr>
          <w:p>
            <w:pPr>
              <w:spacing w:after="0"/>
              <w:rPr>
                <w:sz w:val="1"/>
                <w:szCs w:val="1"/>
                <w:color w:val="auto"/>
              </w:rPr>
            </w:pPr>
          </w:p>
        </w:tc>
      </w:tr>
      <w:tr>
        <w:trPr>
          <w:trHeight w:val="227"/>
        </w:trPr>
        <w:tc>
          <w:tcPr>
            <w:tcW w:w="7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207,568</w:t>
            </w:r>
          </w:p>
        </w:tc>
        <w:tc>
          <w:tcPr>
            <w:tcW w:w="2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177,382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20"/>
          </w:cols>
          <w:pgMar w:left="320" w:top="121"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FIVE9,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Summary of Significant Accounting Policies</w:t>
      </w:r>
    </w:p>
    <w:p>
      <w:pPr>
        <w:spacing w:after="0" w:line="17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Five9, Inc. and its wholly-owned subsidiaries (the “Company”) is a provider of cloud software for contact centers. The Company was incorporated in Delaware in 2001 and is headquartered in San Ramon, California. The Company has offices in Europe, Asia and Australia, which primarily provide research, development, sales, marketing, and customer support services.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in the United States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for the year ended December 31, 2024. In the opinion of management, the condensed consolidated financial statements reflect all adjustments, which are normal and recurring in nature, necessary for fair financial statement presentation. All intercompany transactions and balances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The significant estimates made by management affect revenue and related reserves, as well as the fair value of assets acquired and liabilities assumed through business combinations and the fair value of performance-based restricted stock units ("PRSUs"). Management periodically evaluates such estimates and they are adjusted prospectively based upon such periodic evaluation.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significant accounting policies previously disclosed in Part II, Item 8, of the Company's Annual Report on Form 10-K for the fiscal year ended December 31, 2024 as filed with the SEC on February 21,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Effective</w:t>
      </w:r>
    </w:p>
    <w:p>
      <w:pPr>
        <w:spacing w:after="0" w:line="160" w:lineRule="exact"/>
        <w:rPr>
          <w:sz w:val="20"/>
          <w:szCs w:val="20"/>
          <w:color w:val="auto"/>
        </w:rPr>
      </w:pPr>
    </w:p>
    <w:p>
      <w:pPr>
        <w:ind w:right="220" w:firstLine="486"/>
        <w:spacing w:after="0" w:line="24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ASU requires disclosure of specific categories in the effective tax rate reconciliation and additional information on income taxes paid. This ASU is effective for the Company’s fiscal years beginning after December 15, 2024. Early adoption is permitted and may be adopted on a prospective or retrospective basis. The Company is currently evaluating the impact of this ASU on its consolidated financial statement disclosures.</w:t>
      </w:r>
    </w:p>
    <w:p>
      <w:pPr>
        <w:spacing w:after="0" w:line="123"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and in January 2025, the FASB issued ASU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w:t>
      </w:r>
      <w:r>
        <w:rPr>
          <w:rFonts w:ascii="Times New Roman" w:cs="Times New Roman" w:eastAsia="Times New Roman" w:hAnsi="Times New Roman"/>
          <w:sz w:val="18"/>
          <w:szCs w:val="18"/>
          <w:color w:val="auto"/>
        </w:rPr>
        <w:t>, which clarified the effective date of ASU 2024-03. This ASU is intended to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decision-usefulness of expense information on public companies’ income statements through disaggregation of relevant expense captions in the notes to the financial statements. The guidance, as clarified by ASU 2025-01, is effective for annual reporting periods beginning after December 15, 2026, and interim periods within annual reporting periods beginning after December 15, 2027, with early adoption permitted. The Company is currently assessing the impact of this ASU on its consolidated financial statements and related disclosures.</w:t>
      </w:r>
    </w:p>
    <w:p>
      <w:pPr>
        <w:spacing w:after="0" w:line="117" w:lineRule="exact"/>
        <w:rPr>
          <w:sz w:val="20"/>
          <w:szCs w:val="20"/>
          <w:color w:val="auto"/>
        </w:rPr>
      </w:pPr>
    </w:p>
    <w:p>
      <w:pPr>
        <w:jc w:val="both"/>
        <w:ind w:right="220" w:firstLine="486"/>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with Conversion and Other Options (Subtopic 470-20)</w:t>
      </w:r>
      <w:r>
        <w:rPr>
          <w:rFonts w:ascii="Times New Roman" w:cs="Times New Roman" w:eastAsia="Times New Roman" w:hAnsi="Times New Roman"/>
          <w:sz w:val="18"/>
          <w:szCs w:val="18"/>
          <w:color w:val="auto"/>
        </w:rPr>
        <w:t>, which clarifies the requirements for determining whether certain settlements of convertible debt instruments should be accounted for as an induced conversion. The ASU is effective for annual and interim reporting periods beginning after December 15, 2025. Early adoption is permitted for entities that have implemented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ASU 2020-06, with the option to apply the guidance prospectively or retrospectively. The Company is currently assessing the impact of this ASU on its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right="66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about accounts receivable, net, deferred contract acquisition costs, net, contract assets and contract liabilities from contracts with customers (in thousands):</w:t>
      </w: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net: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82,497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76,600</w:t>
            </w: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163,913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155,157</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contract acquisition costs,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246,410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231,757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 and contract liabilities: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assets (included in prepaid expenses and other current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 (deferred revenue)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(79,173)</w:t>
            </w: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 contract liabilities (deferred revenue) (included in 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contract liabilities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(65,462)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(72,832)</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Company receives payments from customers based upon billing cycles. Invoice payment terms are usually 30 days or less. Accounts receivable are recorded when the right to consideration becomes unconditional.</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contract acquisition costs are recorded when incurred and are amortized over an estimated customer benefit period of five years.</w:t>
      </w:r>
    </w:p>
    <w:p>
      <w:pPr>
        <w:spacing w:after="0" w:line="117"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Company’s contract assets consist of unbilled amounts typically resulting from professional services where revenue is recognized in excess of total amounts billed to the customer. The Company’s contract liabilities consist of advance payments and billings in excess of revenue recognized.</w:t>
      </w:r>
    </w:p>
    <w:p>
      <w:pPr>
        <w:spacing w:after="0" w:line="5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the three and six months ended June 30, 2025, the Company recognized revenue of $11.4 million and $60.9 million related to its contract liabilities at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As of June 30, 2025, the aggregate amount of the total transaction price allocated in contracts with original duration of greater than one year to the remaining performance obligations was $1,150.1 million. The Company expects to recognize revenue on approximately three-fourths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 and Fair Value Measurements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Investments</w:t>
      </w:r>
    </w:p>
    <w:p>
      <w:pPr>
        <w:spacing w:after="0" w:line="121"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Company’s marketable investments have been classified and accounted for as available-for-sale. The Company’s intent is that all marketable investments are available for use in its current operations, including marketable investments with maturity dates greater than one year from June 30, 2025. The Company’s short-term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investments as of June 30, 2025 and December 31, 2024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Marketable Investments</w:t>
            </w: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1"/>
                <w:szCs w:val="11"/>
                <w:color w:val="auto"/>
              </w:rPr>
            </w:pPr>
          </w:p>
        </w:tc>
        <w:tc>
          <w:tcPr>
            <w:tcW w:w="10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and government-sponsored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Marketable Investments</w:t>
            </w: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1"/>
                <w:szCs w:val="11"/>
                <w:color w:val="auto"/>
              </w:rPr>
            </w:pPr>
          </w:p>
        </w:tc>
        <w:tc>
          <w:tcPr>
            <w:tcW w:w="10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and government-sponsored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643,067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30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gross unrealized losses and the fair value for those marketable investments that were in an unrealized loss position for less than 12 months as of June 30, 2025 and December 31, 2024 (in thousands):</w:t>
      </w: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0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14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0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880" w:type="dxa"/>
            <w:vAlign w:val="bottom"/>
            <w:tcBorders>
              <w:top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104,716</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and government-sponsored securities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23"/>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(228)</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210,808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185,419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Although the Company had certain available-for-sale debt securities in an unrealized loss position as of June 30, 2025, no impairment loss was recorded since it did not intend to sell them, did not anticipate a need to sell them, and the decline in fair value was not due to any credit-related factors.</w:t>
      </w:r>
    </w:p>
    <w:p>
      <w:pPr>
        <w:spacing w:after="0" w:line="68" w:lineRule="exact"/>
        <w:rPr>
          <w:sz w:val="20"/>
          <w:szCs w:val="20"/>
          <w:color w:val="auto"/>
        </w:rPr>
      </w:pPr>
    </w:p>
    <w:p>
      <w:pPr>
        <w:ind w:right="720" w:firstLine="445"/>
        <w:spacing w:after="0" w:line="255" w:lineRule="auto"/>
        <w:rPr>
          <w:sz w:val="20"/>
          <w:szCs w:val="20"/>
          <w:color w:val="auto"/>
        </w:rPr>
      </w:pPr>
      <w:r>
        <w:rPr>
          <w:rFonts w:ascii="Times New Roman" w:cs="Times New Roman" w:eastAsia="Times New Roman" w:hAnsi="Times New Roman"/>
          <w:sz w:val="18"/>
          <w:szCs w:val="18"/>
          <w:color w:val="auto"/>
        </w:rPr>
        <w:t>The amortized cost and fair value of the Company’s marketable investments by contractual maturity as of June 30, 2025 were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195,156</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235,241</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430,397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Observable inputs, which include unadjusted quoted prices in active markets for identical assets or liabilities.</w:t>
      </w:r>
    </w:p>
    <w:p>
      <w:pPr>
        <w:spacing w:after="0" w:line="117"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inputs, such as quoted prices in markets that are not active, or other inputs that are observable or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corroborated by observable market data for substantially the full term of the assets or liabilities.</w:t>
      </w:r>
    </w:p>
    <w:p>
      <w:pPr>
        <w:spacing w:after="0" w:line="50" w:lineRule="exact"/>
        <w:rPr>
          <w:sz w:val="20"/>
          <w:szCs w:val="20"/>
          <w:color w:val="auto"/>
        </w:rPr>
      </w:pPr>
    </w:p>
    <w:p>
      <w:pPr>
        <w:ind w:right="3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based on management’s assumptions, including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measurements determined by using pricing models, discounted cash flow methodologies or similar techniques.</w:t>
      </w:r>
    </w:p>
    <w:p>
      <w:pPr>
        <w:spacing w:after="0" w:line="52"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its Level 1 financial instruments, which are traded in active markets, using quoted market prices for identical instruments.</w:t>
      </w:r>
    </w:p>
    <w:p>
      <w:pPr>
        <w:spacing w:after="0" w:line="54" w:lineRule="exact"/>
        <w:rPr>
          <w:sz w:val="20"/>
          <w:szCs w:val="20"/>
          <w:color w:val="auto"/>
        </w:rPr>
      </w:pPr>
    </w:p>
    <w:p>
      <w:pPr>
        <w:ind w:right="180" w:firstLine="445"/>
        <w:spacing w:after="0" w:line="255" w:lineRule="auto"/>
        <w:rPr>
          <w:sz w:val="20"/>
          <w:szCs w:val="20"/>
          <w:color w:val="auto"/>
        </w:rPr>
      </w:pPr>
      <w:r>
        <w:rPr>
          <w:rFonts w:ascii="Times New Roman" w:cs="Times New Roman" w:eastAsia="Times New Roman" w:hAnsi="Times New Roman"/>
          <w:sz w:val="18"/>
          <w:szCs w:val="18"/>
          <w:color w:val="auto"/>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Company’s assets measured at fair value by level within the fair value hierarchy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37,579</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37,579</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investments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217,137</w:t>
            </w: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and government sponsored securities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184,731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184,731</w:t>
            </w: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w:t>
            </w: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430,397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114,370</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agency and government-sponsored securities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41,832</w:t>
            </w: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199,644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442,572</w:t>
            </w: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agency and government-sponsored securities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146,760</w:t>
            </w: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43,668</w:t>
            </w: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investments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643,410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In March 2024, the Company issued $747.5 million aggregate principal amount of 1.00% convertible senior notes due 2029 (the "2029 convertible senior notes") in a private offering. In connection with the issuance of the 2029 convertible senior notes, the Company used part of the net proceeds from the issuance to repurchase approximately $313.1 million aggregate principal amount of its 0.50% convertible senior notes due 2025 (the "2025 convertible senior notes"). As of December 31, 2024, the estimated fair value of the outstanding 2025 convertible senior notes was $423.2 million. The 2025 convertible senior notes matured on June 1, 2025, and the Company settled its obligations with respect to the 2025 senior notes in cash in connection therewith. As of June 30, 2025 and December 31, 2024, the estimated fair value of the outstanding 2029 convertible senior notes was $653.7 million and $674.8 million, respectively. 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spacing w:after="0" w:line="80"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In February 2022, the Company made a $2.0 million equity investment in a privately-held company that the Company does not have the ability to exercise significant influence over. The Company elected to utilize the measurement alternative for an equity security without a readily determinable fair value. Accordingly, this investment is accounted for at its cost minus impairment, if any, and is classified within Level 3. If the Company identifies observable price changes in orderly transactions for such investment or a similar investment, it will measure the investment at fair value as of the date that the observable transactions or events occurred. During 2024, the Company noted an indicator of impairment of this investment and recorded a $1.3 million impairment charge. The Company concluded that there was no further indicator of impairment of this investment as of June 30, 2025.</w:t>
      </w:r>
    </w:p>
    <w:p>
      <w:pPr>
        <w:spacing w:after="0" w:line="14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Except for the equity investment described above, there were no assets or liabilities measured at fair value on a non-recurring basis as of June 30, 2025 and December 31, 2024.</w:t>
      </w:r>
    </w:p>
    <w:p>
      <w:pPr>
        <w:spacing w:after="0" w:line="108" w:lineRule="exact"/>
        <w:rPr>
          <w:sz w:val="20"/>
          <w:szCs w:val="20"/>
          <w:color w:val="auto"/>
        </w:rPr>
      </w:pPr>
    </w:p>
    <w:p>
      <w:pPr>
        <w:ind w:right="200" w:firstLine="445"/>
        <w:spacing w:after="0" w:line="250" w:lineRule="auto"/>
        <w:rPr>
          <w:sz w:val="20"/>
          <w:szCs w:val="20"/>
          <w:color w:val="auto"/>
        </w:rPr>
      </w:pPr>
      <w:r>
        <w:rPr>
          <w:rFonts w:ascii="Times New Roman" w:cs="Times New Roman" w:eastAsia="Times New Roman" w:hAnsi="Times New Roman"/>
          <w:sz w:val="18"/>
          <w:szCs w:val="18"/>
          <w:color w:val="auto"/>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Statement Components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162,902</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and government sponsored securities</w:t>
            </w: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205,479</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362,546</w:t>
            </w:r>
          </w:p>
        </w:tc>
        <w:tc>
          <w:tcPr>
            <w:tcW w:w="0" w:type="dxa"/>
            <w:vAlign w:val="bottom"/>
          </w:tcPr>
          <w:p>
            <w:pPr>
              <w:spacing w:after="0"/>
              <w:rPr>
                <w:sz w:val="1"/>
                <w:szCs w:val="1"/>
                <w:color w:val="auto"/>
              </w:rPr>
            </w:pPr>
          </w:p>
        </w:tc>
      </w:tr>
      <w:tr>
        <w:trPr>
          <w:trHeight w:val="21"/>
        </w:trPr>
        <w:tc>
          <w:tcPr>
            <w:tcW w:w="7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7"/>
                <w:szCs w:val="17"/>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99,551</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trade accounts receivable, net of advance customer deposits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115,172</w:t>
            </w:r>
          </w:p>
        </w:tc>
        <w:tc>
          <w:tcPr>
            <w:tcW w:w="0" w:type="dxa"/>
            <w:vAlign w:val="bottom"/>
          </w:tcPr>
          <w:p>
            <w:pPr>
              <w:spacing w:after="0"/>
              <w:rPr>
                <w:sz w:val="1"/>
                <w:szCs w:val="1"/>
                <w:color w:val="auto"/>
              </w:rPr>
            </w:pPr>
          </w:p>
        </w:tc>
      </w:tr>
      <w:tr>
        <w:trPr>
          <w:trHeight w:val="21"/>
        </w:trPr>
        <w:tc>
          <w:tcPr>
            <w:tcW w:w="7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There was one customer that represented 12% of accounts receivable as of June 30, 2025.</w:t>
            </w: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7"/>
                <w:szCs w:val="17"/>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47,986</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7"/>
                <w:szCs w:val="17"/>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173,671</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 development costs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301,329</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(173,337)</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(156,441)</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154,499</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144,888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associated with property and equipment was $11.2 million and $21.6 million for the three and six months ended June 30, 2025, respectively. Depreciation and amortization expense associated with property and equipment was $10.3 million and $19.8 million for the three and six months ended June 30, 2024, respectively. During the three and six months ended June 30, 2025, the Company recorded impairment charge of property and equipment in the amount of $0.5 million and $0.8 million,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 in a privately-held company</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0" w:type="dxa"/>
            <w:vAlign w:val="bottom"/>
          </w:tcPr>
          <w:p>
            <w:pPr>
              <w:spacing w:after="0"/>
              <w:rPr>
                <w:sz w:val="1"/>
                <w:szCs w:val="1"/>
                <w:color w:val="auto"/>
              </w:rPr>
            </w:pPr>
          </w:p>
        </w:tc>
      </w:tr>
      <w:tr>
        <w:trPr>
          <w:trHeight w:val="21"/>
        </w:trPr>
        <w:tc>
          <w:tcPr>
            <w:tcW w:w="73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30,822</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federal fees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tax liabilities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7"/>
                <w:szCs w:val="17"/>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liabilities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75" w:lineRule="exact"/>
        <w:rPr>
          <w:sz w:val="20"/>
          <w:szCs w:val="20"/>
          <w:color w:val="auto"/>
        </w:rPr>
      </w:pPr>
    </w:p>
    <w:p>
      <w:pPr>
        <w:ind w:right="12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activity in the Company's goodwill and intangible asset balances during the six months ended June 30, 2025 (in thousands):</w:t>
      </w: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Pr>
          <w:p>
            <w:pPr>
              <w:spacing w:after="0"/>
              <w:rPr>
                <w:sz w:val="16"/>
                <w:szCs w:val="16"/>
                <w:color w:val="auto"/>
              </w:rPr>
            </w:pP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Intangible Assets</w:t>
            </w:r>
          </w:p>
        </w:tc>
      </w:tr>
      <w:tr>
        <w:trPr>
          <w:trHeight w:val="23"/>
        </w:trPr>
        <w:tc>
          <w:tcPr>
            <w:tcW w:w="7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December 31, 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65,632</w:t>
            </w:r>
          </w:p>
        </w:tc>
      </w:tr>
      <w:tr>
        <w:trPr>
          <w:trHeight w:val="230"/>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Measurement period adjustment (Acqueon)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 June 30, 2025</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58,068</w:t>
            </w: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intangible assets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01"/>
        </w:trPr>
        <w:tc>
          <w:tcPr>
            <w:tcW w:w="1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(57,317)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48,397</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54,484</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5"/>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Acquired workforce</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w:t>
            </w:r>
          </w:p>
        </w:tc>
        <w:tc>
          <w:tcPr>
            <w:tcW w:w="13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10,169</w:t>
            </w:r>
          </w:p>
        </w:tc>
        <w:tc>
          <w:tcPr>
            <w:tcW w:w="13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320" w:type="dxa"/>
            <w:vAlign w:val="bottom"/>
            <w:tcBorders>
              <w:bottom w:val="single" w:sz="8" w:color="CCEEFF"/>
            </w:tcBorders>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340" w:type="dxa"/>
            <w:vAlign w:val="bottom"/>
            <w:tcBorders>
              <w:bottom w:val="single" w:sz="8" w:color="CCEEFF"/>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28"/>
        </w:trPr>
        <w:tc>
          <w:tcPr>
            <w:tcW w:w="1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(62,266)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58,068</w:t>
            </w:r>
          </w:p>
        </w:tc>
        <w:tc>
          <w:tcPr>
            <w:tcW w:w="1320" w:type="dxa"/>
            <w:vAlign w:val="bottom"/>
            <w:tcBorders>
              <w:bottom w:val="single" w:sz="8" w:color="CCEEFF"/>
            </w:tcBorders>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65,632</w:t>
            </w:r>
          </w:p>
        </w:tc>
        <w:tc>
          <w:tcPr>
            <w:tcW w:w="1340" w:type="dxa"/>
            <w:vAlign w:val="bottom"/>
            <w:tcBorders>
              <w:bottom w:val="single" w:sz="8" w:color="CCEEFF"/>
            </w:tcBorders>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related to intangible assets was $3.5 million and $7.6 million for the three and six months ended June 30,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was $2.6 million and $5.3 million for the three and six months ended June 30, 2024, respectively.</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the expected future amortization expense for intangible assets was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3"/>
                <w:szCs w:val="13"/>
                <w:color w:val="auto"/>
              </w:rPr>
            </w:pPr>
          </w:p>
        </w:tc>
        <w:tc>
          <w:tcPr>
            <w:tcW w:w="15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Expected Future</w:t>
            </w:r>
          </w:p>
        </w:tc>
        <w:tc>
          <w:tcPr>
            <w:tcW w:w="0" w:type="dxa"/>
            <w:vAlign w:val="bottom"/>
          </w:tcPr>
          <w:p>
            <w:pPr>
              <w:spacing w:after="0"/>
              <w:rPr>
                <w:sz w:val="1"/>
                <w:szCs w:val="1"/>
                <w:color w:val="auto"/>
              </w:rPr>
            </w:pPr>
          </w:p>
        </w:tc>
      </w:tr>
      <w:tr>
        <w:trPr>
          <w:trHeight w:val="196"/>
        </w:trPr>
        <w:tc>
          <w:tcPr>
            <w:tcW w:w="95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29"/>
        </w:trPr>
        <w:tc>
          <w:tcPr>
            <w:tcW w:w="9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0" w:type="dxa"/>
            <w:vAlign w:val="bottom"/>
          </w:tcPr>
          <w:p>
            <w:pPr>
              <w:spacing w:after="0"/>
              <w:rPr>
                <w:sz w:val="1"/>
                <w:szCs w:val="1"/>
                <w:color w:val="auto"/>
              </w:rPr>
            </w:pPr>
          </w:p>
        </w:tc>
      </w:tr>
      <w:tr>
        <w:trPr>
          <w:trHeight w:val="230"/>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0" w:type="dxa"/>
            <w:vAlign w:val="bottom"/>
          </w:tcPr>
          <w:p>
            <w:pPr>
              <w:spacing w:after="0"/>
              <w:rPr>
                <w:sz w:val="1"/>
                <w:szCs w:val="1"/>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0" w:type="dxa"/>
            <w:vAlign w:val="bottom"/>
          </w:tcPr>
          <w:p>
            <w:pPr>
              <w:spacing w:after="0"/>
              <w:rPr>
                <w:sz w:val="1"/>
                <w:szCs w:val="1"/>
                <w:color w:val="auto"/>
              </w:rPr>
            </w:pPr>
          </w:p>
        </w:tc>
      </w:tr>
      <w:tr>
        <w:trPr>
          <w:trHeight w:val="22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30"/>
        </w:trPr>
        <w:tc>
          <w:tcPr>
            <w:tcW w:w="9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0" w:type="dxa"/>
            <w:vAlign w:val="bottom"/>
          </w:tcPr>
          <w:p>
            <w:pPr>
              <w:spacing w:after="0"/>
              <w:rPr>
                <w:sz w:val="1"/>
                <w:szCs w:val="1"/>
                <w:color w:val="auto"/>
              </w:rPr>
            </w:pPr>
          </w:p>
        </w:tc>
      </w:tr>
      <w:tr>
        <w:trPr>
          <w:trHeight w:val="248"/>
        </w:trPr>
        <w:tc>
          <w:tcPr>
            <w:tcW w:w="9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58,068</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Transaction</w:t>
      </w:r>
    </w:p>
    <w:p>
      <w:pPr>
        <w:spacing w:after="0" w:line="1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the issuance of the 2029 convertible senior notes on March 1, 2024, the Company used part of the net proceeds from the issuance to repurchase approximately $313.1 million aggregate principal amount of the outstanding 2025 convertible senior notes in privately-negotiated transactions for aggregate cash consideration of approximately $304.9 million (the “Repurchase Transaction”).</w:t>
      </w:r>
    </w:p>
    <w:p>
      <w:pPr>
        <w:spacing w:after="0" w:line="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Repurchase Transaction was accounted for as a debt extinguishment. The difference between the consideration used to extinguish the 2025 convertible senior notes and the carrying value of the 2025 convertible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senior notes (including unamortized debt discount and issuance costs) resulted in an extinguishment gain of approximately $6.6 million recorded in Other income (expense), net on the Company’s condensed consolidated statements of operations and comprehensive income (loss).</w:t>
      </w:r>
    </w:p>
    <w:p>
      <w:pPr>
        <w:spacing w:after="0" w:line="5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the Repurchase Transaction, the Company also entered into a partial termination agreement with each bank counterparty and unwound a corresponding portion of the previously purchased capped call instruments entered into in connection with the issuance of the 2025 convertible senior notes (the “2025 Capped Calls”). The Company received approximately $0.5 million in cash in connection with these partial terminations, representing the fair value at the date of settlement of the unwound 2025 Capped Calls.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2029 Convertible Senior Notes and Related Capped Call Transactions</w:t>
      </w:r>
    </w:p>
    <w:p>
      <w:pPr>
        <w:spacing w:after="0" w:line="94"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In March 2024, the Company issued $747.5 million aggregate principal amount of 2029 convertible senior notes in a private offering, which aggregate principal amount included the exercise in full of the initial purchasers’ option to purchase up to an additional $97.5 million principal amount of the 2029 convertible senior notes. The 2029 convertible senior notes mature on March 15, 2029 and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w:t>
      </w:r>
    </w:p>
    <w:p>
      <w:pPr>
        <w:spacing w:after="0" w:line="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Each $1,000 principal amount of the 2029 convertible senior notes is initially convertible into 12.5918 shares of the Company’s common stock (the “2029 Conversion Option”), which is equivalent to an initial conversion price of approximately $79.42 per share of common stock, subject to adjustment</w:t>
      </w:r>
    </w:p>
    <w:p>
      <w:pPr>
        <w:jc w:val="both"/>
        <w:spacing w:after="0" w:line="236" w:lineRule="auto"/>
        <w:rPr>
          <w:sz w:val="20"/>
          <w:szCs w:val="20"/>
          <w:color w:val="auto"/>
        </w:rPr>
      </w:pPr>
      <w:r>
        <w:rPr>
          <w:rFonts w:ascii="Times New Roman" w:cs="Times New Roman" w:eastAsia="Times New Roman" w:hAnsi="Times New Roman"/>
          <w:sz w:val="18"/>
          <w:szCs w:val="18"/>
          <w:color w:val="auto"/>
        </w:rPr>
        <w:t>upon the occurrence of specified events. The initial conversion price represents a premium of approximately 30% to the $61.09 per share closing price of the Company’s common stock on The Nasdaq Global Market on February 27, 2024. There have been no changes to the initial conversion price of the 2029 convertible senior notes since issuance. The 2029 convertible senior notes are convertible, in multiples of $1,000 principal amount, at the option of the holders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“2029 Measurement Period”) in which the trading price (as defined in the 2029 Indenture governing the 2029 convertible senior notes) per $1,000 principal amount of the 2029 convertible senior notes for each trading day of the 2029 Measurement Period was less than 98% of the product of the last reported sale price of the Company’s common stock and the conversion rate in effect on each such trading day; (3) if the Company calls any or all of the 2029 convertible senior notes for redemption, at any time prior to the close of business on the second scheduled trading day immediately preceding the redemption date; or (4) upon the occurrence of specified corporate events. On or after December 15, 2028 until the close of business on the second scheduled trading day immediately preceding the maturity date, holders may convert all or any portion of their 2029 convertible senior notes, in multiples of $1,000 principal amount, at the option of the holder regardless of the foregoing circumstances.</w:t>
      </w:r>
    </w:p>
    <w:p>
      <w:pPr>
        <w:spacing w:after="0" w:line="79"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2029 convertible senior notes), subject to certain conditions, holders may require the Company to repurchase for cash all or any portion of their 2029 convertible senior notes, in principal amounts of $1,000 or a multiple thereof, at a fundamental change repurchase price equal to 100% of the principal amount of the 2029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spacing w:after="0" w:line="95"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The closing market price of the Company's common stock of $26.48 per share on June 30, 2025, the last trading day during the three months ended June 30, 2025, was below $103.24 per share, which represents 130% of the initial conversion price of $79.42 per share. Additionally, the last reported sale price of the Company’s common stock for at least 20 trading days (whether or not consecutive) during a period of 30 consecutive trading days ending on, and including, the last trading day, June 30, 2025, was not greater than or equal to 130% of the initial conversion price. As such, during the three months ended June 30, 2025, the conditions allowing holders of the 2029 convertible senior notes to convert were not met. The 2029 convertible senior notes are therefore not convertible during the three months ending September 30,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The Company may not redeem the 2029 convertible senior notes prior to March 22, 2027. The Company may redeem for cash all or any portion of the 2029 convertible senior notes, at its option, on or after March 22, 2027 and prior to December 15, 2028,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2029 convertible senior notes to be redeemed, plus accrued and unpaid interest, if any, to, but excluding, the redemption date. However, the Company may not redeem less than all of the outstanding 2029 convertible senior notes unless at least $100.0 million aggregate principal amount of 2029 convertible senior notes are outstanding and not called for redemption at the time the redemption notice is sent. No sinking fund is provided for the 2029 convertible senior notes.</w:t>
      </w:r>
    </w:p>
    <w:p>
      <w:pPr>
        <w:spacing w:after="0" w:line="79"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2029 convertible senior notes are the Company’s senior unsecured obligations and rank senior in right of payment to any of the Company’s indebtedness that is expressly subordinated in right of payment to the 2029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2029 convertible senior notes was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3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747,500</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3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(13,880)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733,620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731,855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7"/>
            <w:vMerge w:val="restart"/>
          </w:tcPr>
          <w:p>
            <w:pPr>
              <w:ind w:left="500"/>
              <w:spacing w:after="0"/>
              <w:rPr>
                <w:sz w:val="20"/>
                <w:szCs w:val="20"/>
                <w:color w:val="auto"/>
              </w:rPr>
            </w:pPr>
            <w:r>
              <w:rPr>
                <w:rFonts w:ascii="Times New Roman" w:cs="Times New Roman" w:eastAsia="Times New Roman" w:hAnsi="Times New Roman"/>
                <w:sz w:val="18"/>
                <w:szCs w:val="18"/>
                <w:color w:val="auto"/>
              </w:rPr>
              <w:t>Interest expense related to the 2029 convertible senior notes was as follows (in thousands):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48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5"/>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29"/>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debt issuance costs are amortized into interest expense over the term of the 2029 convertible senior notes at an effective interest rate of 1.49%.</w:t>
      </w:r>
    </w:p>
    <w:p>
      <w:pPr>
        <w:spacing w:after="0" w:line="104"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In connection with the issuance of the 2029 convertible senior notes, the Company entered into privately negotiated capped call transactions (each a “2029 Capped Call,” and collectively the "2029 Capped Calls") with certain financial institutions. The 2029 Capped Call has an initial strike price of approximately $79.42, subject to certain adjustments, which corresponds to the initial conversion price of the 2029 convertible senior notes. The 2029 Capped Calls have an initial cap price of $122.18 per share, subject to certain adjustments. The 2029 Capped Calls are expected to partially offset the potential dilution to the Company’s common stock upon any conversion of the 2029 convertible senior notes, with such offset subject to a cap based on the cap price. Each 2029 Capped Call covers, subject to anti-dilution adjustments, approximately 9.4 million shares of the Company’s common stock. The 2029 Capped Call is subject to adjustment upon the occurrence of specified extraordinary events affecting the Company, including merger events, tender offers, and announcement events. In addition, each 2029 Capped Call is subject to certain specified additional disruption events that may give rise to a termination of the 2029 Capped Calls, including nationalization, insolvency or delisting, changes in law, failures to deliver, insolvency filings, and hedging disruptions. For accounting purposes, each 2029 Capped Call is treated as a separate transaction from, and not part of the terms of the 2029 convertible senior notes. As these transactions meet certain accounting criteria, the 2029 Capped Calls are recorded in stockholders' equity and are not accounted for as derivatives. The 2029 Capped Calls will not be remeasured as long as they continue to meet the conditions for equity classification.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Convertible Senior Notes and Related Capped Call Transactions</w:t>
      </w:r>
    </w:p>
    <w:p>
      <w:pPr>
        <w:spacing w:after="0" w:line="108" w:lineRule="exact"/>
        <w:rPr>
          <w:sz w:val="20"/>
          <w:szCs w:val="20"/>
          <w:color w:val="auto"/>
        </w:rPr>
      </w:pPr>
    </w:p>
    <w:p>
      <w:pPr>
        <w:jc w:val="both"/>
        <w:ind w:right="140" w:firstLine="445"/>
        <w:spacing w:after="0" w:line="250" w:lineRule="auto"/>
        <w:rPr>
          <w:sz w:val="20"/>
          <w:szCs w:val="20"/>
          <w:color w:val="auto"/>
        </w:rPr>
      </w:pPr>
      <w:r>
        <w:rPr>
          <w:rFonts w:ascii="Times New Roman" w:cs="Times New Roman" w:eastAsia="Times New Roman" w:hAnsi="Times New Roman"/>
          <w:sz w:val="18"/>
          <w:szCs w:val="18"/>
          <w:color w:val="auto"/>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notes. The total net proceeds from the issuance of the 2025 convertible senior notes, after deducting initial purchasers' discounts and commissions and estimated debt issuance costs, were approximately $728.8 million.</w:t>
      </w:r>
    </w:p>
    <w:p>
      <w:pPr>
        <w:spacing w:after="0" w:line="54"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In March 2024, the Company used part of the net proceeds from the issuance of the 2029 convertible senior notes to repurchase $313.1 million aggregate principal amount of the 2025 convertible senior notes in privately-negotiated transactions.</w:t>
      </w:r>
    </w:p>
    <w:p>
      <w:pPr>
        <w:spacing w:after="0" w:line="54"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The 2025 convertible senior notes matured on June 1, 2025, and the Company settled its obligations with respect to the 2025 senior notes in cash in connection therewith. Prior to maturity, the 2025 convertible senior notes bore interest at a fixed rate of 0.500% per annum, payable semiannually in arrears on June 1 and December 1 of each year. There were no changes to the 2025 convertible senior notes' initial conversion price of approximately $134.34 per share of common stock since the date of issuance.</w:t>
      </w:r>
    </w:p>
    <w:p>
      <w:pPr>
        <w:spacing w:after="0" w:line="7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net carrying amount of the 2025 convertible senior notes as of December 31, 2024 was $433.5 million. There were no 2025 convertible senior notes outstanding as of June 30, 2025.</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related to the 2025 convertible senior notes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320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r>
      <w:tr>
        <w:trPr>
          <w:trHeight w:val="23"/>
        </w:trPr>
        <w:tc>
          <w:tcPr>
            <w:tcW w:w="37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37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80" w:type="dxa"/>
            <w:vAlign w:val="bottom"/>
            <w:tcBorders>
              <w:bottom w:val="single" w:sz="8" w:color="auto"/>
            </w:tcBorders>
          </w:tcPr>
          <w:p>
            <w:pPr>
              <w:spacing w:after="0"/>
              <w:rPr>
                <w:sz w:val="16"/>
                <w:szCs w:val="16"/>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38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1,347</w:t>
            </w: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1,339</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2,686</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In connection with the issuance of the 2025 convertible senior notes, the Company entered into privately negotiated capped call transactions (each a “2025 Capped Call,” and collectively the "2025 Capped Calls") with certain financial institutions. The 2025 Capped Calls each had an initial strike price of approximately $134.34, which corresponded to the initial conversion price of the 2025 convertible senior notes. In connection with the Repurchase Transaction, the Company unwound a portion of the 2025 Capped Calls. Refer to the Repurchase Transaction section above for further information. The remaining 2025 Capped Calls covered, subject to anti-dilution adjustments, approximately 3.2 million shares of the Company’s common stock. For accounting purposes, each 2025 Capped Call was a separate transaction from, and not part of the terms of the 2025 convertible senior notes. As these transactions met certain accounting criteria, the 2025 Capped Calls were recorded in stockholders' equity and were not accounted for as derivatives. Upon maturity, the outstanding 2025 Capped Calls associated with the 2025 convertible senior notes were settled with no consideration received since their strike prices were in excess of the Company's stock price at that time.</w:t>
      </w:r>
    </w:p>
    <w:p>
      <w:pPr>
        <w:spacing w:after="0" w:line="307" w:lineRule="exact"/>
        <w:rPr>
          <w:sz w:val="20"/>
          <w:szCs w:val="20"/>
          <w:color w:val="auto"/>
        </w:rPr>
      </w:pPr>
    </w:p>
    <w:p>
      <w:pPr>
        <w:ind w:right="9420" w:firstLine="8"/>
        <w:spacing w:after="0" w:line="43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Capital Structure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000" w:firstLine="445"/>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450,000,000 shares of common stock with a par value of $0.001 per share. As of June 30, 2025 and December 31, 2024, the Company had 77,262,690 and 75,807,505 shares of common stock issued and outstanding,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is authorized to designate and issue up to 5,000,000 shares of preferred stock with a par value of $0.001 per share in one or more series without stockholder approval and to fix the rights, preferences, privileges and restrictions thereof. As of June 30, 2025 and December 31, 2024, there were no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Reserved for Future Issuance</w:t>
      </w:r>
    </w:p>
    <w:p>
      <w:pPr>
        <w:spacing w:after="0" w:line="121" w:lineRule="exact"/>
        <w:rPr>
          <w:sz w:val="20"/>
          <w:szCs w:val="20"/>
          <w:color w:val="auto"/>
        </w:rPr>
      </w:pPr>
    </w:p>
    <w:p>
      <w:pPr>
        <w:ind w:right="200" w:firstLine="445"/>
        <w:spacing w:after="0" w:line="270" w:lineRule="auto"/>
        <w:rPr>
          <w:sz w:val="20"/>
          <w:szCs w:val="20"/>
          <w:color w:val="auto"/>
        </w:rPr>
      </w:pPr>
      <w:r>
        <w:rPr>
          <w:rFonts w:ascii="Times New Roman" w:cs="Times New Roman" w:eastAsia="Times New Roman" w:hAnsi="Times New Roman"/>
          <w:sz w:val="18"/>
          <w:szCs w:val="18"/>
          <w:color w:val="auto"/>
        </w:rPr>
        <w:t>Shares of common stock reserved for future issuance related to outstanding equity awards and employee equity incentive plans as of June 30, 2025 were as follows (in thousands):</w:t>
      </w:r>
    </w:p>
    <w:tbl>
      <w:tblPr>
        <w:tblLayout w:type="fixed"/>
        <w:tblInd w:w="0" w:type="dxa"/>
        <w:tblCellMar>
          <w:top w:w="0" w:type="dxa"/>
          <w:left w:w="0" w:type="dxa"/>
          <w:bottom w:w="0" w:type="dxa"/>
          <w:right w:w="0" w:type="dxa"/>
        </w:tblCellMar>
      </w:tblPr>
      <w:tr>
        <w:trPr>
          <w:trHeight w:val="190"/>
        </w:trPr>
        <w:tc>
          <w:tcPr>
            <w:tcW w:w="9460" w:type="dxa"/>
            <w:vAlign w:val="bottom"/>
          </w:tcPr>
          <w:p>
            <w:pPr>
              <w:spacing w:after="0"/>
              <w:rPr>
                <w:sz w:val="16"/>
                <w:szCs w:val="16"/>
                <w:color w:val="auto"/>
              </w:rPr>
            </w:pPr>
          </w:p>
        </w:tc>
        <w:tc>
          <w:tcPr>
            <w:tcW w:w="17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3"/>
        </w:trPr>
        <w:tc>
          <w:tcPr>
            <w:tcW w:w="94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(including PRSUs) outstanding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grant under 2014 Plan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ESPP</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248"/>
        </w:trPr>
        <w:tc>
          <w:tcPr>
            <w:tcW w:w="9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Company’s stock option activity during the six months ended June 30, 2025 is as follows (in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02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06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80" w:type="dxa"/>
            <w:vAlign w:val="bottom"/>
          </w:tcPr>
          <w:p>
            <w:pPr>
              <w:spacing w:after="0"/>
              <w:rPr>
                <w:sz w:val="12"/>
                <w:szCs w:val="12"/>
                <w:color w:val="auto"/>
              </w:rPr>
            </w:pPr>
          </w:p>
        </w:tc>
        <w:tc>
          <w:tcPr>
            <w:tcW w:w="10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0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10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0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3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3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3,860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60" w:firstLine="445"/>
        <w:spacing w:after="0" w:line="282" w:lineRule="auto"/>
        <w:rPr>
          <w:sz w:val="20"/>
          <w:szCs w:val="20"/>
          <w:color w:val="auto"/>
        </w:rPr>
      </w:pPr>
      <w:r>
        <w:rPr>
          <w:rFonts w:ascii="Times New Roman" w:cs="Times New Roman" w:eastAsia="Times New Roman" w:hAnsi="Times New Roman"/>
          <w:sz w:val="18"/>
          <w:szCs w:val="18"/>
          <w:color w:val="auto"/>
        </w:rPr>
        <w:t>The aggregate intrinsic value amounts are computed based on the difference between the exercise price of the stock options and the fair market value of the Company’s common stock of $26.48 per share as of June 30, 2025 for all in-the-money stock options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(including PRSUs)</w:t>
      </w:r>
    </w:p>
    <w:p>
      <w:pPr>
        <w:spacing w:after="0" w:line="121" w:lineRule="exact"/>
        <w:rPr>
          <w:sz w:val="20"/>
          <w:szCs w:val="20"/>
          <w:color w:val="auto"/>
        </w:rPr>
      </w:pPr>
    </w:p>
    <w:p>
      <w:pPr>
        <w:ind w:right="220" w:firstLine="445"/>
        <w:spacing w:after="0" w:line="270" w:lineRule="auto"/>
        <w:rPr>
          <w:sz w:val="20"/>
          <w:szCs w:val="20"/>
          <w:color w:val="auto"/>
        </w:rPr>
      </w:pPr>
      <w:r>
        <w:rPr>
          <w:rFonts w:ascii="Times New Roman" w:cs="Times New Roman" w:eastAsia="Times New Roman" w:hAnsi="Times New Roman"/>
          <w:sz w:val="18"/>
          <w:szCs w:val="18"/>
          <w:color w:val="auto"/>
        </w:rPr>
        <w:t>A summary of the Company’s restricted stock unit ("RSU") activity, including PRSUs, during the six months ended June 30, 2025 is as follows (in thousands, except per share data):</w:t>
      </w:r>
    </w:p>
    <w:tbl>
      <w:tblPr>
        <w:tblLayout w:type="fixed"/>
        <w:tblInd w:w="0"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7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2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0" w:type="dxa"/>
            <w:vAlign w:val="bottom"/>
          </w:tcPr>
          <w:p>
            <w:pPr>
              <w:spacing w:after="0"/>
              <w:rPr>
                <w:sz w:val="1"/>
                <w:szCs w:val="1"/>
                <w:color w:val="auto"/>
              </w:rPr>
            </w:pPr>
          </w:p>
        </w:tc>
      </w:tr>
      <w:tr>
        <w:trPr>
          <w:trHeight w:val="230"/>
        </w:trPr>
        <w:tc>
          <w:tcPr>
            <w:tcW w:w="7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vested and released</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0" w:type="dxa"/>
            <w:vAlign w:val="bottom"/>
          </w:tcPr>
          <w:p>
            <w:pPr>
              <w:spacing w:after="0"/>
              <w:rPr>
                <w:sz w:val="1"/>
                <w:szCs w:val="1"/>
                <w:color w:val="auto"/>
              </w:rPr>
            </w:pPr>
          </w:p>
        </w:tc>
      </w:tr>
      <w:tr>
        <w:trPr>
          <w:trHeight w:val="230"/>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forfeited or cancelled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48"/>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7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267,711 PRSUs granted during the six months ended June 30, 2025.</w:t>
      </w:r>
    </w:p>
    <w:p>
      <w:pPr>
        <w:spacing w:after="0" w:line="98" w:lineRule="exact"/>
        <w:rPr>
          <w:sz w:val="20"/>
          <w:szCs w:val="20"/>
          <w:color w:val="auto"/>
        </w:rPr>
      </w:pPr>
    </w:p>
    <w:p>
      <w:pPr>
        <w:ind w:firstLine="405"/>
        <w:spacing w:after="0" w:line="238" w:lineRule="auto"/>
        <w:rPr>
          <w:sz w:val="20"/>
          <w:szCs w:val="20"/>
          <w:color w:val="auto"/>
        </w:rPr>
      </w:pPr>
      <w:r>
        <w:rPr>
          <w:rFonts w:ascii="Times New Roman" w:cs="Times New Roman" w:eastAsia="Times New Roman" w:hAnsi="Times New Roman"/>
          <w:sz w:val="18"/>
          <w:szCs w:val="18"/>
          <w:i w:val="1"/>
          <w:iCs w:val="1"/>
          <w:u w:val="single" w:color="auto"/>
          <w:color w:val="auto"/>
        </w:rPr>
        <w:t>PRSUs with Market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six months ended June 30, 2025, the Company granted 267,711 market-based PRSUs with a grant date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$13.9 million. The amount that may be earned pursuant to the market-based PRSUs ranges from 0% to 200% of the target number based on the Company’s relative total shareholder return (“RTSR”) performance during the 2025-2027 performance period as compared to the performance during such period of companies in the S&amp;P Software and Services Select Index on January 1, 2025. The 2025-2027 performance period contains three overlapping measurement periods—a one-year period (2025), a two-year period (2025–2026), and a three-year period (2025–2027). One-third of the total market-based PRSUs may be earned and settled in shares following the end of each measurement period based on RTSR performance and subject to continued employment through the payment date. If the Company’s absolute total shareholder return for any measurement period is negative, then no more than</w:t>
      </w:r>
    </w:p>
    <w:p>
      <w:pPr>
        <w:spacing w:after="0" w:line="3"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100% of the target amount of market-based PRSUs for such period may be earned. If an executive's employment with the Company terminates before the end of the final one-year performance period due to death or disability, 100% (if due to death) or 50% (if due to disability) of the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market-based PRSUs may be earned subject to ultimate RTSR performance in each remaining performance period. Upon a qualifying termination of employment in connection with a change in control of the Company, the unvested market-based PRSUs subject to the 2023-2025 performance period, the 2024-2026 performance period and the 2025-2027 performance period will vest on a double-trigger basis (i) at the target level for the uncompleted portions of the performance periods and (ii) at the actual level of performance measured through the date of the change in control of the Company, based on the price per share paid in such change in control. The fair value of the market-based PRSUs is determined on their grant date using a Monte Carlo Simulation model based upon assumptions presented below. The Company recognizes the fair value of the market-based PRSUs ratably over their requisite service period.</w:t>
      </w:r>
    </w:p>
    <w:p>
      <w:pPr>
        <w:spacing w:after="0" w:line="63" w:lineRule="exact"/>
        <w:rPr>
          <w:sz w:val="20"/>
          <w:szCs w:val="20"/>
          <w:color w:val="auto"/>
        </w:rPr>
      </w:pPr>
    </w:p>
    <w:p>
      <w:pPr>
        <w:ind w:right="40" w:firstLine="486"/>
        <w:spacing w:after="0" w:line="238" w:lineRule="auto"/>
        <w:rPr>
          <w:sz w:val="20"/>
          <w:szCs w:val="20"/>
          <w:color w:val="auto"/>
        </w:rPr>
      </w:pPr>
      <w:r>
        <w:rPr>
          <w:rFonts w:ascii="Times New Roman" w:cs="Times New Roman" w:eastAsia="Times New Roman" w:hAnsi="Times New Roman"/>
          <w:sz w:val="18"/>
          <w:szCs w:val="18"/>
          <w:color w:val="auto"/>
        </w:rPr>
        <w:t>During the first quarter of 2025, the Company certified the performance results for the 2024 measurement period for the market-based PRSUs subject to the 2022-2024 performance period, the 2023-2025 performance period and the 2024-2026 performance period. The Company determined that its actual total shareholder return was (47.25)% for 2024. The Company's relative total shareholder return ranking for the market-based PRSUs subject to the 2022-2024 performance period was in the 3.7 percentile relative to companies in the S&amp;P Software &amp; Services Select Index on January 1, 2022, which resulted in a payout percentage of 0.00% of target for the 2024 measurement for such PRSUs. The Company's relative total shareholder return ranking for the market-based PRSUs subject to the 2023-2025 performance period was in the 2.9 percentile relative to companies in the S&amp;P Software &amp; Services Select Index on January 1, 2023, which resulted in a payout percentage of 0.00% of target for the 2024 measurement period for such PRSUs. The Company's relative total shareholder return ranking for the market-based PRSUs subject to the 2024-2026 performance period was in the 1.5 percentile relative to companies in the S&amp;P Software &amp; Services Select Index on January 1, 2024, which resulted in a payout percentage of 0.00% of target for the 2024 measurement period for such PRSUs.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Stock-based compensation expense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4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27,844</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24,323</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40" w:firstLine="445"/>
        <w:spacing w:after="0" w:line="270" w:lineRule="auto"/>
        <w:rPr>
          <w:sz w:val="20"/>
          <w:szCs w:val="20"/>
          <w:color w:val="auto"/>
        </w:rPr>
      </w:pPr>
      <w:r>
        <w:rPr>
          <w:rFonts w:ascii="Times New Roman" w:cs="Times New Roman" w:eastAsia="Times New Roman" w:hAnsi="Times New Roman"/>
          <w:sz w:val="18"/>
          <w:szCs w:val="18"/>
          <w:color w:val="auto"/>
        </w:rPr>
        <w:t>As of June 30, 2025, unrecognized stock-based compensation expense by award type and expected weighted-average recognition periods are summarized in the following table (in thousands, except years).</w:t>
      </w: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2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RSU</w:t>
            </w:r>
          </w:p>
        </w:tc>
        <w:tc>
          <w:tcPr>
            <w:tcW w:w="320" w:type="dxa"/>
            <w:vAlign w:val="bottom"/>
          </w:tcPr>
          <w:p>
            <w:pPr>
              <w:spacing w:after="0"/>
              <w:rPr>
                <w:sz w:val="12"/>
                <w:szCs w:val="12"/>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PRSU</w:t>
            </w:r>
          </w:p>
        </w:tc>
        <w:tc>
          <w:tcPr>
            <w:tcW w:w="340" w:type="dxa"/>
            <w:vAlign w:val="bottom"/>
          </w:tcPr>
          <w:p>
            <w:pPr>
              <w:spacing w:after="0"/>
              <w:rPr>
                <w:sz w:val="12"/>
                <w:szCs w:val="12"/>
                <w:color w:val="auto"/>
              </w:rPr>
            </w:pP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(excluding PRSUs)</w:t>
            </w: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stock-based compensation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296,891</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17,148</w:t>
            </w:r>
          </w:p>
        </w:tc>
        <w:tc>
          <w:tcPr>
            <w:tcW w:w="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amortization period</w:t>
            </w:r>
          </w:p>
        </w:tc>
        <w:tc>
          <w:tcPr>
            <w:tcW w:w="220" w:type="dxa"/>
            <w:vAlign w:val="bottom"/>
          </w:tcPr>
          <w:p>
            <w:pPr>
              <w:spacing w:after="0"/>
              <w:rPr>
                <w:sz w:val="20"/>
                <w:szCs w:val="20"/>
                <w:color w:val="auto"/>
              </w:rPr>
            </w:pP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0.6 years</w:t>
            </w:r>
          </w:p>
        </w:tc>
        <w:tc>
          <w:tcPr>
            <w:tcW w:w="120" w:type="dxa"/>
            <w:vAlign w:val="bottom"/>
          </w:tcPr>
          <w:p>
            <w:pPr>
              <w:spacing w:after="0"/>
              <w:rPr>
                <w:sz w:val="20"/>
                <w:szCs w:val="20"/>
                <w:color w:val="auto"/>
              </w:rPr>
            </w:pP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2.7 years</w:t>
            </w:r>
          </w:p>
        </w:tc>
        <w:tc>
          <w:tcPr>
            <w:tcW w:w="320" w:type="dxa"/>
            <w:vAlign w:val="bottom"/>
          </w:tcPr>
          <w:p>
            <w:pPr>
              <w:spacing w:after="0"/>
              <w:rPr>
                <w:sz w:val="20"/>
                <w:szCs w:val="20"/>
                <w:color w:val="auto"/>
              </w:rPr>
            </w:pPr>
          </w:p>
        </w:tc>
        <w:tc>
          <w:tcPr>
            <w:tcW w:w="1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1.5 years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years</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weighted-average assumptions used to value PRSUs with market conditions granted during the periods presented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PRSUs (Market Conditions)</w:t>
            </w:r>
          </w:p>
        </w:tc>
        <w:tc>
          <w:tcPr>
            <w:tcW w:w="2660" w:type="dxa"/>
            <w:vAlign w:val="bottom"/>
            <w:gridSpan w:val="4"/>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60" w:type="dxa"/>
            <w:vAlign w:val="bottom"/>
            <w:gridSpan w:val="3"/>
            <w:vMerge w:val="restart"/>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5"/>
        </w:trPr>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740" w:type="dxa"/>
            <w:vAlign w:val="bottom"/>
            <w:tcBorders>
              <w:top w:val="single" w:sz="8" w:color="auto"/>
              <w:bottom w:val="single" w:sz="8" w:color="CCEEFF"/>
            </w:tcBorders>
            <w:shd w:val="clear" w:color="auto" w:fill="CCEEFF"/>
          </w:tcPr>
          <w:p>
            <w:pPr>
              <w:spacing w:after="0"/>
              <w:rPr>
                <w:sz w:val="10"/>
                <w:szCs w:val="10"/>
                <w:color w:val="auto"/>
              </w:rPr>
            </w:pPr>
          </w:p>
        </w:tc>
        <w:tc>
          <w:tcPr>
            <w:tcW w:w="3100" w:type="dxa"/>
            <w:vAlign w:val="bottom"/>
            <w:tcBorders>
              <w:top w:val="single" w:sz="8" w:color="CCEEFF"/>
              <w:bottom w:val="single" w:sz="8" w:color="CCEEFF"/>
            </w:tcBorders>
            <w:shd w:val="clear" w:color="auto" w:fill="CCEEFF"/>
          </w:tcPr>
          <w:p>
            <w:pPr>
              <w:spacing w:after="0"/>
              <w:rPr>
                <w:sz w:val="10"/>
                <w:szCs w:val="10"/>
                <w:color w:val="auto"/>
              </w:rPr>
            </w:pPr>
          </w:p>
        </w:tc>
        <w:tc>
          <w:tcPr>
            <w:tcW w:w="2660" w:type="dxa"/>
            <w:vAlign w:val="bottom"/>
            <w:tcBorders>
              <w:top w:val="single" w:sz="8" w:color="CCEEFF"/>
              <w:bottom w:val="single" w:sz="8" w:color="CCEEFF"/>
            </w:tcBorders>
            <w:gridSpan w:val="4"/>
            <w:vMerge w:val="continue"/>
            <w:shd w:val="clear" w:color="auto" w:fill="CCEEFF"/>
          </w:tcPr>
          <w:p>
            <w:pPr>
              <w:spacing w:after="0"/>
              <w:rPr>
                <w:sz w:val="10"/>
                <w:szCs w:val="10"/>
                <w:color w:val="auto"/>
              </w:rPr>
            </w:pP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3260" w:type="dxa"/>
            <w:vAlign w:val="bottom"/>
            <w:tcBorders>
              <w:top w:val="single" w:sz="8" w:color="CCEEFF"/>
              <w:bottom w:val="single" w:sz="8" w:color="CCEEFF"/>
            </w:tcBorders>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29"/>
        </w:trPr>
        <w:tc>
          <w:tcPr>
            <w:tcW w:w="49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12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0" w:type="dxa"/>
            <w:vAlign w:val="bottom"/>
          </w:tcPr>
          <w:p>
            <w:pPr>
              <w:spacing w:after="0"/>
              <w:rPr>
                <w:sz w:val="1"/>
                <w:szCs w:val="1"/>
                <w:color w:val="auto"/>
              </w:rPr>
            </w:pPr>
          </w:p>
        </w:tc>
      </w:tr>
      <w:tr>
        <w:trPr>
          <w:trHeight w:val="229"/>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306"/>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paid, and does not anticipate paying, cash dividends on its shares of common stock. Accordingly, the expected dividend yield is zero.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(Loss) Per Share</w:t>
      </w:r>
    </w:p>
    <w:p>
      <w:pPr>
        <w:spacing w:after="0" w:line="1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 average number of shares of common stock outstanding during the period, and excludes any dilutive effects of employee stock-based awards and potential shares upon conversion of the convertible senior notes. Diluted net income (loss) per share is computed giving effect to all potentially dilutive shares of common stock, including common stock issuable upon exercise of stock options, vesting of RSUs and PRSUs, and shares of common stock issuable upon conversion of convertible senior notes.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54"/>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Weighted-average shares used in computing basic and diluted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2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per share:</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73,845</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firstLine="445"/>
        <w:spacing w:after="0" w:line="270" w:lineRule="auto"/>
        <w:rPr>
          <w:sz w:val="20"/>
          <w:szCs w:val="20"/>
          <w:color w:val="auto"/>
        </w:rPr>
      </w:pPr>
      <w:r>
        <w:rPr>
          <w:rFonts w:ascii="Times New Roman" w:cs="Times New Roman" w:eastAsia="Times New Roman" w:hAnsi="Times New Roman"/>
          <w:sz w:val="18"/>
          <w:szCs w:val="18"/>
          <w:color w:val="auto"/>
        </w:rPr>
        <w:t>The following securities were excluded from the calculation of diluted net income (loss) per share because their effect would have been anti-dilutive (in thousands):</w:t>
      </w: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9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11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5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4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(including PRSUs)</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40" w:type="dxa"/>
            <w:vAlign w:val="bottom"/>
          </w:tcPr>
          <w:p>
            <w:pPr>
              <w:spacing w:after="0"/>
              <w:rPr>
                <w:sz w:val="19"/>
                <w:szCs w:val="19"/>
                <w:color w:val="auto"/>
              </w:rPr>
            </w:pP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1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w:t>
            </w:r>
          </w:p>
        </w:tc>
      </w:tr>
      <w:tr>
        <w:trPr>
          <w:trHeight w:val="223"/>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14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w:t>
            </w:r>
          </w:p>
        </w:tc>
      </w:tr>
      <w:tr>
        <w:trPr>
          <w:trHeight w:val="20"/>
        </w:trPr>
        <w:tc>
          <w:tcPr>
            <w:tcW w:w="5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45"/>
        <w:spacing w:after="0" w:line="245" w:lineRule="auto"/>
        <w:rPr>
          <w:sz w:val="20"/>
          <w:szCs w:val="20"/>
          <w:color w:val="auto"/>
        </w:rPr>
      </w:pPr>
      <w:r>
        <w:rPr>
          <w:rFonts w:ascii="Times New Roman" w:cs="Times New Roman" w:eastAsia="Times New Roman" w:hAnsi="Times New Roman"/>
          <w:sz w:val="18"/>
          <w:szCs w:val="18"/>
          <w:color w:val="auto"/>
        </w:rPr>
        <w:t>The Company used the if-converted method for calculating any potential dilutive effect of its convertible senior notes for the three and six months ended June 30, 2025 and 2024.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were included in the calculation of diluted net income per share for the three and six months ended June 30, 2025 and were excluded in the calculation of diluted net loss per share for the three and six months ended June 30, 2024 because the effect would have been anti-dilutive.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62"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three and six months ended June 30, 2025 was approximately $1.4 million and $1.6 million, respectively. The provision for income taxes for the three and six months ended June 30, 2024 was approximately $3.3 million and $4.3 million, respectively.</w:t>
      </w:r>
    </w:p>
    <w:p>
      <w:pPr>
        <w:spacing w:after="0" w:line="189" w:lineRule="exact"/>
        <w:rPr>
          <w:sz w:val="20"/>
          <w:szCs w:val="20"/>
          <w:color w:val="auto"/>
        </w:rPr>
      </w:pPr>
    </w:p>
    <w:p>
      <w:pPr>
        <w:ind w:right="20" w:firstLine="445"/>
        <w:spacing w:after="0" w:line="242" w:lineRule="auto"/>
        <w:rPr>
          <w:sz w:val="20"/>
          <w:szCs w:val="20"/>
          <w:color w:val="auto"/>
        </w:rPr>
      </w:pPr>
      <w:r>
        <w:rPr>
          <w:rFonts w:ascii="Times New Roman" w:cs="Times New Roman" w:eastAsia="Times New Roman" w:hAnsi="Times New Roman"/>
          <w:sz w:val="18"/>
          <w:szCs w:val="18"/>
          <w:color w:val="auto"/>
        </w:rPr>
        <w:t>The provision for income taxes for the three and six months ended June 30, 2025 and June 30, 2024 consisted primarily of U.S. federal and U.S. state tax expense as a result of IRC Section 174 research and experimental capitalization requirements and tax attribute utilization limitations, and foreign current income tax expense as a result of income produced by the Company's intercompany cost-plus operating model. For the three and six months ended June 30, 2025, the provision for income taxes differed from the statutory amount primarily due to the U.S. valuation allowance maintained against the U.S. net deferred tax assets. For the three and six months ended June 30,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2024, the provision for income taxes differed from the statutory amount primarily due to certain U.S. and foreign jurisdictions where a full valuation allowance was maintained against the net deferred tax assets.</w:t>
      </w:r>
    </w:p>
    <w:p>
      <w:pPr>
        <w:spacing w:after="0" w:line="122" w:lineRule="exact"/>
        <w:rPr>
          <w:sz w:val="20"/>
          <w:szCs w:val="20"/>
          <w:color w:val="auto"/>
        </w:rPr>
      </w:pPr>
    </w:p>
    <w:p>
      <w:pPr>
        <w:ind w:firstLine="445"/>
        <w:spacing w:after="0" w:line="244" w:lineRule="auto"/>
        <w:rPr>
          <w:sz w:val="20"/>
          <w:szCs w:val="20"/>
          <w:color w:val="auto"/>
        </w:rPr>
      </w:pPr>
      <w:r>
        <w:rPr>
          <w:rFonts w:ascii="Times New Roman" w:cs="Times New Roman" w:eastAsia="Times New Roman" w:hAnsi="Times New Roman"/>
          <w:sz w:val="18"/>
          <w:szCs w:val="18"/>
          <w:color w:val="auto"/>
        </w:rPr>
        <w:t>The realization of tax benefits from deferred tax assets is dependent upon future levels of taxable income, of an appropriate character, to be recognized in the periods the items are expected to be deductible or taxable. Based on the weight of the available objective evidence, the Company does not believe it is more likely than not that the U.S. net deferred tax assets will be realizable. Accordingly, the Company has provided a full valuation allowance against such net deferred tax assets as of June 30, 2025 and December 31, 2024. The Company intends to maintain the valuation allowance until sufficient positive evidence exists to support a reversal of, or decrease in, the valuation allowance. During the three and six months ended June 30, 2025, there were no material changes to the total amount of unrecognized tax benefits.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firstLine="445"/>
        <w:spacing w:after="0" w:line="246" w:lineRule="auto"/>
        <w:rPr>
          <w:sz w:val="20"/>
          <w:szCs w:val="20"/>
          <w:color w:val="auto"/>
        </w:rPr>
      </w:pPr>
      <w:r>
        <w:rPr>
          <w:rFonts w:ascii="Times New Roman" w:cs="Times New Roman" w:eastAsia="Times New Roman" w:hAnsi="Times New Roman"/>
          <w:sz w:val="18"/>
          <w:szCs w:val="18"/>
          <w:color w:val="auto"/>
        </w:rPr>
        <w:t>The Company’s principal commitments consist of future payment obligations under its convertible senior notes, finance leases to finance data centers and other computer and networking equipment, operating leases for office facilities, cloud services and software and maintenance agreements, and agreements with third parties to provide co-location hosting and telecommunication services. These commitments as of December 31, 2024 are disclosed in the Company’s Annual Report on Form 10-K for the year ended December 31, 2024, and material updates to these commitments during the six months ended June 30, 2025 are disclosed herein, including in this Note 10 and in Note 12.</w:t>
      </w:r>
    </w:p>
    <w:p>
      <w:pPr>
        <w:spacing w:after="0" w:line="87" w:lineRule="exact"/>
        <w:rPr>
          <w:sz w:val="20"/>
          <w:szCs w:val="20"/>
          <w:color w:val="auto"/>
        </w:rPr>
      </w:pPr>
    </w:p>
    <w:p>
      <w:pPr>
        <w:ind w:right="520" w:firstLine="445"/>
        <w:spacing w:after="0" w:line="266" w:lineRule="auto"/>
        <w:rPr>
          <w:sz w:val="20"/>
          <w:szCs w:val="20"/>
          <w:color w:val="auto"/>
        </w:rPr>
      </w:pPr>
      <w:r>
        <w:rPr>
          <w:rFonts w:ascii="Times New Roman" w:cs="Times New Roman" w:eastAsia="Times New Roman" w:hAnsi="Times New Roman"/>
          <w:sz w:val="18"/>
          <w:szCs w:val="18"/>
          <w:color w:val="auto"/>
        </w:rPr>
        <w:t>As of June 30, 2025, the Company’s commitments under various co-location hosting and telecommunication usage service agreements totaled $12.0 million for terms ranging up to approximately five years. These agreements require the Company to make payments over the service term in exchange for certain network services.</w:t>
      </w:r>
    </w:p>
    <w:p>
      <w:pPr>
        <w:spacing w:after="0" w:line="68"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had outstanding cloud services and software and maintenance agreement commitments totaling $25.5 million, of which $7.4 million is expected to be purchased in the remainder of 2025, and the remaining $18.1 million is expected to be purchased in 2026. The Company entered into equipment finance lease arrangements that resulted in a $6.7 million additional reduction of its outstanding cloud services commitment. See Note 12 for more information.</w:t>
      </w:r>
    </w:p>
    <w:p>
      <w:pPr>
        <w:spacing w:after="0" w:line="7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As of June 30, 2025, (i) no 2025 convertible senior notes were outstanding since they matured on June 1, 2025 and the Company settled its obligations with respect to the 2025 senior notes in cash in connection therewith, and (ii) $747.5 million of aggregate principal of the 2029 convertible senior notes was outstanding, which 2029 convertible senior notes have a maturity date of March 15, 2029. See Note 6 for more information concerning the convertible senior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matters, an unfavorable resolution of a matter could materially affect the Company’s future consolidated results of operations, cash flows or financial position in a particular period. The Company expenses legal fees as incurred. The Company is currently party to the following action:</w:t>
      </w:r>
    </w:p>
    <w:p>
      <w:pPr>
        <w:spacing w:after="0" w:line="75" w:lineRule="exact"/>
        <w:rPr>
          <w:sz w:val="20"/>
          <w:szCs w:val="20"/>
          <w:color w:val="auto"/>
        </w:rPr>
      </w:pPr>
    </w:p>
    <w:p>
      <w:pPr>
        <w:ind w:right="160" w:firstLine="445"/>
        <w:spacing w:after="0" w:line="253" w:lineRule="auto"/>
        <w:rPr>
          <w:sz w:val="20"/>
          <w:szCs w:val="20"/>
          <w:color w:val="auto"/>
        </w:rPr>
      </w:pPr>
      <w:r>
        <w:rPr>
          <w:rFonts w:ascii="Times New Roman" w:cs="Times New Roman" w:eastAsia="Times New Roman" w:hAnsi="Times New Roman"/>
          <w:sz w:val="18"/>
          <w:szCs w:val="18"/>
          <w:color w:val="auto"/>
        </w:rPr>
        <w:t>On December 4, 2024, a purported holder of the Company’s securities filed a putative class action complaint against the Company, its Chief Executive Officer, and its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the Company and its business and seeking unspecified damages on behalf of all persons and entities (subject to specified exceptions) that purchased or otherwise acquired the Company’s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filed an amended complaint on May 30, 2025. The Company filed a motion to dismiss the amended complaint on July 29, 2025. The Company cannot predict the duration or outcome of this lawsuit at this time. As a result,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Company is unable to estimate the reasonably possible loss or range of reasonably possible losses arising from this lawsuit. The Company intends to vigorously defend this lawsuit.</w:t>
      </w:r>
    </w:p>
    <w:p>
      <w:pPr>
        <w:spacing w:after="0" w:line="54"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On April 4, 2025, the parties to the derivative action jointly filed a stipulation with the court to stay the derivative action until the resolution of the motion to dismiss in the securities action, as well as any subsequent motion to dismiss any further amended complaint in the securities action. On April 8, 2025, the court approved the stay stipulation.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200" w:firstLine="445"/>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of varying scope and terms pursuant to which it agrees to indemnify customers, vendors, lessors, business partners and other parties with respect to certain matters, including losses arising out of breach of such agreements, including breach of security, services to be provided by the Company or from intellectual property infringement claims made by third parties. The Company has received indemnification demands, and will likely continue to receive demands, from customers regarding its intellectual property indemnification obligations under these contracts.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income (loss), or consolidated statements of cash flows.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Geographical Information</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has a single operating and reportable segment and manages its business activities on a consolidated basis. The Company’s single segment provides its solution through a SaaS business model. The Company generates subscription revenue from its Intelligent CX Platform, and also generates usage-based telephony revenue. The Company charges its customers monthly subscription fees for access to its solution, primarily based on the number of licenses. The Company’s AI solutions are sold to its customers on a consumption or capacity basis. The Company’s reliable, secure, and scalable Intelligent CX Platform, powered by Five9 Genius AI, delivers a comprehensive suite of easy-to-use applications that enable the breadth of customer service, sales, and marketing related functions. The Company’s chief operating decision maker (“CODM”) is its chief executive officer. The Company’s CODM reviews financial information presented on a consolidated basis for purposes of assessing financial performance and making operating decisions on how to allocate resources based on net income (loss) that is also reported on its consolidated statements of operations and comprehensive income (loss) as consolidated net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The measure of segment assets is reported on its consolidated balance sheets as total consolidated assets.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Revenue by Geographic Areas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revenues by geographic region based on customer billing address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4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224,532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498,446</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443,792</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55,304</w:t>
            </w:r>
          </w:p>
        </w:tc>
      </w:tr>
      <w:tr>
        <w:trPr>
          <w:trHeight w:val="248"/>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562,974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499,096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Long-Lived Assets, Net by Geographic Areas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total property and equipment, net in the respective locations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136,382</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w:t>
            </w:r>
          </w:p>
        </w:tc>
      </w:tr>
      <w:tr>
        <w:trPr>
          <w:trHeight w:val="248"/>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154,499</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Total purchases of property and equipment for the six months ended June 30, 2025 and 2024 are disclosed in the Company’s Consolidated Statements of Cash Flows.</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Segment Information - Consolidated Statement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980" w:type="dxa"/>
            <w:vAlign w:val="bottom"/>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2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283,269</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499,096</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cost of revenue</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(196,481)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sales and marketing</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(32,704)</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(94,306)</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(25,121)</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early extinguishment of debt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6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20" w:firstLine="8"/>
        <w:spacing w:after="0" w:line="248" w:lineRule="auto"/>
        <w:tabs>
          <w:tab w:leader="none" w:pos="145"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cost of revenue includes cost of revenue in accordance with GAAP, adjusted for depreciation and amortization, stock-based compensation, acquisition and related transaction costs and one-time integration costs, lease amortization for finance leases, and costs related to a reduction in force plan.</w:t>
      </w:r>
    </w:p>
    <w:p>
      <w:pPr>
        <w:spacing w:after="0" w:line="62" w:lineRule="exact"/>
        <w:rPr>
          <w:rFonts w:ascii="Times New Roman" w:cs="Times New Roman" w:eastAsia="Times New Roman" w:hAnsi="Times New Roman"/>
          <w:sz w:val="17"/>
          <w:szCs w:val="17"/>
          <w:color w:val="auto"/>
          <w:vertAlign w:val="superscript"/>
        </w:rPr>
      </w:pPr>
    </w:p>
    <w:p>
      <w:pPr>
        <w:ind w:right="80" w:firstLine="8"/>
        <w:spacing w:after="0" w:line="261" w:lineRule="auto"/>
        <w:tabs>
          <w:tab w:leader="none" w:pos="145"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research and development includes research and development in accordance with GAAP, adjusted for depreciation and amortization, stock-based compensation, exit costs related to the closure and relocation of the Company’s Russian operations, acquisition and related transaction costs and one-time integration costs, lease amortization for finance leases, and costs related to a reduction in force plan.</w:t>
      </w:r>
    </w:p>
    <w:p>
      <w:pPr>
        <w:spacing w:after="0" w:line="68" w:lineRule="exact"/>
        <w:rPr>
          <w:rFonts w:ascii="Times New Roman" w:cs="Times New Roman" w:eastAsia="Times New Roman" w:hAnsi="Times New Roman"/>
          <w:sz w:val="9"/>
          <w:szCs w:val="9"/>
          <w:color w:val="auto"/>
        </w:rPr>
      </w:pPr>
    </w:p>
    <w:p>
      <w:pPr>
        <w:ind w:right="280" w:firstLine="8"/>
        <w:spacing w:after="0" w:line="282" w:lineRule="auto"/>
        <w:tabs>
          <w:tab w:leader="none" w:pos="145"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sales and marketing includes sales and marketing expense in accordance with GAAP, adjusted for depreciation and amortization, stock-based compensation, and costs related to a reduction in force plan.</w:t>
      </w:r>
    </w:p>
    <w:p>
      <w:pPr>
        <w:spacing w:after="0" w:line="53" w:lineRule="exact"/>
        <w:rPr>
          <w:rFonts w:ascii="Times New Roman" w:cs="Times New Roman" w:eastAsia="Times New Roman" w:hAnsi="Times New Roman"/>
          <w:sz w:val="9"/>
          <w:szCs w:val="9"/>
          <w:color w:val="auto"/>
        </w:rPr>
      </w:pPr>
    </w:p>
    <w:p>
      <w:pPr>
        <w:ind w:right="180" w:firstLine="8"/>
        <w:spacing w:after="0" w:line="252" w:lineRule="auto"/>
        <w:tabs>
          <w:tab w:leader="none" w:pos="145"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general and administrative included general and administrative expense in accordance with GAAP, adjusted for depreciation and amortization, stock-based compensation, exit costs related to the closure and relocation of the Company’s Russian operations, acquisition and related transaction costs and one-time integration costs, one-time expenses related to strategic consulting services for operational review, other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cost-reduction and productivity initiatives, legal fees related to the securities class action, costs related to a reduction in force plan, and office closure lease termination costs.</w:t>
      </w:r>
    </w:p>
    <w:p>
      <w:pPr>
        <w:spacing w:after="0" w:line="109" w:lineRule="exact"/>
        <w:rPr>
          <w:sz w:val="20"/>
          <w:szCs w:val="20"/>
          <w:color w:val="auto"/>
        </w:rPr>
      </w:pPr>
    </w:p>
    <w:p>
      <w:pPr>
        <w:ind w:right="40" w:firstLine="8"/>
        <w:spacing w:after="0" w:line="309" w:lineRule="auto"/>
        <w:tabs>
          <w:tab w:leader="none" w:pos="132"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Other segment items included in segment net income (loss) includes stock-based compensation, exit costs related to the closure and relocation of our Russian operations, acquisition and related transaction costs and one-time integration costs, lease amortization for finance leases, one-time expenses related to strategic consulting services for operational review, other cost-reduction and productivity initiatives, legal fees related to the securities class action, costs related to a reduction in force plan, and office closure lease termination costs.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 has leases for offices, data centers and computer and networking equipment that expire at various dates through 2031. The Company’s leases have remaining terms of one to seven years, some of the leases include a Company option to extend the leases for up to one to five years, and some of the leases include the option to terminate the leases upon 30-days' notice. The Company does not separate lease and non-lease components for real estate operating leases.</w:t>
      </w:r>
    </w:p>
    <w:p>
      <w:pPr>
        <w:spacing w:after="0" w:line="72" w:lineRule="exact"/>
        <w:rPr>
          <w:sz w:val="20"/>
          <w:szCs w:val="20"/>
          <w:color w:val="auto"/>
        </w:rPr>
      </w:pPr>
    </w:p>
    <w:p>
      <w:pPr>
        <w:ind w:right="40" w:firstLine="445"/>
        <w:spacing w:after="0" w:line="289" w:lineRule="auto"/>
        <w:rPr>
          <w:sz w:val="20"/>
          <w:szCs w:val="20"/>
          <w:color w:val="auto"/>
        </w:rPr>
      </w:pPr>
      <w:r>
        <w:rPr>
          <w:rFonts w:ascii="Times New Roman" w:cs="Times New Roman" w:eastAsia="Times New Roman" w:hAnsi="Times New Roman"/>
          <w:sz w:val="17"/>
          <w:szCs w:val="17"/>
          <w:color w:val="auto"/>
        </w:rPr>
        <w:t>As the Company’s leases do not provide an implicit rate, the net present value of future minimum lease payments is determined using the Company’s incremental borrowing rate. Operating leases with a duration of 12 months or less are excluded from right-of-use assets and operating lease liabilities, and related lease payments are generally recognized on a straight-line basis over the lease term and variable lease payments are recognized as incurred.</w:t>
      </w:r>
    </w:p>
    <w:p>
      <w:pPr>
        <w:spacing w:after="0" w:line="50"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Company entered into additional three-year equipment finance lease agreements and recognized $3.9 million right of use assets during the six months ended June 30, 2025, which were reported within Finance lease right-of-use assets and are being depreciated on a straight-line basis over the lease term. As a result, the Company also recognized short-term lease liabilities of $1.3 million within Finance lease liabilities and long-term lease liabilities of $2.6 million within Finance lease liabilities - less current portion during these periods.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lease expenses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80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54"/>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62"/>
        </w:trPr>
        <w:tc>
          <w:tcPr>
            <w:tcW w:w="51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used in operating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w w:val="98"/>
              </w:rPr>
              <w:t>(6,893)</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used in finance leases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(4,671)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4,570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34"/>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8"/>
              </w:rPr>
              <w:t>3,853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6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37,433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35,225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37,071</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46,698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48,329</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20,813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rPr>
              <w:t>(20,813)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9,174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 less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10,012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19,186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19,456</w:t>
            </w:r>
          </w:p>
        </w:tc>
        <w:tc>
          <w:tcPr>
            <w:tcW w:w="0" w:type="dxa"/>
            <w:vAlign w:val="bottom"/>
          </w:tcPr>
          <w:p>
            <w:pPr>
              <w:spacing w:after="0"/>
              <w:rPr>
                <w:sz w:val="1"/>
                <w:szCs w:val="1"/>
                <w:color w:val="auto"/>
              </w:rPr>
            </w:pPr>
          </w:p>
        </w:tc>
      </w:tr>
      <w:tr>
        <w:trPr>
          <w:trHeight w:val="21"/>
        </w:trPr>
        <w:tc>
          <w:tcPr>
            <w:tcW w:w="74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Weighted average remaining terms were as follows (in years):</w:t>
            </w: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7"/>
                <w:szCs w:val="17"/>
                <w:color w:val="auto"/>
              </w:rPr>
            </w:pPr>
          </w:p>
        </w:tc>
        <w:tc>
          <w:tcPr>
            <w:tcW w:w="16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left="1153"/>
              <w:spacing w:after="0"/>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1153"/>
              <w:spacing w:after="0"/>
              <w:rPr>
                <w:sz w:val="20"/>
                <w:szCs w:val="20"/>
                <w:color w:val="auto"/>
              </w:rPr>
            </w:pPr>
            <w:r>
              <w:rPr>
                <w:rFonts w:ascii="Times New Roman" w:cs="Times New Roman" w:eastAsia="Times New Roman" w:hAnsi="Times New Roman"/>
                <w:sz w:val="18"/>
                <w:szCs w:val="18"/>
                <w:color w:val="auto"/>
                <w:w w:val="97"/>
              </w:rPr>
              <w:t>2.2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05"/>
        </w:trPr>
        <w:tc>
          <w:tcPr>
            <w:tcW w:w="7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Weighted average discount rates were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7"/>
                <w:szCs w:val="17"/>
                <w:color w:val="auto"/>
              </w:rPr>
            </w:pPr>
          </w:p>
        </w:tc>
        <w:tc>
          <w:tcPr>
            <w:tcW w:w="16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left="833"/>
              <w:spacing w:after="0"/>
              <w:rPr>
                <w:sz w:val="20"/>
                <w:szCs w:val="20"/>
                <w:color w:val="auto"/>
              </w:rPr>
            </w:pPr>
            <w:r>
              <w:rPr>
                <w:rFonts w:ascii="Times New Roman" w:cs="Times New Roman" w:eastAsia="Times New Roman" w:hAnsi="Times New Roman"/>
                <w:sz w:val="18"/>
                <w:szCs w:val="18"/>
                <w:color w:val="auto"/>
                <w:w w:val="99"/>
              </w:rPr>
              <w:t>4.3 %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33"/>
              <w:spacing w:after="0"/>
              <w:rPr>
                <w:sz w:val="20"/>
                <w:szCs w:val="20"/>
                <w:color w:val="auto"/>
              </w:rPr>
            </w:pPr>
            <w:r>
              <w:rPr>
                <w:rFonts w:ascii="Times New Roman" w:cs="Times New Roman" w:eastAsia="Times New Roman" w:hAnsi="Times New Roman"/>
                <w:sz w:val="18"/>
                <w:szCs w:val="18"/>
                <w:color w:val="auto"/>
                <w:w w:val="99"/>
              </w:rPr>
              <w:t>5.8 %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419"/>
        </w:trPr>
        <w:tc>
          <w:tcPr>
            <w:tcW w:w="74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Maturities of lease liabilities were as follows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7"/>
                <w:szCs w:val="17"/>
                <w:color w:val="auto"/>
              </w:rPr>
            </w:pPr>
          </w:p>
        </w:tc>
        <w:tc>
          <w:tcPr>
            <w:tcW w:w="16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74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center"/>
              <w:ind w:left="1013"/>
              <w:spacing w:after="0"/>
              <w:rPr>
                <w:sz w:val="20"/>
                <w:szCs w:val="20"/>
                <w:color w:val="auto"/>
              </w:rPr>
            </w:pPr>
            <w:r>
              <w:rPr>
                <w:rFonts w:ascii="Times New Roman" w:cs="Times New Roman" w:eastAsia="Times New Roman" w:hAnsi="Times New Roman"/>
                <w:sz w:val="18"/>
                <w:szCs w:val="18"/>
                <w:color w:val="auto"/>
                <w:w w:val="98"/>
              </w:rPr>
              <w:t>(4,569)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46,698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entered into an additional operating lease that commenced on July 1, 2025, representing a total commitment over its term of approximately $3.8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10080"/>
        <w:spacing w:after="0"/>
        <w:rPr>
          <w:sz w:val="20"/>
          <w:szCs w:val="20"/>
          <w:color w:val="auto"/>
        </w:rPr>
      </w:pPr>
      <w:r>
        <w:rPr>
          <w:rFonts w:ascii="Times New Roman" w:cs="Times New Roman" w:eastAsia="Times New Roman" w:hAnsi="Times New Roman"/>
          <w:sz w:val="18"/>
          <w:szCs w:val="18"/>
          <w:b w:val="1"/>
          <w:bCs w:val="1"/>
          <w:color w:val="auto"/>
        </w:rPr>
        <w:t>13. Acquisition</w:t>
      </w:r>
    </w:p>
    <w:p>
      <w:pPr>
        <w:spacing w:after="0" w:line="171" w:lineRule="exact"/>
        <w:rPr>
          <w:sz w:val="20"/>
          <w:szCs w:val="20"/>
          <w:color w:val="auto"/>
        </w:rPr>
      </w:pPr>
    </w:p>
    <w:p>
      <w:pPr>
        <w:jc w:val="right"/>
        <w:ind w:right="10080"/>
        <w:spacing w:after="0"/>
        <w:rPr>
          <w:sz w:val="20"/>
          <w:szCs w:val="20"/>
          <w:color w:val="auto"/>
        </w:rPr>
      </w:pPr>
      <w:r>
        <w:rPr>
          <w:rFonts w:ascii="Times New Roman" w:cs="Times New Roman" w:eastAsia="Times New Roman" w:hAnsi="Times New Roman"/>
          <w:sz w:val="18"/>
          <w:szCs w:val="18"/>
          <w:b w:val="1"/>
          <w:bCs w:val="1"/>
          <w:i w:val="1"/>
          <w:iCs w:val="1"/>
          <w:color w:val="auto"/>
        </w:rPr>
        <w:t>Acqueon</w:t>
      </w:r>
    </w:p>
    <w:p>
      <w:pPr>
        <w:spacing w:after="0" w:line="121" w:lineRule="exact"/>
        <w:rPr>
          <w:sz w:val="20"/>
          <w:szCs w:val="20"/>
          <w:color w:val="auto"/>
        </w:rPr>
      </w:pPr>
    </w:p>
    <w:p>
      <w:pPr>
        <w:ind w:right="320" w:firstLine="486"/>
        <w:spacing w:after="0" w:line="250" w:lineRule="auto"/>
        <w:rPr>
          <w:sz w:val="20"/>
          <w:szCs w:val="20"/>
          <w:color w:val="auto"/>
        </w:rPr>
      </w:pPr>
      <w:r>
        <w:rPr>
          <w:rFonts w:ascii="Times New Roman" w:cs="Times New Roman" w:eastAsia="Times New Roman" w:hAnsi="Times New Roman"/>
          <w:sz w:val="18"/>
          <w:szCs w:val="18"/>
          <w:color w:val="auto"/>
        </w:rPr>
        <w:t>On August 27, 2024, the Company acquired all of the issued and outstanding shares of capital stock of Acqueon for total consideration of approximately $173.8 million. This acquisition, which was accounted for as a business combination, is intended to build on the pre-existing partnership between the companies, and to extend the Company's AI-powered CX platform by adding omnichannel proactive customer engagement to expand the Company's outbound capabilities.</w:t>
      </w:r>
    </w:p>
    <w:p>
      <w:pPr>
        <w:spacing w:after="0" w:line="123"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color w:val="auto"/>
        </w:rPr>
        <w:t>The excess of the purchase price over identifiable intangible assets and net tangible assets in the amount of $139.4 million was allocated to goodwill, which is not deductible for tax purposes. The fair values assigned to assets acquired and liabilities assumed are based on management’s best estimates and assumptions as of the acquisition date and are considered preliminary pending finalization of valuation analyses pertaining to intangible assets acquired, liabilities assumed and tax liabilities assumed. During the measurement period, which may be up to one year from the acquisition date, the Company may record adjustments to the fair value of these tangible and intangible assets acquired and liabilities assumed, with the corresponding offset to goodwill. The Company recorded adjustments of less than $0.1 million and $1.3 million within the one year from acquisition date measurement period for 2024 and for the six months ended June 30, 2025,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preliminary allocation of the purchase price at the acquisition date (in thousands):</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9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assets acquired</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technology</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139,429</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196,882</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(17,997)</w:t>
            </w:r>
          </w:p>
        </w:tc>
      </w:tr>
      <w:tr>
        <w:trPr>
          <w:trHeight w:val="248"/>
        </w:trPr>
        <w:tc>
          <w:tcPr>
            <w:tcW w:w="9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w:t>
      </w:r>
    </w:p>
    <w:p>
      <w:pPr>
        <w:spacing w:after="0" w:line="9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this acquisition, the Company incurred total acquisition-related transaction costs of $7.9 million during 2024, and incurred no additional costs during the six months ended June 30, 2025, that have been expensed as incurred and included in general and administrative expenses in the consolidated statements of operations and comprehensive income (loss).</w:t>
      </w:r>
    </w:p>
    <w:p>
      <w:pPr>
        <w:spacing w:after="0" w:line="108"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results of operations of this acquisition are included in the accompanying consolidated statements of operations and comprehensive income (loss) from the date of acquisition and are not material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Restructurings</w:t>
      </w:r>
    </w:p>
    <w:p>
      <w:pPr>
        <w:spacing w:after="0" w:line="108"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On August 20, 2024, the Company announced a reduction in force plan (the “2024 Plan”) as part of its broader efforts to drive balanced, profitable growth, further supporting its positive, long-term outlook and focus on increasing stockholder value. The 2024 Plan reduced the Company’s global full-time employees by approximately 6%. For the year ended December 31, 2024, the Company incurred a total of $9.6 million in restructuring costs under the 2024 Plan, primarily consisting of notice period payments, severance payments, employee benefits and related costs, all of which are cash expenditures, of which $2.1 million was recorded in cost of revenue, $1.9 million was recorded in research and development expenses, $4.4 million was recorded in sales and marketing expenses, and $1.2 million was recorded in general and administrative expenses on the consolidated statements of operations and comprehensive income (loss). As of June 30, 2025, $9.4 million had been paid and the remaining $0.2 million was recorded within Accrued and other current liabilities in the consolidated balance sheets and is expected to be mostly paid in the second half of 2025. Other than as set forth herein, the Company does not expect to incur any additional costs under the 2024 Plan.</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March 31, 2025, the Board of Directors of the Company approved a reduction in force plan (the “2025 Plan”) as part of its broader efforts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prioritize investments in key strategic areas, including artificial intelligence, as well as to drive profitable growth in supporting its positive, long-term</w:t>
      </w:r>
    </w:p>
    <w:p>
      <w:pPr>
        <w:spacing w:after="0" w:line="234" w:lineRule="auto"/>
        <w:rPr>
          <w:sz w:val="20"/>
          <w:szCs w:val="20"/>
          <w:color w:val="auto"/>
        </w:rPr>
      </w:pPr>
      <w:r>
        <w:rPr>
          <w:rFonts w:ascii="Times New Roman" w:cs="Times New Roman" w:eastAsia="Times New Roman" w:hAnsi="Times New Roman"/>
          <w:sz w:val="18"/>
          <w:szCs w:val="18"/>
          <w:color w:val="auto"/>
        </w:rPr>
        <w:t>outlook and increasing stockholder value. On April 3, 2025, the Company commenced execution of the 2025 Plan, which resulted in the reduction of the</w:t>
      </w:r>
    </w:p>
    <w:p>
      <w:pPr>
        <w:spacing w:after="0" w:line="235" w:lineRule="auto"/>
        <w:rPr>
          <w:sz w:val="20"/>
          <w:szCs w:val="20"/>
          <w:color w:val="auto"/>
        </w:rPr>
      </w:pPr>
      <w:r>
        <w:rPr>
          <w:rFonts w:ascii="Times New Roman" w:cs="Times New Roman" w:eastAsia="Times New Roman" w:hAnsi="Times New Roman"/>
          <w:sz w:val="18"/>
          <w:szCs w:val="18"/>
          <w:color w:val="auto"/>
        </w:rPr>
        <w:t>Company’s global full-time employees by approximately 4%. During the three and six months ended June 30, 2025, the Company incurred a total of</w:t>
      </w:r>
    </w:p>
    <w:p>
      <w:pPr>
        <w:spacing w:after="0" w:line="235" w:lineRule="auto"/>
        <w:rPr>
          <w:sz w:val="20"/>
          <w:szCs w:val="20"/>
          <w:color w:val="auto"/>
        </w:rPr>
      </w:pPr>
      <w:r>
        <w:rPr>
          <w:rFonts w:ascii="Times New Roman" w:cs="Times New Roman" w:eastAsia="Times New Roman" w:hAnsi="Times New Roman"/>
          <w:sz w:val="18"/>
          <w:szCs w:val="18"/>
          <w:color w:val="auto"/>
        </w:rPr>
        <w:t>$7.8 million in restructuring costs under the 2025 Plan, primarily consisting of notice period payments, severance payments, employee benefits and related</w:t>
      </w:r>
    </w:p>
    <w:p>
      <w:pPr>
        <w:spacing w:after="0" w:line="235" w:lineRule="auto"/>
        <w:rPr>
          <w:sz w:val="20"/>
          <w:szCs w:val="20"/>
          <w:color w:val="auto"/>
        </w:rPr>
      </w:pPr>
      <w:r>
        <w:rPr>
          <w:rFonts w:ascii="Times New Roman" w:cs="Times New Roman" w:eastAsia="Times New Roman" w:hAnsi="Times New Roman"/>
          <w:sz w:val="18"/>
          <w:szCs w:val="18"/>
          <w:color w:val="auto"/>
        </w:rPr>
        <w:t>costs, all of which are cash expenditures, of which $1.6 million was recorded in cost of revenue, $1.9 million was recorded in research and development</w:t>
      </w:r>
    </w:p>
    <w:p>
      <w:pPr>
        <w:spacing w:after="0" w:line="235" w:lineRule="auto"/>
        <w:rPr>
          <w:sz w:val="20"/>
          <w:szCs w:val="20"/>
          <w:color w:val="auto"/>
        </w:rPr>
      </w:pPr>
      <w:r>
        <w:rPr>
          <w:rFonts w:ascii="Times New Roman" w:cs="Times New Roman" w:eastAsia="Times New Roman" w:hAnsi="Times New Roman"/>
          <w:sz w:val="18"/>
          <w:szCs w:val="18"/>
          <w:color w:val="auto"/>
        </w:rPr>
        <w:t>expenses, $3.3 million was recorded in sales and marketing expenses, and $1.0 million was recorded in general and administrative expenses on the</w:t>
      </w:r>
    </w:p>
    <w:p>
      <w:pPr>
        <w:spacing w:after="0" w:line="234" w:lineRule="auto"/>
        <w:rPr>
          <w:sz w:val="20"/>
          <w:szCs w:val="20"/>
          <w:color w:val="auto"/>
        </w:rPr>
      </w:pPr>
      <w:r>
        <w:rPr>
          <w:rFonts w:ascii="Times New Roman" w:cs="Times New Roman" w:eastAsia="Times New Roman" w:hAnsi="Times New Roman"/>
          <w:sz w:val="18"/>
          <w:szCs w:val="18"/>
          <w:color w:val="auto"/>
        </w:rPr>
        <w:t>consolidated statements of operations and comprehensive income (loss). As of June 30, 2025, $7.5 million had been paid and the remaining $0.3 million</w:t>
      </w:r>
    </w:p>
    <w:p>
      <w:pPr>
        <w:spacing w:after="0" w:line="235" w:lineRule="auto"/>
        <w:rPr>
          <w:sz w:val="20"/>
          <w:szCs w:val="20"/>
          <w:color w:val="auto"/>
        </w:rPr>
      </w:pPr>
      <w:r>
        <w:rPr>
          <w:rFonts w:ascii="Times New Roman" w:cs="Times New Roman" w:eastAsia="Times New Roman" w:hAnsi="Times New Roman"/>
          <w:sz w:val="18"/>
          <w:szCs w:val="18"/>
          <w:color w:val="auto"/>
        </w:rPr>
        <w:t>was recorded within Accrued and other current liabilities in the consolidated balance sheets and is expected to be mostly paid in the second half of 2025.</w:t>
      </w:r>
    </w:p>
    <w:p>
      <w:pPr>
        <w:spacing w:after="0" w:line="235"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also incurred an additional $2.1 million in stock-based compensation costs related to</w:t>
      </w:r>
    </w:p>
    <w:p>
      <w:pPr>
        <w:spacing w:after="0" w:line="219" w:lineRule="auto"/>
        <w:rPr>
          <w:sz w:val="20"/>
          <w:szCs w:val="20"/>
          <w:color w:val="auto"/>
        </w:rPr>
      </w:pPr>
      <w:r>
        <w:rPr>
          <w:rFonts w:ascii="Times New Roman" w:cs="Times New Roman" w:eastAsia="Times New Roman" w:hAnsi="Times New Roman"/>
          <w:sz w:val="18"/>
          <w:szCs w:val="18"/>
          <w:color w:val="auto"/>
        </w:rPr>
        <w:t>the 2025 Plan due to additional vesting of share-based awards, of which $0.3 million was recorded in cost of revenue, $0.5 million was recorded in research</w:t>
      </w:r>
    </w:p>
    <w:p>
      <w:pPr>
        <w:spacing w:after="0" w:line="235" w:lineRule="auto"/>
        <w:rPr>
          <w:sz w:val="20"/>
          <w:szCs w:val="20"/>
          <w:color w:val="auto"/>
        </w:rPr>
      </w:pPr>
      <w:r>
        <w:rPr>
          <w:rFonts w:ascii="Times New Roman" w:cs="Times New Roman" w:eastAsia="Times New Roman" w:hAnsi="Times New Roman"/>
          <w:sz w:val="18"/>
          <w:szCs w:val="18"/>
          <w:color w:val="auto"/>
        </w:rPr>
        <w:t>and development expenses, $1.1 million was recorded in sales and marketing expenses, and $0.2 million was recorded in general and administrative</w:t>
      </w:r>
    </w:p>
    <w:p>
      <w:pPr>
        <w:spacing w:after="0" w:line="235" w:lineRule="auto"/>
        <w:rPr>
          <w:sz w:val="20"/>
          <w:szCs w:val="20"/>
          <w:color w:val="auto"/>
        </w:rPr>
      </w:pPr>
      <w:r>
        <w:rPr>
          <w:rFonts w:ascii="Times New Roman" w:cs="Times New Roman" w:eastAsia="Times New Roman" w:hAnsi="Times New Roman"/>
          <w:sz w:val="18"/>
          <w:szCs w:val="18"/>
          <w:color w:val="auto"/>
        </w:rPr>
        <w:t>expenses on the consolidated statements of operations and comprehensive income (loss). Other than as set forth herein, the Company does not expect to</w:t>
      </w:r>
    </w:p>
    <w:p>
      <w:pPr>
        <w:spacing w:after="0"/>
        <w:rPr>
          <w:sz w:val="20"/>
          <w:szCs w:val="20"/>
          <w:color w:val="auto"/>
        </w:rPr>
      </w:pPr>
      <w:r>
        <w:rPr>
          <w:rFonts w:ascii="Times New Roman" w:cs="Times New Roman" w:eastAsia="Times New Roman" w:hAnsi="Times New Roman"/>
          <w:sz w:val="18"/>
          <w:szCs w:val="18"/>
          <w:color w:val="auto"/>
        </w:rPr>
        <w:t>incur any additional costs under the 2025 Plan.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121"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H.R.1, the One Big Beautiful Bill Act, was signed into law on July 4, 2025 (the “OBBBA”), introducing significant changes to the U.S. tax code, including the reinstatement of 100% bonus depreciation, the immediate expensing of domestic research and development expenditures under Section 174A, and modifications to the Section 163(j) interest deduction limitation, which may impact the Company's effective tax rate beginning in the third quarter of 2025. As the enactment occurred after the end of the Company's second fiscal quarter, the effects of the OBBBA are not reflected in its Q2 financial statements. However, the Company is currently evaluating the anticipated impact of the legislation on its tax position, cash flows, and capital allocation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condensed consolidated financial statements and notes thereto included elsewhere in this Quarterly Report on Form 10-Q and our Annual Report on Form 10-K for the year ended December 31,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are a leading provider of intelligent cloud contact centers with more than 3,000 customers. We believe we achieved this leadership position through our expertise and technology, which has empowered us to help organizations of all sizes transition from legacy on-premises contact center systems to our cloud solution. Our solution, comprised of our Intelligent CX Platform and applications, allows simultaneous management and optimization of customer interactions across voice, chat, email, web, social media and mobile channels, either directly or through our APIs. Our Intelligent CX Platform, powered by Five9 Genius AI, matches each customer interaction with an appropriate agent resource and delivers relevant customer data to the agent in real-time through integrations with adjacent enterprise applications, such as CRM software, to optimize the customer experience and improve agent productivity. Unlike legacy on-premises contact center systems, our solution requires minimal up-front investment, can be rapidly deployed and adjusted depending on our customer’s requirements.</w:t>
      </w:r>
    </w:p>
    <w:p>
      <w:pPr>
        <w:spacing w:after="0" w:line="8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Since founding our business in 2001, we have focused exclusively on delivering cloud contact center software. We initially targeted smaller contact center opportunities with our telesales team and, over time, invested in expanding the breadth and depth of the functionality of our cloud platform to meet the evolving requirements of our customers. In 2009, we made a strategic decision to expand our market opportunity to include larger contact centers. This decision drove further investments in research and development and the establishment of our field sales team to meet the requirements of these larger contact centers. We believe this shift has helped us diversify our customer base, while significantly enhancing our opportunity for future revenue growth. In 2018, we started including AI enhancements to our platform, and AI is now embedded throughout our platform. To complement these efforts, we have also focused on building customer awareness and driving adoption of our solution through marketing activities, which include internet advertising, digital marketing campaigns, social media, trade shows, industry events, telemarketing and out of home campaigns.</w:t>
      </w:r>
    </w:p>
    <w:p>
      <w:pPr>
        <w:spacing w:after="0" w:line="70" w:lineRule="exact"/>
        <w:rPr>
          <w:sz w:val="20"/>
          <w:szCs w:val="20"/>
          <w:color w:val="auto"/>
        </w:rPr>
      </w:pPr>
    </w:p>
    <w:p>
      <w:pPr>
        <w:ind w:right="120" w:firstLine="445"/>
        <w:spacing w:after="0" w:line="236" w:lineRule="auto"/>
        <w:rPr>
          <w:sz w:val="20"/>
          <w:szCs w:val="20"/>
          <w:color w:val="auto"/>
        </w:rPr>
      </w:pPr>
      <w:r>
        <w:rPr>
          <w:rFonts w:ascii="Times New Roman" w:cs="Times New Roman" w:eastAsia="Times New Roman" w:hAnsi="Times New Roman"/>
          <w:sz w:val="18"/>
          <w:szCs w:val="18"/>
          <w:color w:val="auto"/>
        </w:rPr>
        <w:t>We provide our solution through a software-as-a-service, or SaaS, business model. We generate subscription revenue from our Intelligent CX Platform, and also generate usage-based telephony revenue. We charge our customers monthly subscription fees for access to our Intelligent CX Platform, primarily based on the number of licenses, as well as on a consumption or capacity basis for our AI solutions. Our customers generally purchase both subscriptions and related telephony usage from us. However, a growing number of our customers subscribe to our platform but purchase telephony usage directly from wholesale telecommunications service providers. 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Subscription fees are generally billed monthly in advance, while related usage fees are billed in arrears. For each of the three and six months ended June 30, 2025, subscription and related usage fees accounted for 93% of our revenue. For the three and six months ended June 30, 2024, subscription and related usage fees accounted for 91% and 92% of our revenue, respectively. The remainder was comprised of professional services revenue from the implementation and optimization of our solution.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12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are subject to risks and exposures, including continued macroeconomic challenges, the impact of global tariff increases and potential future increases and announcements regarding same, the Russia-Ukraine conflict and the conflicts in the Middle East. While the implications of macroeconomic challenges, and global and regional conflicts on our business, results of operations and overall financial position remain uncertain over the long term, we expect that macroeconomic challenges will continue to have an adverse impact on our revenue in future periods.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in Force Plans</w:t>
      </w:r>
    </w:p>
    <w:p>
      <w:pPr>
        <w:spacing w:after="0" w:line="121" w:lineRule="exact"/>
        <w:rPr>
          <w:sz w:val="20"/>
          <w:szCs w:val="20"/>
          <w:color w:val="auto"/>
        </w:rPr>
      </w:pPr>
    </w:p>
    <w:p>
      <w:pPr>
        <w:ind w:right="60" w:firstLine="486"/>
        <w:spacing w:after="0" w:line="239" w:lineRule="auto"/>
        <w:rPr>
          <w:sz w:val="20"/>
          <w:szCs w:val="20"/>
          <w:color w:val="auto"/>
        </w:rPr>
      </w:pPr>
      <w:r>
        <w:rPr>
          <w:rFonts w:ascii="Times New Roman" w:cs="Times New Roman" w:eastAsia="Times New Roman" w:hAnsi="Times New Roman"/>
          <w:sz w:val="18"/>
          <w:szCs w:val="18"/>
          <w:color w:val="auto"/>
        </w:rPr>
        <w:t>In August 2024, we announced a reduction in force plan, or the 2024 Plan, as part of our broader efforts to drive balanced, profitable growth, further supporting our positive, long-term outlook and focus on increasing stockholder value. The 2024 Plan reduced our global full-time employees by approximately 6%. For the year ended December 31, 2024, we incurred a total of $9.6 million in restructuring costs under the 2024 Plan, primarily consisting of notice period payments, severance payments, employee benefits and related costs, all of which were cash expenditures, of which $2.1 million was recorded in cost of revenue, $1.9 million was recorded in research 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expenses, $4.4 million was recorded in sales and marketing expenses, and $1.2 million was recorded in general and administrative expenses.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expect to incur any additional costs under the 2024 Plan.</w:t>
      </w:r>
    </w:p>
    <w:p>
      <w:pPr>
        <w:spacing w:after="0" w:line="84" w:lineRule="exact"/>
        <w:rPr>
          <w:sz w:val="20"/>
          <w:szCs w:val="20"/>
          <w:color w:val="auto"/>
        </w:rPr>
      </w:pPr>
    </w:p>
    <w:p>
      <w:pPr>
        <w:ind w:right="80" w:firstLine="486"/>
        <w:spacing w:after="0" w:line="236" w:lineRule="auto"/>
        <w:rPr>
          <w:sz w:val="20"/>
          <w:szCs w:val="20"/>
          <w:color w:val="auto"/>
        </w:rPr>
      </w:pPr>
      <w:r>
        <w:rPr>
          <w:rFonts w:ascii="Times New Roman" w:cs="Times New Roman" w:eastAsia="Times New Roman" w:hAnsi="Times New Roman"/>
          <w:sz w:val="18"/>
          <w:szCs w:val="18"/>
          <w:color w:val="auto"/>
        </w:rPr>
        <w:t>On March 31, 2025, our Board of Directors approved a reduction in force plan, or the 2025 Plan, as part of our broader efforts to prioritize investments in key strategic areas, including artificial intelligence, as well as to drive profitable growth in supporting our positive, long-term outlook and increasing stockholder value. On April 3, 2025, we commenced execution of the 2025 Plan, which resulted in the reduction of our global full-time employees by approximately 4%. During the three and six months ended June 30, 2025, we incurred a total of $7.8 million in restructuring costs under the 2025 Plan, primarily consisting of notice period payments, severance payments, employee benefits and related costs, all of which are cash expenditures, of which $1.6 million was recorded in cost of revenue, $1.9 million was recorded in research and development expenses, $3.3 million was recorded in sales and marketing expenses, and $1.0 million was recorded in general and administrative expenses on the consolidated statements of operations and comprehensive income (loss). During the three and six months ended June 30, 2025, we also incurred an additional $2.1 million in stock-based compensation costs related to the 2025 Plan due to additional vesting of share-based awards, of which $0.3 million was recorded in cost of revenue, $0.5 million was recorded in research and development expenses, $1.1 million was recorded in sales and marketing expenses, and $0.2 million was recorded in general and administrative expenses on the consolidated statements of operations and comprehensive income (loss). We do not expect to incur any additional costs under the 2025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GAAP Operating Results</w:t>
      </w:r>
    </w:p>
    <w:p>
      <w:pPr>
        <w:spacing w:after="0" w:line="175"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Our revenue increased to $283.3 million and $563.0 million for the three and six months ended June 30, 2025 from $252.1 million and $499.1 million for the three and six months ended June 30, 2024. Revenue growth was primarily attributable to our larger customers, driven by an increase in our sales and marketing activities and our improved brand awareness. For each of the three and six months ended June 30, 2025 and 2024, no single customer accounted for more than 10% of our total revenue. As of June 30, 2025, we had over 3,000 customers across multiple industries with a wide range of license sizes. We had net income of $1.2 million and $1.7 million in the three and six months ended June 30, 2025, compared to net losses of $12.8 million and $19.9 million in the three and six months ended June 30, 2024.</w:t>
      </w:r>
    </w:p>
    <w:p>
      <w:pPr>
        <w:spacing w:after="0" w:line="66" w:lineRule="exact"/>
        <w:rPr>
          <w:sz w:val="20"/>
          <w:szCs w:val="20"/>
          <w:color w:val="auto"/>
        </w:rPr>
      </w:pPr>
    </w:p>
    <w:p>
      <w:pPr>
        <w:ind w:right="60" w:firstLine="445"/>
        <w:spacing w:after="0"/>
        <w:rPr>
          <w:sz w:val="20"/>
          <w:szCs w:val="20"/>
          <w:color w:val="auto"/>
        </w:rPr>
      </w:pPr>
      <w:r>
        <w:rPr>
          <w:rFonts w:ascii="Times New Roman" w:cs="Times New Roman" w:eastAsia="Times New Roman" w:hAnsi="Times New Roman"/>
          <w:sz w:val="18"/>
          <w:szCs w:val="18"/>
          <w:color w:val="auto"/>
        </w:rPr>
        <w:t>We have continued to make significant expenditures and investments, including in sales and marketing, research and development, infrastructure and investments in complementary businesses, technologies and intellectual property rights. We primarily evaluate the success of our business based on revenue growth and the efficiency and effectiveness of our investments. The growth of our business and our future success depend on many factors, including our ability to continue to expand our base of larger customers, grow revenue from our existing customers, innovate and expand internationally. While these areas represent significant opportunities for us, they also pose risks and challenges that we must successfully address, including the impact of continued macroeconomic challenges, the impact of global tariff increases and potential future increases and announcements regarding same, the Russia-Ukraine conflict and the conflicts in the Middle East, in order to successfully grow our business and improve our operating results.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Performance Metrics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Annual Dollar-Based Retention Rate</w:t>
      </w:r>
    </w:p>
    <w:p>
      <w:pPr>
        <w:spacing w:after="0" w:line="175"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believe that our Annual Dollar-Based Retention Rate provides insight into our ability to retain and grow revenue from our customers, and is a measure of the long-term value of our customer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as recurring net revenue from all customers in the comparable prior year period, and we define Retained Net Revenue as recurring net revenue from that same group of customers in the current period. We define recurring net revenue as net subscription and related usage revenue.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Annual Dollar-Based Retention Rate based on Net Revenue for the periods presented:</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380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3"/>
        </w:trPr>
        <w:tc>
          <w:tcPr>
            <w:tcW w:w="74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9"/>
        </w:trPr>
        <w:tc>
          <w:tcPr>
            <w:tcW w:w="7420" w:type="dxa"/>
            <w:vAlign w:val="bottom"/>
          </w:tcPr>
          <w:p>
            <w:pPr>
              <w:spacing w:after="0"/>
              <w:rPr>
                <w:sz w:val="16"/>
                <w:szCs w:val="16"/>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Annual Dollar-Based Retention Rate</w:t>
            </w:r>
          </w:p>
        </w:tc>
        <w:tc>
          <w:tcPr>
            <w:tcW w:w="1780" w:type="dxa"/>
            <w:vAlign w:val="bottom"/>
            <w:tcBorders>
              <w:top w:val="single" w:sz="8" w:color="auto"/>
            </w:tcBorders>
          </w:tcPr>
          <w:p>
            <w:pPr>
              <w:jc w:val="right"/>
              <w:ind w:right="602"/>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0"/>
                <w:szCs w:val="20"/>
                <w:color w:val="auto"/>
              </w:rPr>
            </w:pPr>
          </w:p>
        </w:tc>
        <w:tc>
          <w:tcPr>
            <w:tcW w:w="176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rPr>
              <w:t>108%</w:t>
            </w:r>
          </w:p>
        </w:tc>
      </w:tr>
    </w:tbl>
    <w:p>
      <w:pPr>
        <w:spacing w:after="0" w:line="17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Our Dollar-Based Retention Rate remained at the same level year-over-year, reflecting a combination of factors, including continued macroeconomic headwinds, as well as year-over-year challenges related to seasonal decreases in our consumer and healthcare vertical markets and a single large new customer ramping throughout 2024, offset by ongoing momentum in AI and expansions of larger existing customers.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79"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income (loss). We calculate adjusted EBITDA as net income (loss) before (1) depreciation and amortization, (2) stock-based compensation, (3) interest expense, (4) gain on early extinguishment of debt, (5) interest income and other, (6) exit costs related to the closure and relocation of our Russian operations, (7) acquisition and related transaction costs and one-time integration costs, (8) lease amortization for finance leases, (9) costs related to a reduction in force plan, (10) one-time expenses related to strategic consulting services for operational review, (11) other cost-reduction and productivity initiatives, (12) legal fees related to the securities class action, (13) office closure lease termination costs, (14) provision for income taxes, and (15) other items that do not directly affect what we consider to be our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a reconciliation of net income (loss) to adjusted EBITDA for the periods presented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3160" w:type="dxa"/>
            <w:vAlign w:val="bottom"/>
            <w:gridSpan w:val="4"/>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2"/>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(12,816)</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(19,893)</w:t>
            </w:r>
          </w:p>
        </w:tc>
        <w:tc>
          <w:tcPr>
            <w:tcW w:w="0" w:type="dxa"/>
            <w:vAlign w:val="bottom"/>
          </w:tcPr>
          <w:p>
            <w:pPr>
              <w:spacing w:after="0"/>
              <w:rPr>
                <w:sz w:val="1"/>
                <w:szCs w:val="1"/>
                <w:color w:val="auto"/>
              </w:rPr>
            </w:pP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adjustments: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25,121</w:t>
            </w:r>
          </w:p>
        </w:tc>
        <w:tc>
          <w:tcPr>
            <w:tcW w:w="0" w:type="dxa"/>
            <w:vAlign w:val="bottom"/>
          </w:tcPr>
          <w:p>
            <w:pPr>
              <w:spacing w:after="0"/>
              <w:rPr>
                <w:sz w:val="1"/>
                <w:szCs w:val="1"/>
                <w:color w:val="auto"/>
              </w:rPr>
            </w:pPr>
          </w:p>
        </w:tc>
      </w:tr>
      <w:tr>
        <w:trPr>
          <w:trHeight w:val="203"/>
        </w:trPr>
        <w:tc>
          <w:tcPr>
            <w:tcW w:w="424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41,859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81,104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88,316</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w:t>
            </w:r>
          </w:p>
        </w:tc>
        <w:tc>
          <w:tcPr>
            <w:tcW w:w="0" w:type="dxa"/>
            <w:vAlign w:val="bottom"/>
          </w:tcPr>
          <w:p>
            <w:pPr>
              <w:spacing w:after="0"/>
              <w:rPr>
                <w:sz w:val="1"/>
                <w:szCs w:val="1"/>
                <w:color w:val="auto"/>
              </w:rPr>
            </w:pPr>
          </w:p>
        </w:tc>
      </w:tr>
      <w:tr>
        <w:trPr>
          <w:trHeight w:val="195"/>
        </w:trPr>
        <w:tc>
          <w:tcPr>
            <w:tcW w:w="4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24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 and other</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(24,359)</w:t>
            </w:r>
          </w:p>
        </w:tc>
        <w:tc>
          <w:tcPr>
            <w:tcW w:w="0" w:type="dxa"/>
            <w:vAlign w:val="bottom"/>
          </w:tcPr>
          <w:p>
            <w:pPr>
              <w:spacing w:after="0"/>
              <w:rPr>
                <w:sz w:val="1"/>
                <w:szCs w:val="1"/>
                <w:color w:val="auto"/>
              </w:rPr>
            </w:pPr>
          </w:p>
        </w:tc>
      </w:tr>
      <w:tr>
        <w:trPr>
          <w:trHeight w:val="195"/>
        </w:trPr>
        <w:tc>
          <w:tcPr>
            <w:tcW w:w="4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Exit costs related to closure and relocation of Russian operations</w:t>
            </w:r>
          </w:p>
        </w:tc>
        <w:tc>
          <w:tcPr>
            <w:tcW w:w="24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6"/>
        </w:trPr>
        <w:tc>
          <w:tcPr>
            <w:tcW w:w="424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Acquisition and related transaction costs and one-time</w:t>
            </w:r>
          </w:p>
        </w:tc>
        <w:tc>
          <w:tcPr>
            <w:tcW w:w="24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integration costs</w:t>
            </w:r>
          </w:p>
        </w:tc>
        <w:tc>
          <w:tcPr>
            <w:tcW w:w="24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amortization for finance leases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Costs related to a reduction in force plan</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2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One-time expenses related to strategic consulting services for</w:t>
            </w:r>
          </w:p>
        </w:tc>
        <w:tc>
          <w:tcPr>
            <w:tcW w:w="240" w:type="dxa"/>
            <w:vAlign w:val="bottom"/>
          </w:tcPr>
          <w:p>
            <w:pPr>
              <w:spacing w:after="0"/>
              <w:rPr>
                <w:sz w:val="12"/>
                <w:szCs w:val="12"/>
                <w:color w:val="auto"/>
              </w:rPr>
            </w:pPr>
          </w:p>
        </w:tc>
        <w:tc>
          <w:tcPr>
            <w:tcW w:w="15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5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operational review</w:t>
            </w:r>
          </w:p>
        </w:tc>
        <w:tc>
          <w:tcPr>
            <w:tcW w:w="2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cost-reduction and productivity initiatives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Legal fees related to the securities class action</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Office closure lease termination costs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0" w:type="dxa"/>
            <w:vAlign w:val="bottom"/>
          </w:tcPr>
          <w:p>
            <w:pPr>
              <w:spacing w:after="0"/>
              <w:rPr>
                <w:sz w:val="1"/>
                <w:szCs w:val="1"/>
                <w:color w:val="auto"/>
              </w:rPr>
            </w:pPr>
          </w:p>
        </w:tc>
      </w:tr>
      <w:tr>
        <w:trPr>
          <w:trHeight w:val="22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41,781</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120,652</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79,366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expenses included in our results of operations for the periods presented are as follows (in thousands):</w:t>
      </w:r>
    </w:p>
    <w:p>
      <w:pPr>
        <w:spacing w:after="0" w:line="4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980" w:type="dxa"/>
            <w:vAlign w:val="bottom"/>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3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02"/>
        </w:trPr>
        <w:tc>
          <w:tcPr>
            <w:tcW w:w="3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12,161</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10,421</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24,044</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20,034</w:t>
            </w:r>
          </w:p>
        </w:tc>
      </w:tr>
      <w:tr>
        <w:trPr>
          <w:trHeight w:val="195"/>
        </w:trPr>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w:t>
            </w:r>
          </w:p>
        </w:tc>
      </w:tr>
      <w:tr>
        <w:trPr>
          <w:trHeight w:val="210"/>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6"/>
        </w:trPr>
        <w:tc>
          <w:tcPr>
            <w:tcW w:w="3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3,403</w:t>
            </w:r>
          </w:p>
        </w:tc>
      </w:tr>
      <w:tr>
        <w:trPr>
          <w:trHeight w:val="228"/>
        </w:trPr>
        <w:tc>
          <w:tcPr>
            <w:tcW w:w="3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14,649</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12,938</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29,139</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7 to the condensed consolidated financial statements for stock-based compensation expense included in our results of operations for the periods presented.</w:t>
      </w:r>
    </w:p>
    <w:p>
      <w:pPr>
        <w:spacing w:after="0" w:line="27" w:lineRule="exact"/>
        <w:rPr>
          <w:rFonts w:ascii="Times New Roman" w:cs="Times New Roman" w:eastAsia="Times New Roman" w:hAnsi="Times New Roman"/>
          <w:sz w:val="14"/>
          <w:szCs w:val="14"/>
          <w:color w:val="auto"/>
        </w:rPr>
      </w:pPr>
    </w:p>
    <w:p>
      <w:pPr>
        <w:ind w:left="660" w:right="380" w:hanging="328"/>
        <w:spacing w:after="0" w:line="243"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adjustments do not have a material impact on our worldwide income tax provision due to the tax treatment of the non-GAAP adjustments reported, and our domestic valuation allowance position.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445"/>
        <w:spacing w:after="0" w:line="272" w:lineRule="auto"/>
        <w:rPr>
          <w:sz w:val="20"/>
          <w:szCs w:val="20"/>
          <w:color w:val="auto"/>
        </w:rPr>
      </w:pPr>
      <w:r>
        <w:rPr>
          <w:rFonts w:ascii="Times New Roman" w:cs="Times New Roman" w:eastAsia="Times New Roman" w:hAnsi="Times New Roman"/>
          <w:sz w:val="17"/>
          <w:szCs w:val="17"/>
          <w:color w:val="auto"/>
        </w:rPr>
        <w:t>Our revenue consists of subscription and related usage as well as professional services. We consider our subscription and related usage to be recurring revenue. We charge our customers monthly subscription fees for access to our Intelligent CX Platform, primarily based on the number of licenses, as well as on a consumption or capacity basis for our AI solutions. We offer monthly, annual and multiple-year contracts to our customers, generally with</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30 days’ notice required for limited reductions in the number of licenses or the level of consumption or capacity. Increases in the number of licenses or the level of consumption or capacity can be provisioned almost immediately. Subscription fees are generally billed monthly in advance, while usage fees are billed in arrears. Subscription fees are recognized on a straight-line basis over the applicable term, which is predominantly the monthly contractual billing period. Support activities include technical assistance for our solution and upgrades and enhancements on a when and if available basis, which are not billed separately. Usage fees are billed in arrears based on customer-specific per minute rate plans and are recognized as actual usage occurs.</w:t>
      </w:r>
    </w:p>
    <w:p>
      <w:pPr>
        <w:spacing w:after="0" w:line="79"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In addition, we generate professional services revenue from assisting customers in implementing our solution and optimizing its use. These services include application configuration, system integration and education and training services. Professional services are primarily billed on a fixed-fee basis and are typically performed by us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directly. However, our customers can choose to perform these services themselves, use one of our certified professional service providers,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w:t>
      </w:r>
    </w:p>
    <w:p>
      <w:pPr>
        <w:spacing w:after="0" w:line="54" w:lineRule="exact"/>
        <w:rPr>
          <w:sz w:val="20"/>
          <w:szCs w:val="20"/>
          <w:color w:val="auto"/>
        </w:rPr>
      </w:pPr>
    </w:p>
    <w:p>
      <w:pPr>
        <w:ind w:right="40" w:firstLine="445"/>
        <w:spacing w:after="0" w:line="245" w:lineRule="auto"/>
        <w:rPr>
          <w:sz w:val="20"/>
          <w:szCs w:val="20"/>
          <w:color w:val="auto"/>
        </w:rPr>
      </w:pPr>
      <w:r>
        <w:rPr>
          <w:rFonts w:ascii="Times New Roman" w:cs="Times New Roman" w:eastAsia="Times New Roman" w:hAnsi="Times New Roman"/>
          <w:sz w:val="18"/>
          <w:szCs w:val="18"/>
          <w:color w:val="auto"/>
        </w:rPr>
        <w:t>While the implications of macroeconomic events on our business, results of operations and overall financial position remain uncertain over the long term, we expect that macroeconomic challenges will continue to have an adverse impact on our revenue in future periods. For example, despite increases in up-sells and cross-sells, our installed base business, which contributes a significant portion of our annual revenue growth, continues to experience macroeconomic challenges.</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08" w:lineRule="exact"/>
        <w:rPr>
          <w:sz w:val="20"/>
          <w:szCs w:val="20"/>
          <w:color w:val="auto"/>
        </w:rPr>
      </w:pPr>
    </w:p>
    <w:p>
      <w:pPr>
        <w:ind w:firstLine="445"/>
        <w:spacing w:after="0" w:line="237" w:lineRule="auto"/>
        <w:rPr>
          <w:sz w:val="20"/>
          <w:szCs w:val="20"/>
          <w:color w:val="auto"/>
        </w:rPr>
      </w:pPr>
      <w:r>
        <w:rPr>
          <w:rFonts w:ascii="Times New Roman" w:cs="Times New Roman" w:eastAsia="Times New Roman" w:hAnsi="Times New Roman"/>
          <w:sz w:val="18"/>
          <w:szCs w:val="18"/>
          <w:color w:val="auto"/>
        </w:rPr>
        <w:t>Our cost of revenue consists primarily of personnel costs, including stock-based compensation, fees that we pay to telecommunications providers for usage, Universal Service Fund, or USF, contributions and other regulatory costs, depreciation and related expenses of our servers and equipment, costs to build out and maintain co-location data centers, costs of public cloud-based data centers, cost of third party software that we resell, allocated office and facility costs, amortization of acquired technology, amortization of internal-use software development costs and lease amortization for finance leases. Cost of revenue can fluctuate based on a number of factors, including the fees we pay to telecommunications providers, which vary depending on our customers’ usage of our Intelligent CX Platform, the timing of capital expenditures and related depreciation charges and changes in headcount. We expect to continue investing in professional services, public cloud, cloud operations, customer support and network infrastructure to maintain high quality and availability of services, which we believe will result in absolute dollar increases in cost of revenue but percentage of revenue declines in the long-term through economies of scale.</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classify our operating expenses as research and development, sales and marketing, and general and administrative expenses.</w:t>
      </w:r>
    </w:p>
    <w:p>
      <w:pPr>
        <w:spacing w:after="0" w:line="102" w:lineRule="exact"/>
        <w:rPr>
          <w:sz w:val="20"/>
          <w:szCs w:val="20"/>
          <w:color w:val="auto"/>
        </w:rPr>
      </w:pPr>
    </w:p>
    <w:p>
      <w:pPr>
        <w:ind w:right="100" w:firstLine="445"/>
        <w:spacing w:after="0" w:line="243"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consist primarily of salary and 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personnel related to the development of new products,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fluctuate as a percentage of revenue in the near and longer term.</w:t>
      </w:r>
    </w:p>
    <w:p>
      <w:pPr>
        <w:spacing w:after="0" w:line="73" w:lineRule="exact"/>
        <w:rPr>
          <w:sz w:val="20"/>
          <w:szCs w:val="20"/>
          <w:color w:val="auto"/>
        </w:rPr>
      </w:pPr>
    </w:p>
    <w:p>
      <w:pPr>
        <w:ind w:right="40" w:firstLine="445"/>
        <w:spacing w:after="0" w:line="239"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consist primarily of salaries and related expenses, including stock-based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in sales and marketing, amortization of deferred contract acquisition costs,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w:t>
      </w:r>
    </w:p>
    <w:p>
      <w:pPr>
        <w:spacing w:after="0" w:line="76" w:lineRule="exact"/>
        <w:rPr>
          <w:sz w:val="20"/>
          <w:szCs w:val="20"/>
          <w:color w:val="auto"/>
        </w:rPr>
      </w:pPr>
    </w:p>
    <w:p>
      <w:pPr>
        <w:ind w:right="120" w:firstLine="44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salary and 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management, finance and 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2025 and 2024</w:t>
      </w:r>
    </w:p>
    <w:p>
      <w:pPr>
        <w:spacing w:after="0" w:line="12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Based on the condensed consolidated statements of operations and comprehensive income (loss) set forth in this Quarterly Report on Form 10-Q, the following table sets forth our operating results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45 %</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30"/>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56 %</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9"/>
        </w:trPr>
        <w:tc>
          <w:tcPr>
            <w:tcW w:w="35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Gain on early extinguishment of debt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9"/>
                <w:szCs w:val="19"/>
                <w:color w:val="auto"/>
              </w:rPr>
            </w:pPr>
          </w:p>
        </w:tc>
        <w:tc>
          <w:tcPr>
            <w:tcW w:w="13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0"/>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1 %</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0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11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vMerge w:val="restart"/>
          </w:tcPr>
          <w:p>
            <w:pPr>
              <w:spacing w:after="0"/>
              <w:rPr>
                <w:sz w:val="11"/>
                <w:szCs w:val="11"/>
                <w:color w:val="auto"/>
              </w:rPr>
            </w:pPr>
          </w:p>
        </w:tc>
        <w:tc>
          <w:tcPr>
            <w:tcW w:w="840" w:type="dxa"/>
            <w:vAlign w:val="bottom"/>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940" w:type="dxa"/>
            <w:vAlign w:val="bottom"/>
            <w:gridSpan w:val="3"/>
          </w:tcPr>
          <w:p>
            <w:pPr>
              <w:jc w:val="right"/>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34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900" w:type="dxa"/>
            <w:vAlign w:val="bottom"/>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2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252,086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31,183</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562,974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499,096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63,878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increase in revenue for the three and six months ended June 30, 2025 compared to the same periods of 2024 was primarily attributable to our larger customers, driven by an increase in our sales and marketing activities and our improved brand awareness.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2"/>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1"/>
                <w:szCs w:val="11"/>
                <w:color w:val="auto"/>
              </w:rPr>
            </w:pPr>
          </w:p>
        </w:tc>
        <w:tc>
          <w:tcPr>
            <w:tcW w:w="114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20" w:type="dxa"/>
            <w:vAlign w:val="bottom"/>
          </w:tcPr>
          <w:p>
            <w:pPr>
              <w:jc w:val="right"/>
              <w:ind w:right="18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286"/>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1"/>
                <w:szCs w:val="11"/>
                <w:color w:val="auto"/>
              </w:rPr>
            </w:pPr>
          </w:p>
        </w:tc>
        <w:tc>
          <w:tcPr>
            <w:tcW w:w="10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jc w:val="right"/>
              <w:ind w:right="42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0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Borders>
              <w:bottom w:val="single" w:sz="8" w:color="auto"/>
            </w:tcBorders>
            <w:gridSpan w:val="2"/>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20" w:type="dxa"/>
            <w:vAlign w:val="bottom"/>
            <w:gridSpan w:val="4"/>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127,865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rPr>
              <w:t>118,414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9,451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253,838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232,944</w:t>
            </w:r>
          </w:p>
        </w:tc>
        <w:tc>
          <w:tcPr>
            <w:tcW w:w="10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   20,894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Revenue</w:t>
            </w:r>
          </w:p>
        </w:tc>
        <w:tc>
          <w:tcPr>
            <w:tcW w:w="1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45 %</w:t>
            </w:r>
          </w:p>
        </w:tc>
        <w:tc>
          <w:tcPr>
            <w:tcW w:w="20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47 %</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8"/>
                <w:szCs w:val="18"/>
                <w:color w:val="auto"/>
              </w:rPr>
            </w:pPr>
          </w:p>
        </w:tc>
        <w:tc>
          <w:tcPr>
            <w:tcW w:w="100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rPr>
              <w:t>47%</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20" w:firstLine="445"/>
        <w:spacing w:after="0" w:line="237" w:lineRule="auto"/>
        <w:rPr>
          <w:sz w:val="20"/>
          <w:szCs w:val="20"/>
          <w:color w:val="auto"/>
        </w:rPr>
      </w:pPr>
      <w:r>
        <w:rPr>
          <w:rFonts w:ascii="Times New Roman" w:cs="Times New Roman" w:eastAsia="Times New Roman" w:hAnsi="Times New Roman"/>
          <w:sz w:val="18"/>
          <w:szCs w:val="18"/>
          <w:color w:val="auto"/>
        </w:rPr>
        <w:t>The increase in cost of revenue for the three and six months ended June 30, 2025 compared to the same periods of 2024 was primarily due to a $4.0 million and $6.8 million increase in third-party costs driven by increased customer activities, a $1.7 million and $3.0 million increase in lease amortization of finance leases, a $1.3 million and $1.8 million increase in personnel-related costs, a $1.2 million and $2.0 million increase in USF contributions and other federal telecommunication service fees due to increased customer usage, a $0.8 million and $1.9 million increase in amortization of capitalized internal-use software development costs, a $0.5 million and $1.1 million increase in usage and carrier costs due to increased volume, and a $0.3 million and $3.0 million increase in depreciation, data center and public cloud costs to support our growing capacity needs. The $1.3 million and $1.8 million increase in personnel-related costs was primarily driven by higher salaries, offset in part by a decrease in stock-based compensation costs.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vMerge w:val="restart"/>
          </w:tcPr>
          <w:p>
            <w:pPr>
              <w:spacing w:after="0"/>
              <w:rPr>
                <w:sz w:val="11"/>
                <w:szCs w:val="11"/>
                <w:color w:val="auto"/>
              </w:rPr>
            </w:pPr>
          </w:p>
        </w:tc>
        <w:tc>
          <w:tcPr>
            <w:tcW w:w="820" w:type="dxa"/>
            <w:vAlign w:val="bottom"/>
          </w:tcPr>
          <w:p>
            <w:pPr>
              <w:jc w:val="right"/>
              <w:ind w:right="306"/>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880" w:type="dxa"/>
            <w:vAlign w:val="bottom"/>
          </w:tcPr>
          <w:p>
            <w:pPr>
              <w:jc w:val="right"/>
              <w:ind w:right="28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vMerge w:val="restart"/>
          </w:tcPr>
          <w:p>
            <w:pPr>
              <w:spacing w:after="0"/>
              <w:rPr>
                <w:sz w:val="11"/>
                <w:szCs w:val="11"/>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vMerge w:val="restart"/>
          </w:tcPr>
          <w:p>
            <w:pPr>
              <w:spacing w:after="0"/>
              <w:rPr>
                <w:sz w:val="11"/>
                <w:szCs w:val="11"/>
                <w:color w:val="auto"/>
              </w:rPr>
            </w:pPr>
          </w:p>
        </w:tc>
        <w:tc>
          <w:tcPr>
            <w:tcW w:w="760" w:type="dxa"/>
            <w:vAlign w:val="bottom"/>
          </w:tcPr>
          <w:p>
            <w:pPr>
              <w:jc w:val="right"/>
              <w:ind w:right="26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760" w:type="dxa"/>
            <w:vAlign w:val="bottom"/>
          </w:tcPr>
          <w:p>
            <w:pPr>
              <w:jc w:val="right"/>
              <w:ind w:right="22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6"/>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155,404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133,672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   21,732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$309,136</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$266,152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$42,984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Pr>
          <w:p>
            <w:pPr>
              <w:spacing w:after="0"/>
              <w:rPr>
                <w:sz w:val="18"/>
                <w:szCs w:val="18"/>
                <w:color w:val="auto"/>
              </w:rPr>
            </w:pPr>
          </w:p>
        </w:tc>
        <w:tc>
          <w:tcPr>
            <w:tcW w:w="1080" w:type="dxa"/>
            <w:vAlign w:val="bottom"/>
          </w:tcPr>
          <w:p>
            <w:pPr>
              <w:jc w:val="right"/>
              <w:ind w:right="324"/>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right="20" w:firstLine="445"/>
        <w:spacing w:after="0" w:line="250" w:lineRule="auto"/>
        <w:rPr>
          <w:sz w:val="20"/>
          <w:szCs w:val="20"/>
          <w:color w:val="auto"/>
        </w:rPr>
      </w:pPr>
      <w:r>
        <w:rPr>
          <w:rFonts w:ascii="Times New Roman" w:cs="Times New Roman" w:eastAsia="Times New Roman" w:hAnsi="Times New Roman"/>
          <w:sz w:val="18"/>
          <w:szCs w:val="18"/>
          <w:color w:val="auto"/>
        </w:rPr>
        <w:t>The increase in gross profit for the three and six months ended June 30, 2025 compared to the same periods of 2024 was primarily due to increases in subscription and related revenues. We expect gross margin to increase in the long-term with long-term revenue growth outpacing continued investments in professional services, public cloud, cloud operations, customer support and network infrastructure.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266"/>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900" w:type="dxa"/>
            <w:vAlign w:val="bottom"/>
          </w:tcPr>
          <w:p>
            <w:pPr>
              <w:jc w:val="right"/>
              <w:ind w:right="30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11"/>
                <w:szCs w:val="11"/>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vMerge w:val="restart"/>
          </w:tcPr>
          <w:p>
            <w:pPr>
              <w:spacing w:after="0"/>
              <w:rPr>
                <w:sz w:val="11"/>
                <w:szCs w:val="11"/>
                <w:color w:val="auto"/>
              </w:rPr>
            </w:pPr>
          </w:p>
        </w:tc>
        <w:tc>
          <w:tcPr>
            <w:tcW w:w="820" w:type="dxa"/>
            <w:vAlign w:val="bottom"/>
          </w:tcPr>
          <w:p>
            <w:pPr>
              <w:jc w:val="right"/>
              <w:ind w:right="30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760" w:type="dxa"/>
            <w:vAlign w:val="bottom"/>
          </w:tcPr>
          <w:p>
            <w:pPr>
              <w:jc w:val="right"/>
              <w:ind w:right="24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39,912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40,717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$81,012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rPr>
              <w:t>$82,235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$(1,223)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2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140" w:type="dxa"/>
            <w:vAlign w:val="bottom"/>
          </w:tcPr>
          <w:p>
            <w:pPr>
              <w:spacing w:after="0"/>
              <w:rPr>
                <w:sz w:val="18"/>
                <w:szCs w:val="18"/>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160" w:type="dxa"/>
            <w:vAlign w:val="bottom"/>
          </w:tcPr>
          <w:p>
            <w:pPr>
              <w:jc w:val="right"/>
              <w:ind w:right="364"/>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40" w:firstLine="445"/>
        <w:spacing w:after="0" w:line="245" w:lineRule="auto"/>
        <w:rPr>
          <w:sz w:val="20"/>
          <w:szCs w:val="20"/>
          <w:color w:val="auto"/>
        </w:rPr>
      </w:pPr>
      <w:r>
        <w:rPr>
          <w:rFonts w:ascii="Times New Roman" w:cs="Times New Roman" w:eastAsia="Times New Roman" w:hAnsi="Times New Roman"/>
          <w:sz w:val="18"/>
          <w:szCs w:val="18"/>
          <w:color w:val="auto"/>
        </w:rPr>
        <w:t>The decrease in research and development expenses for the three months ended June 30, 2025 compared to the same period of 2024 was primarily due to a $4.5 million increase in research and development costs (excluding stock-based compensation costs) that qualified for capitalization, offset in part by a $3.7 million increase in personnel-related costs primarily driven by increased headcount and higher salaries, offset in part by a decrease in stock-based compensation costs.</w:t>
      </w:r>
    </w:p>
    <w:p>
      <w:pPr>
        <w:spacing w:after="0" w:line="127" w:lineRule="exact"/>
        <w:rPr>
          <w:sz w:val="20"/>
          <w:szCs w:val="20"/>
          <w:color w:val="auto"/>
        </w:rPr>
      </w:pPr>
    </w:p>
    <w:p>
      <w:pPr>
        <w:jc w:val="both"/>
        <w:ind w:right="20" w:firstLine="445"/>
        <w:spacing w:after="0" w:line="245" w:lineRule="auto"/>
        <w:rPr>
          <w:sz w:val="20"/>
          <w:szCs w:val="20"/>
          <w:color w:val="auto"/>
        </w:rPr>
      </w:pPr>
      <w:r>
        <w:rPr>
          <w:rFonts w:ascii="Times New Roman" w:cs="Times New Roman" w:eastAsia="Times New Roman" w:hAnsi="Times New Roman"/>
          <w:sz w:val="18"/>
          <w:szCs w:val="18"/>
          <w:color w:val="auto"/>
        </w:rPr>
        <w:t>The decrease in research and development expenses for the six months ended June 30, 2025 compared to the same period of 2024 was primarily due to a $9.7 million increase in research and development costs (excluding stock-based compensation costs) that qualified for capitalization, offset in part by a $7.4 million increase in personnel-related costs, and a $0.5 million increase in staff augmentation costs. The $7.4 million increase in personnel-related costs was primarily driven by increased headcount and higher salaries, offset in part by a decrease in stock-based compensation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vMerge w:val="restart"/>
          </w:tcPr>
          <w:p>
            <w:pPr>
              <w:spacing w:after="0"/>
              <w:rPr>
                <w:sz w:val="11"/>
                <w:szCs w:val="11"/>
                <w:color w:val="auto"/>
              </w:rPr>
            </w:pPr>
          </w:p>
        </w:tc>
        <w:tc>
          <w:tcPr>
            <w:tcW w:w="760" w:type="dxa"/>
            <w:vAlign w:val="bottom"/>
          </w:tcPr>
          <w:p>
            <w:pPr>
              <w:jc w:val="right"/>
              <w:ind w:right="266"/>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900" w:type="dxa"/>
            <w:vAlign w:val="bottom"/>
          </w:tcPr>
          <w:p>
            <w:pPr>
              <w:jc w:val="right"/>
              <w:ind w:right="30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11"/>
                <w:szCs w:val="11"/>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vMerge w:val="restart"/>
          </w:tcPr>
          <w:p>
            <w:pPr>
              <w:spacing w:after="0"/>
              <w:rPr>
                <w:sz w:val="11"/>
                <w:szCs w:val="11"/>
                <w:color w:val="auto"/>
              </w:rPr>
            </w:pPr>
          </w:p>
        </w:tc>
        <w:tc>
          <w:tcPr>
            <w:tcW w:w="740" w:type="dxa"/>
            <w:vAlign w:val="bottom"/>
          </w:tcPr>
          <w:p>
            <w:pPr>
              <w:jc w:val="right"/>
              <w:ind w:right="26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760" w:type="dxa"/>
            <w:vAlign w:val="bottom"/>
          </w:tcPr>
          <w:p>
            <w:pPr>
              <w:jc w:val="right"/>
              <w:ind w:right="24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6"/>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80,668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78,332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   2,336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$163,523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$159,441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$4,082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100" w:type="dxa"/>
            <w:vAlign w:val="bottom"/>
          </w:tcPr>
          <w:p>
            <w:pPr>
              <w:jc w:val="right"/>
              <w:ind w:right="324"/>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increase in sales and marketing expenses for the three months ended June 30, 2025 compared to the same period of 2024 was primarily due to a $2.6 million increase in amortization of deferred contract acquisition costs driven by the growth in sales and bookings of our solution, offset in part by a $0.8 million decrease in travel costs as a result of reduced business travel. The remaining increase was due to an increase in overall marketing spend.</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in sales and marketing expenses for the six months ended June 30, 2025 compared to the same period of 2024 was primarily due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 million increase in amortization of deferred contract acquisition costs driven by the growth in sales and bookings of our solution, offset in part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million decrease in personnel-related costs mainly due to decreased headcount as a result of the 2024 and 2025 Plans and by a decrease in stock-based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costs, and by a $0.9 million decrease in travel costs as a result of reduced business travel. The remaining increase was due to an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marketing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vMerge w:val="restart"/>
          </w:tcPr>
          <w:p>
            <w:pPr>
              <w:spacing w:after="0"/>
              <w:rPr>
                <w:sz w:val="11"/>
                <w:szCs w:val="11"/>
                <w:color w:val="auto"/>
              </w:rPr>
            </w:pPr>
          </w:p>
        </w:tc>
        <w:tc>
          <w:tcPr>
            <w:tcW w:w="740" w:type="dxa"/>
            <w:vAlign w:val="bottom"/>
          </w:tcPr>
          <w:p>
            <w:pPr>
              <w:jc w:val="right"/>
              <w:ind w:right="266"/>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900" w:type="dxa"/>
            <w:vAlign w:val="bottom"/>
          </w:tcPr>
          <w:p>
            <w:pPr>
              <w:jc w:val="right"/>
              <w:ind w:right="30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11"/>
                <w:szCs w:val="11"/>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640" w:type="dxa"/>
            <w:vAlign w:val="bottom"/>
          </w:tcPr>
          <w:p>
            <w:pPr>
              <w:jc w:val="right"/>
              <w:ind w:right="26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760" w:type="dxa"/>
            <w:vAlign w:val="bottom"/>
          </w:tcPr>
          <w:p>
            <w:pPr>
              <w:jc w:val="right"/>
              <w:ind w:right="24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36,385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33,988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2,397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$71,590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rPr>
              <w:t>$64,536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$7,054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16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June 30, 2025 compared to the same period of 2024 was primarily due to a $2.1 million increase in personnel-related costs driven by increased headcount and higher salaries, and a $0.6 million increase in hosted software costs.</w:t>
      </w:r>
    </w:p>
    <w:p>
      <w:pPr>
        <w:spacing w:after="0" w:line="122"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six months ended June 30, 2025 compared to the same period of 2024 was primarily due to a $3.3 million increase in personnel-related costs driven by increased headcount and higher salaries, a $0.5 million increase in professional costs mainly associated with strategic consulting services, and a $1.2 million increase in hosted software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32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284"/>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34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28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9"/>
        </w:trPr>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(3,820)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(3,906)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(7,935)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(6,473)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Gain on early extinguishment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6,615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debt</w:t>
            </w: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7,917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13,800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18,220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24,359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42"/>
        </w:trPr>
        <w:tc>
          <w:tcPr>
            <w:tcW w:w="22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other income (expense),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4,097</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9,894</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10,285</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24,501</w:t>
            </w:r>
          </w:p>
        </w:tc>
        <w:tc>
          <w:tcPr>
            <w:tcW w:w="12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(14,216)</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4"/>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for the six months ended June 30, 2025 compared to the same period of 2024 was primarily due to the issuance of the 2029 convertible senior notes in March 2024.</w:t>
      </w:r>
    </w:p>
    <w:p>
      <w:pPr>
        <w:spacing w:after="0" w:line="54"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The repurchase transaction was accounted for as a debt extinguishment. The difference between the consideration used to extinguish the 2025 convertible senior notes and the carrying value of the 2025 convertible senior notes (including unamortized debt discount and issuance cost) resulted in an extinguishment gain of approximately $6.6 million. See Note 6 to the condensed consolidated financial statements for further details.</w:t>
      </w:r>
    </w:p>
    <w:p>
      <w:pPr>
        <w:spacing w:after="0" w:line="76"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decrease in interest income and other for the three and six months ended June 30, 2025 compared to the same periods of 2024 was primarily due to the $434.4 million of cash paid in connection with the maturity of the 2025 convertible notes resulting in lower investible balances, from lower interest rates, and from an increase in foreign currency transaction losses.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sales of our solution, net proceeds from our equity and debt financings, including the issuance of convertible senior notes in March 2024, May and June 2020 and May 2018, and lease facilities. As of June 30, 2025, we had $692.6 million in working capital, which included $205.5 million in cash and cash equivalents and $430.4 million in marketable investments. Our 2025 convertible senior notes matured on June 1, 2025, and we settled our obligations with respect to the 2025 senior notes through a cash payment of $434.4 million in connection therewith. Our intent is that all marketable investments are available for use in our current operations, including marketable investments with maturity dates greater than one year from June 30, 2025.</w:t>
      </w:r>
    </w:p>
    <w:p>
      <w:pPr>
        <w:spacing w:after="0" w:line="7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In March 2024, we issued $747.5 million aggregate principal amount of our 2029 convertible senior notes in a private offering. The 2029 convertible senior notes mature on March 15, 2029 and are our senior unsecured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In connection with the issuance of the 2029 convertible senior notes, we also entered into privately negotiated capped call transactions with certain financial institutions. We believe our existing cash and cash equivalents will be sufficient to meet our working capital and capital expenditure needs for at least the next 12 months.</w:t>
      </w:r>
    </w:p>
    <w:p>
      <w:pPr>
        <w:spacing w:after="0" w:line="70" w:lineRule="exact"/>
        <w:rPr>
          <w:sz w:val="20"/>
          <w:szCs w:val="20"/>
          <w:color w:val="auto"/>
        </w:rPr>
      </w:pPr>
    </w:p>
    <w:p>
      <w:pPr>
        <w:ind w:right="40" w:firstLine="445"/>
        <w:spacing w:after="0" w:line="236" w:lineRule="auto"/>
        <w:rPr>
          <w:sz w:val="20"/>
          <w:szCs w:val="20"/>
          <w:color w:val="auto"/>
        </w:rPr>
      </w:pPr>
      <w:r>
        <w:rPr>
          <w:rFonts w:ascii="Times New Roman" w:cs="Times New Roman" w:eastAsia="Times New Roman" w:hAnsi="Times New Roman"/>
          <w:sz w:val="18"/>
          <w:szCs w:val="18"/>
          <w:color w:val="auto"/>
        </w:rPr>
        <w:t>We plan to continue to finance our operations in the future primarily through sales of our solution, net proceeds from equity and debt financings, and lease facilities. Our future capital requirements will depend on many factors including our growth rate, continuing market acceptance of our solution, the strength of the global economy, customer retention, growth within our installed base, our ability to gain new customers,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expanding our operations in Portugal, and the effect of the length and severity of the continued macroeconomic challenges, the impact of global tariff increases and potential future increases and announcements regarding same, the Russia-Ukraine conflict, and the conflicts in the Middle East, on these or other factors. We may also acquire or invest in complementary businesses, technologies and intellectual property rights, such as our recent acquisitions of Aceyus in August 2023 and Acqueon in August 2024, which may increase our use of cash and future capital requirements, both to pay acquisition costs and 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performance and condition, economic and market conditions, the trading price of our common stock, and other factors, including the length and severity of the current economic downturn and fluctuations in the financial markets, including due to the impact of global tariff increases and potential future increases and announcements regarding same, the Russia-Ukraine conflict and the conflicts in the Middle East.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w:t>
      </w:r>
    </w:p>
    <w:p>
      <w:pPr>
        <w:spacing w:after="0" w:line="91"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83,445</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52,231</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191,063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(360,103)</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(431,125)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340,412</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(156,617)</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32,540</w:t>
            </w: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is primarily influenced by our personnel-related expenditures, data center and telecommunications carrier costs, office and facility related costs, USF contributions and other regulatory costs and the amount and timing of customer payments. If we continue to improve our financial results, we expect net cash provided by operating activities to increase. Our largest source of operating cash inflows is cash collections from our customers for subscription and related usage services. Payments from customers for these services are typically received monthly.</w:t>
      </w:r>
    </w:p>
    <w:p>
      <w:pPr>
        <w:spacing w:after="0" w:line="126"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$83.4 million during the six months ended June 30, 2025. Net cash provided by operating activities resulted from our net income of $1.7 million, adjustments to reconcile net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to net cash provided by operating activities of $161.4 million, primarily consisting of $81.1 million of stock-based compensation, $41.5 million of amortization of deferred contract acquisition costs, $29.1 million of depreciation and amortization, $10.1 million of reduction in the carrying amount of right-of-use assets, and $2.7 million of amortization of issuance costs on our convertible senior notes, partially offset by use of cash for operating assets and liabilities of $(79.7) million primarily due to the timing of cash payments to vendors and cash receipts from customers and $(5.3) million accretion of discount on marketable investments.</w:t>
      </w:r>
    </w:p>
    <w:p>
      <w:pPr>
        <w:spacing w:after="0" w:line="12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$52.2 million during the six months ended June 30, 2024. Net cash provided by operating activities resulted from our net loss of $19.9 million, adjustments to reconcile net loss to net cash provided by operating activities of $139.2 million, primarily consisting of $88.3 million of stock-based compensation, $33.8 million of amortization of deferred contract acquisition costs, $25.1 million of depreciation and amortization, $6.3 million of reduction in the carrying amount of right-of-use assets, $2.5 million of amortization of issuance costs on our convertible senior notes, $(11.2) million accretion of discount on marketable investments and $(6.6) million gain on early extinguishment of debt, partially offset by use of cash for operating assets and liabilities of $(67.1) million primarily due to the timing of cash payments to vendors and cash receipts from customers.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$191.1 million in the six months ended June 30, 2025 was comprised of $533.2 million related to cash proceeds from maturities of marketable investments, offset in part by $315.1 million related to purchases of marketable investments, $18.7 million in capitalized software development costs and $8.2 million in capital expenditures.</w:t>
      </w:r>
    </w:p>
    <w:p>
      <w:pPr>
        <w:spacing w:after="0" w:line="54" w:lineRule="exact"/>
        <w:rPr>
          <w:sz w:val="20"/>
          <w:szCs w:val="20"/>
          <w:color w:val="auto"/>
        </w:rPr>
      </w:pPr>
    </w:p>
    <w:p>
      <w:pPr>
        <w:ind w:right="80" w:firstLine="445"/>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of $(360.1) million in the six months ended June 30, 2024 was comprised of $816.5 million related to purchases of marketable investments, $18.7 million in capital expenditures and $8.3 million in capitalized software development costs, offset in part by $483.3 million related to cash proceeds from sales and maturities of marketable investments.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$(431.1) million in the six months ended June 30, 2025 was primarily related to $434.4 million of cash paid in connection with the maturity of the 2025 convertible senior notes and $4.7 million of payments related to finance leases, offset in part by $7.9 million from the sale of common stock under our employee stock purchase plan.</w:t>
      </w:r>
    </w:p>
    <w:p>
      <w:pPr>
        <w:spacing w:after="0" w:line="54" w:lineRule="exact"/>
        <w:rPr>
          <w:sz w:val="20"/>
          <w:szCs w:val="20"/>
          <w:color w:val="auto"/>
        </w:rPr>
      </w:pPr>
    </w:p>
    <w:p>
      <w:pPr>
        <w:ind w:right="80" w:firstLine="445"/>
        <w:spacing w:after="0" w:line="238" w:lineRule="auto"/>
        <w:rPr>
          <w:sz w:val="20"/>
          <w:szCs w:val="20"/>
          <w:color w:val="auto"/>
        </w:rPr>
      </w:pPr>
      <w:r>
        <w:rPr>
          <w:rFonts w:ascii="Times New Roman" w:cs="Times New Roman" w:eastAsia="Times New Roman" w:hAnsi="Times New Roman"/>
          <w:sz w:val="18"/>
          <w:szCs w:val="18"/>
          <w:color w:val="auto"/>
        </w:rPr>
        <w:t>Net cash provided by financing activities of $340.4 million in the six months ended June 30, 2024 was related to net cash proceeds of $728.8 million from the issuance of the 2029 convertible senior notes, net of initial purchasers' discounts and commissions and debt issuance costs, $9.5 million from the sale of common stock under our employee stock purchase plan, $0.5 million cash received from the partial termination of capped calls associated with the 2025 convertible senior notes, and $0.4 million of cash proceeds from the exercise of stock options, offset in part by $304.5 million from the repurchase of a portion of the 2025 convertible senior notes, $93.4 million from the payment for capped call transactions associated with the 2029 convertible senior notes, and $1.0 million of payments related to finance leases.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w:t>
      </w:r>
    </w:p>
    <w:p>
      <w:pPr>
        <w:spacing w:after="0" w:line="68"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disclosed in our Annual Report on Form 10-K for the fiscal year ended December 31, 2024 filed with the SEC on February 22,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of the notes to condensed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and other obligations.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62" w:lineRule="exact"/>
        <w:rPr>
          <w:sz w:val="20"/>
          <w:szCs w:val="20"/>
          <w:color w:val="auto"/>
        </w:rPr>
      </w:pPr>
    </w:p>
    <w:p>
      <w:pPr>
        <w:ind w:right="140" w:firstLine="486"/>
        <w:spacing w:after="0"/>
        <w:rPr>
          <w:sz w:val="20"/>
          <w:szCs w:val="20"/>
          <w:color w:val="auto"/>
        </w:rPr>
      </w:pPr>
      <w:r>
        <w:rPr>
          <w:rFonts w:ascii="Times New Roman" w:cs="Times New Roman" w:eastAsia="Times New Roman" w:hAnsi="Times New Roman"/>
          <w:sz w:val="18"/>
          <w:szCs w:val="18"/>
          <w:color w:val="auto"/>
        </w:rPr>
        <w:t>In May and June 2020, we issued $747.5 million aggregate principal amount of our 2025 convertible senior notes in a private offering. The 2025 convertible senior notes mature on June 1, 2025 and are our senior unsecured obligations. The 2025 convertible senior notes bear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2025 convertible senior notes. Our 2025 convertible senior notes matured on June 1, 2025, and we settled our obligations with respect to the 2025 senior notes in cash in connection therewith.</w:t>
      </w:r>
    </w:p>
    <w:p>
      <w:pPr>
        <w:spacing w:after="0" w:line="63" w:lineRule="exact"/>
        <w:rPr>
          <w:sz w:val="20"/>
          <w:szCs w:val="20"/>
          <w:color w:val="auto"/>
        </w:rPr>
      </w:pPr>
    </w:p>
    <w:p>
      <w:pPr>
        <w:ind w:firstLine="445"/>
        <w:spacing w:after="0" w:line="242" w:lineRule="auto"/>
        <w:rPr>
          <w:sz w:val="20"/>
          <w:szCs w:val="20"/>
          <w:color w:val="auto"/>
        </w:rPr>
      </w:pPr>
      <w:r>
        <w:rPr>
          <w:rFonts w:ascii="Times New Roman" w:cs="Times New Roman" w:eastAsia="Times New Roman" w:hAnsi="Times New Roman"/>
          <w:sz w:val="18"/>
          <w:szCs w:val="18"/>
          <w:color w:val="auto"/>
        </w:rPr>
        <w:t>In March 2024, we issued $747.5 million aggregate principal amount of our 2029 convertible senior notes in a private offering.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debt issuance costs, were approximately $728.8 million. As of June 30, 2025, the aggregate principal amount outstanding of our 2029 convertible senior notes was $747.5 million.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 to the condensed consolidated financial statements included in this report for further details.</w:t>
      </w:r>
    </w:p>
    <w:p>
      <w:pPr>
        <w:spacing w:after="0" w:line="1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94"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$51.3 million as of June 30, 2025, with $6.8 million payable in the remainder of 2025, $21.6 million payable within one to three years, $15.1 million payable within three to five years, and $7.8 million payable after five years. We also had outstanding finance lease obligations of $20.4 million as of June 30, 2025, with $5.1 million payable in the remainder of 2025, and $15.0 million payable within one to three years, and $0.3 million payable within three to five years. We entered into additional three-year equipment finance lease agreements and recognized $3.9 million right of use assets during the six months ended June 30, 2025, which were reported within "Finance lease right-of-use assets" and are being depreciated on a straight-line basis over the lease term. As a result, we also recognized short-term lease liabilities of $1.3 million within "Finance lease liabilities" and long-term lease liabilities of $2.6 million within "Finance lease liabilities - less current portion" during these periods. See Note 12 to the condensed consolidated financial statements included in this report for further details.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Cloud Services and Software and Maintenance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we had outstanding cloud services and software and maintenance agreement commitments totaling $25.5 million,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million is expected to be purchased in the remainder of 2025, and the remaining $18.1 million is expected to be purchased in 2026. During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 months ended June 30, 2025, we entered into equipment finance lease arrangements that resulted in $6.7 million additional reduction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cloud services commitment.</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Hosting and Telecommunication Usage Services</w:t>
      </w:r>
    </w:p>
    <w:p>
      <w:pPr>
        <w:spacing w:after="0" w:line="121"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We have agreements with third parties to provide co-location hosting and telecommunication usage services. The agreements require payments for a fixed period of time in exchange for certain guarantees of network and telecommunication availability. As of June 30, 2025, we had outstanding hosting and telecommunication usage services obligations of $12.0 million, with $3.3 million payable in the remainder of 2025, $7.3 million payable in 2026 and 2027, and $1.4 million payable in 2028 and 2029.</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08" w:lineRule="exact"/>
        <w:rPr>
          <w:sz w:val="20"/>
          <w:szCs w:val="20"/>
          <w:color w:val="auto"/>
        </w:rPr>
      </w:pPr>
    </w:p>
    <w:p>
      <w:pPr>
        <w:jc w:val="both"/>
        <w:ind w:right="580" w:firstLine="445"/>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breach of such agreements, services to be provided by us or from</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intellectual property infringement claims made by third parties. We have received indemnification demands, and will likely continue to receive demands, from customers regarding our intellectual property indemnification obligations under these contracts.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 consolidated statements of operations and comprehensive income (loss), or consolidated statements of cash flows.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Contingencies — Legal and Regulatory</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We are currently party to the following action:</w:t>
      </w:r>
    </w:p>
    <w:p>
      <w:pPr>
        <w:spacing w:after="0" w:line="81"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On December 4, 2024, a purported holder of our securities filed a putative class action complaint against us, our Chief Executive Officer, and our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us and our business and seeking unspecified damages on behalf of all persons and entities (subject to specified exceptions) that purchased or otherwise acquired our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filed an amended complaint on May 30, 2025. We filed a motion to dismiss the amended complaint on July 29, 2025. We cannot predict the duration or outcome of this lawsuit at this time. As a result, we are unable to estimate the reasonably possible loss or range of reasonably possible losses arising from this lawsuit. We intend to vigorously defend this lawsuit.</w:t>
      </w:r>
    </w:p>
    <w:p>
      <w:pPr>
        <w:spacing w:after="0" w:line="86"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On April 4, 2025, the parties to the derivative action jointly filed a stipulation with the court to stay the derivative action until the resolution of the motion to dismiss in the securities action, as well as any subsequent motion to dismiss any further amended complaint in the securities action. On April 8, 2025, the court approved the stay stipulation.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 For a discussion of market risk, see “Quantitative and Qualitative Disclosure about Market Risk” in Item 7A of our Annual Report on Form 10-K for the fiscal year ended December 31, 2024. Our exposure to market risk has not changed materially since December 31,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Sensitivity</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We had cash and cash equivalents, and marketable securities totaling $635.9 million as of June 30, 2025.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w:t>
      </w:r>
    </w:p>
    <w:p>
      <w:pPr>
        <w:spacing w:after="0" w:line="8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As of June 30, 2025, aggregate principal amount outstanding of our 2029 convertible senior notes was $747.5 million. The fair values of the convertible senior notes are subject to interest rate risk, market risk and other factors due to their conversion features.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obligations. Additionally, we carry the convertible senior notes at face value less unamortized discount on our condensed consolidated balance sheets, and we present the fair value for required disclosure purposes only.</w:t>
      </w:r>
    </w:p>
    <w:p>
      <w:pPr>
        <w:spacing w:after="0" w:line="7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2029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March 2024 related to the issuance of our 2029 convertible senior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Risk</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effects. Such economic exposure to currency fluctuations is difficult to measure or predict because our sales are influenced by many factors in addition to the impact of currency fluctuations. Our operating expenses are generally denominated in the currencies of the countries in which our operations are located, except for Russia where compensation of our employees is primarily denominated in the U.S. dollar. In March 2022, we made a decision to close our Russia office in June 2022 and to establish a new European development center in Portugal.</w:t>
      </w:r>
    </w:p>
    <w:p>
      <w:pPr>
        <w:spacing w:after="0" w:line="8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six months ended June 30, 2025, the effect of a hypothetical 10% change in foreign currency exchange rates applicable to our business would have a maximum impact of $5.8 million on our operating expenses.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June 30, 2025.</w:t>
      </w:r>
    </w:p>
    <w:p>
      <w:pPr>
        <w:spacing w:after="0" w:line="6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Based on management’s evaluation, our Chief Executive Officer and Chief Financial Officer concluded that, as of June 30, 2025,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w:t>
      </w:r>
    </w:p>
    <w:p>
      <w:pPr>
        <w:spacing w:after="0" w:line="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there was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may be found under the heading “Legal Matters” in Note 10 to the condensed consolidated financial statements in this Quarterly Report on Form 10-Q, which information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Part 1, Item 1A, of our Annual Report on Form 10-K for the fiscal year ended December 31, 2024. In addition to the other information set forth in this report, you should carefully consider the Risk Factors discussed in our Annual Report on Form 10-K as they could materially affect our business, financial condition and future results of operation.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Rule 10b5-1 Plans</w:t>
      </w:r>
    </w:p>
    <w:p>
      <w:pPr>
        <w:spacing w:after="0" w:line="12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30, 2025, none of the Company's directors and officers adopted, modified, or terminated a Rule 10b5-1 trading arrangement or a non-Rule 10b5-1 trading arrangement other than as set forth herein: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vMerge w:val="restart"/>
          </w:tcPr>
          <w:p>
            <w:pPr>
              <w:spacing w:after="0"/>
              <w:rPr>
                <w:sz w:val="13"/>
                <w:szCs w:val="13"/>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960" w:type="dxa"/>
            <w:vAlign w:val="bottom"/>
          </w:tcPr>
          <w:p>
            <w:pPr>
              <w:spacing w:after="0"/>
              <w:rPr>
                <w:sz w:val="13"/>
                <w:szCs w:val="13"/>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Title</w:t>
            </w:r>
          </w:p>
        </w:tc>
        <w:tc>
          <w:tcPr>
            <w:tcW w:w="14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color w:val="auto"/>
              </w:rPr>
              <w:t>Adoption Date</w:t>
            </w:r>
          </w:p>
        </w:tc>
        <w:tc>
          <w:tcPr>
            <w:tcW w:w="340" w:type="dxa"/>
            <w:vAlign w:val="bottom"/>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Expiration Date</w:t>
            </w:r>
          </w:p>
        </w:tc>
        <w:tc>
          <w:tcPr>
            <w:tcW w:w="318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Aggregate # of securities Aggregate # of securities</w:t>
            </w:r>
          </w:p>
        </w:tc>
        <w:tc>
          <w:tcPr>
            <w:tcW w:w="400" w:type="dxa"/>
            <w:vAlign w:val="bottom"/>
          </w:tcPr>
          <w:p>
            <w:pPr>
              <w:spacing w:after="0"/>
              <w:rPr>
                <w:sz w:val="13"/>
                <w:szCs w:val="13"/>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Type of Arrangement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94"/>
              </w:rPr>
              <w:t>(2)</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560" w:type="dxa"/>
            <w:vAlign w:val="bottom"/>
            <w:tcBorders>
              <w:top w:val="single" w:sz="8" w:color="auto"/>
              <w:bottom w:val="single" w:sz="8" w:color="auto"/>
            </w:tcBorders>
            <w:vMerge w:val="restart"/>
          </w:tcPr>
          <w:p>
            <w:pPr>
              <w:jc w:val="right"/>
              <w:spacing w:after="0" w:line="102" w:lineRule="exact"/>
              <w:rPr>
                <w:sz w:val="20"/>
                <w:szCs w:val="20"/>
                <w:color w:val="auto"/>
              </w:rPr>
            </w:pPr>
            <w:r>
              <w:rPr>
                <w:rFonts w:ascii="Times New Roman" w:cs="Times New Roman" w:eastAsia="Times New Roman" w:hAnsi="Times New Roman"/>
                <w:sz w:val="11"/>
                <w:szCs w:val="11"/>
                <w:color w:val="auto"/>
              </w:rPr>
              <w:t>to be sold</w:t>
            </w:r>
          </w:p>
        </w:tc>
        <w:tc>
          <w:tcPr>
            <w:tcW w:w="100" w:type="dxa"/>
            <w:vAlign w:val="bottom"/>
            <w:tcBorders>
              <w:top w:val="single" w:sz="8" w:color="auto"/>
              <w:bottom w:val="single" w:sz="8" w:color="auto"/>
            </w:tcBorders>
          </w:tcPr>
          <w:p>
            <w:pPr>
              <w:jc w:val="right"/>
              <w:spacing w:after="0" w:line="61" w:lineRule="exact"/>
              <w:rPr>
                <w:sz w:val="20"/>
                <w:szCs w:val="20"/>
                <w:color w:val="auto"/>
              </w:rPr>
            </w:pPr>
            <w:r>
              <w:rPr>
                <w:rFonts w:ascii="Times New Roman" w:cs="Times New Roman" w:eastAsia="Times New Roman" w:hAnsi="Times New Roman"/>
                <w:sz w:val="7"/>
                <w:szCs w:val="7"/>
                <w:color w:val="auto"/>
                <w:w w:val="97"/>
              </w:rPr>
              <w:t>(1)</w:t>
            </w:r>
          </w:p>
        </w:tc>
        <w:tc>
          <w:tcPr>
            <w:tcW w:w="4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60" w:type="dxa"/>
            <w:vAlign w:val="bottom"/>
            <w:tcBorders>
              <w:top w:val="single" w:sz="8" w:color="auto"/>
              <w:bottom w:val="single" w:sz="8" w:color="auto"/>
            </w:tcBorders>
            <w:gridSpan w:val="2"/>
            <w:vMerge w:val="restart"/>
          </w:tcPr>
          <w:p>
            <w:pPr>
              <w:jc w:val="center"/>
              <w:ind w:right="260"/>
              <w:spacing w:after="0" w:line="102" w:lineRule="exact"/>
              <w:rPr>
                <w:sz w:val="20"/>
                <w:szCs w:val="20"/>
                <w:color w:val="auto"/>
              </w:rPr>
            </w:pPr>
            <w:r>
              <w:rPr>
                <w:rFonts w:ascii="Times New Roman" w:cs="Times New Roman" w:eastAsia="Times New Roman" w:hAnsi="Times New Roman"/>
                <w:sz w:val="11"/>
                <w:szCs w:val="11"/>
                <w:color w:val="auto"/>
              </w:rPr>
              <w:t>to be purchased</w:t>
            </w: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4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0" w:type="dxa"/>
            <w:vAlign w:val="bottom"/>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Panos Kozanian</w:t>
            </w:r>
          </w:p>
        </w:tc>
        <w:tc>
          <w:tcPr>
            <w:tcW w:w="306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EVP, Product Engineering May 14, 2025</w:t>
            </w:r>
          </w:p>
        </w:tc>
        <w:tc>
          <w:tcPr>
            <w:tcW w:w="1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March 31, 2026</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Rule 10b5-1 trading arrangement</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1" w:lineRule="exact"/>
        <w:rPr>
          <w:sz w:val="20"/>
          <w:szCs w:val="20"/>
          <w:color w:val="auto"/>
        </w:rPr>
      </w:pPr>
    </w:p>
    <w:p>
      <w:pPr>
        <w:ind w:right="340" w:firstLine="8"/>
        <w:spacing w:after="0" w:line="231" w:lineRule="auto"/>
        <w:tabs>
          <w:tab w:leader="none" w:pos="20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an additional indeterminable number of shares permitted to be sold pursuant to the Rule 10b5-1 trading arrangement following the sales of securities outside of the Rule 10b5-1 trading arrangement in order to satisfy tax obligations upon the vesting of restricted stock units.</w:t>
      </w: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 10b5-1 trading arrangement is intended to satisfy the affirmative defense conditions of Rule 10b5-1(c).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Exhibit</w:t>
            </w:r>
          </w:p>
        </w:tc>
        <w:tc>
          <w:tcPr>
            <w:tcW w:w="55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3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Number</w:t>
            </w:r>
          </w:p>
        </w:tc>
        <w:tc>
          <w:tcPr>
            <w:tcW w:w="8340" w:type="dxa"/>
            <w:vAlign w:val="bottom"/>
            <w:gridSpan w:val="5"/>
          </w:tcPr>
          <w:p>
            <w:pPr>
              <w:ind w:left="3740"/>
              <w:spacing w:after="0"/>
              <w:rPr>
                <w:sz w:val="20"/>
                <w:szCs w:val="20"/>
                <w:color w:val="auto"/>
              </w:rPr>
            </w:pPr>
            <w:r>
              <w:rPr>
                <w:rFonts w:ascii="Times New Roman" w:cs="Times New Roman" w:eastAsia="Times New Roman" w:hAnsi="Times New Roman"/>
                <w:sz w:val="18"/>
                <w:szCs w:val="18"/>
                <w:color w:val="auto"/>
              </w:rPr>
              <w:t>Description</w:t>
            </w:r>
          </w:p>
        </w:tc>
      </w:tr>
      <w:tr>
        <w:trPr>
          <w:trHeight w:val="263"/>
        </w:trPr>
        <w:tc>
          <w:tcPr>
            <w:tcW w:w="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3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Five9, Inc. Pursuant to Section 302 of the Sarbanes-Oxley Act of 2002.</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of Five9, Inc. Pursuant to Section 302 of the Sarbanes-Oxley Act of 2002.</w:t>
            </w:r>
          </w:p>
        </w:tc>
        <w:tc>
          <w:tcPr>
            <w:tcW w:w="4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8"/>
                <w:szCs w:val="18"/>
                <w:color w:val="auto"/>
              </w:rPr>
            </w:pPr>
          </w:p>
        </w:tc>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of Five9, Inc. Pursuant to 18 U.S.C. Section</w:t>
            </w:r>
          </w:p>
        </w:tc>
      </w:tr>
      <w:tr>
        <w:trPr>
          <w:trHeight w:val="169"/>
        </w:trPr>
        <w:tc>
          <w:tcPr>
            <w:tcW w:w="2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10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 2002.</w:t>
            </w:r>
          </w:p>
        </w:tc>
        <w:tc>
          <w:tcPr>
            <w:tcW w:w="240" w:type="dxa"/>
            <w:vAlign w:val="bottom"/>
            <w:gridSpan w:val="3"/>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right w:val="single" w:sz="8" w:color="0000FF"/>
            </w:tcBorders>
            <w:gridSpan w:val="4"/>
          </w:tcPr>
          <w:p>
            <w:pPr>
              <w:spacing w:after="0" w:line="20" w:lineRule="exact"/>
              <w:rPr>
                <w:sz w:val="1"/>
                <w:szCs w:val="1"/>
                <w:color w:val="auto"/>
              </w:rPr>
            </w:pPr>
          </w:p>
        </w:tc>
        <w:tc>
          <w:tcPr>
            <w:tcW w:w="5560" w:type="dxa"/>
            <w:vAlign w:val="bottom"/>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83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29"/>
        </w:trPr>
        <w:tc>
          <w:tcPr>
            <w:tcW w:w="2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Schema Linkbase Document</w:t>
            </w:r>
          </w:p>
        </w:tc>
      </w:tr>
      <w:tr>
        <w:trPr>
          <w:trHeight w:val="230"/>
        </w:trPr>
        <w:tc>
          <w:tcPr>
            <w:tcW w:w="2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29"/>
        </w:trPr>
        <w:tc>
          <w:tcPr>
            <w:tcW w:w="2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29"/>
        </w:trPr>
        <w:tc>
          <w:tcPr>
            <w:tcW w:w="2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Labels Linkbase Document</w:t>
            </w:r>
          </w:p>
        </w:tc>
      </w:tr>
      <w:tr>
        <w:trPr>
          <w:trHeight w:val="234"/>
        </w:trPr>
        <w:tc>
          <w:tcPr>
            <w:tcW w:w="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bl>
    <w:p>
      <w:pPr>
        <w:ind w:left="1340" w:hanging="1314"/>
        <w:spacing w:after="0"/>
        <w:tabs>
          <w:tab w:leader="none" w:pos="13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6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1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ind w:right="900"/>
        <w:spacing w:after="0" w:line="28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Five9, Inc.</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31, 2025</w:t>
            </w:r>
          </w:p>
        </w:tc>
        <w:tc>
          <w:tcPr>
            <w:tcW w:w="236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2"/>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Burkland</w:t>
            </w:r>
          </w:p>
        </w:tc>
      </w:tr>
      <w:tr>
        <w:trPr>
          <w:trHeight w:val="218"/>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Burkland</w:t>
            </w:r>
          </w:p>
        </w:tc>
      </w:tr>
      <w:tr>
        <w:trPr>
          <w:trHeight w:val="229"/>
        </w:trPr>
        <w:tc>
          <w:tcPr>
            <w:tcW w:w="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00"/>
        </w:trPr>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 Lee</w:t>
            </w:r>
          </w:p>
        </w:tc>
      </w:tr>
      <w:tr>
        <w:trPr>
          <w:trHeight w:val="218"/>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Bryan Lee</w:t>
            </w:r>
          </w:p>
        </w:tc>
      </w:tr>
      <w:tr>
        <w:trPr>
          <w:trHeight w:val="230"/>
        </w:trPr>
        <w:tc>
          <w:tcPr>
            <w:tcW w:w="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99"/>
        </w:trPr>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Leena Mansharamani</w:t>
            </w:r>
          </w:p>
        </w:tc>
      </w:tr>
      <w:tr>
        <w:trPr>
          <w:trHeight w:val="218"/>
        </w:trPr>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Leena Mansharamani</w:t>
            </w:r>
          </w:p>
        </w:tc>
      </w:tr>
      <w:tr>
        <w:trPr>
          <w:trHeight w:val="229"/>
        </w:trPr>
        <w:tc>
          <w:tcPr>
            <w:tcW w:w="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Burkland, certify that:</w:t>
      </w:r>
    </w:p>
    <w:p>
      <w:pPr>
        <w:spacing w:after="0" w:line="27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Five9, Inc. for the quarter ended June 30, 2025;</w:t>
      </w:r>
    </w:p>
    <w:p>
      <w:pPr>
        <w:spacing w:after="0" w:line="27" w:lineRule="exact"/>
        <w:rPr>
          <w:rFonts w:ascii="Times New Roman" w:cs="Times New Roman" w:eastAsia="Times New Roman" w:hAnsi="Times New Roman"/>
          <w:sz w:val="18"/>
          <w:szCs w:val="18"/>
          <w:color w:val="auto"/>
        </w:rPr>
      </w:pPr>
    </w:p>
    <w:p>
      <w:pPr>
        <w:jc w:val="both"/>
        <w:ind w:left="340" w:right="440" w:hanging="332"/>
        <w:spacing w:after="0" w:line="27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400" w:hanging="332"/>
        <w:spacing w:after="0" w:line="27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7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380" w:hanging="328"/>
        <w:spacing w:after="0" w:line="271"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60" w:hanging="328"/>
        <w:spacing w:after="0" w:line="271"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660" w:right="860" w:hanging="328"/>
        <w:spacing w:after="0" w:line="284" w:lineRule="auto"/>
        <w:tabs>
          <w:tab w:leader="none" w:pos="6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660" w:right="80" w:hanging="328"/>
        <w:spacing w:after="0" w:line="271"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right="320" w:hanging="332"/>
        <w:spacing w:after="0" w:line="273"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280" w:hanging="328"/>
        <w:spacing w:after="0" w:line="271"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40" w:hanging="328"/>
        <w:spacing w:after="0" w:line="297"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July 31, 2025</w:t>
            </w:r>
          </w:p>
        </w:tc>
        <w:tc>
          <w:tcPr>
            <w:tcW w:w="272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9"/>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Burkland</w:t>
            </w:r>
          </w:p>
        </w:tc>
      </w:tr>
      <w:tr>
        <w:trPr>
          <w:trHeight w:val="218"/>
        </w:trPr>
        <w:tc>
          <w:tcPr>
            <w:tcW w:w="3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Burkland</w:t>
            </w:r>
          </w:p>
        </w:tc>
      </w:tr>
      <w:tr>
        <w:trPr>
          <w:trHeight w:val="230"/>
        </w:trPr>
        <w:tc>
          <w:tcPr>
            <w:tcW w:w="3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9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1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Lee, certify that:</w:t>
      </w:r>
    </w:p>
    <w:p>
      <w:pPr>
        <w:spacing w:after="0" w:line="27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Five9, Inc. for the quarter ended June 30, 2025;</w:t>
      </w:r>
    </w:p>
    <w:p>
      <w:pPr>
        <w:spacing w:after="0" w:line="27" w:lineRule="exact"/>
        <w:rPr>
          <w:rFonts w:ascii="Times New Roman" w:cs="Times New Roman" w:eastAsia="Times New Roman" w:hAnsi="Times New Roman"/>
          <w:sz w:val="18"/>
          <w:szCs w:val="18"/>
          <w:color w:val="auto"/>
        </w:rPr>
      </w:pPr>
    </w:p>
    <w:p>
      <w:pPr>
        <w:jc w:val="both"/>
        <w:ind w:left="340" w:right="440" w:hanging="332"/>
        <w:spacing w:after="0" w:line="27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400" w:hanging="332"/>
        <w:spacing w:after="0" w:line="27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7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380" w:hanging="328"/>
        <w:spacing w:after="0" w:line="271"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60" w:hanging="328"/>
        <w:spacing w:after="0" w:line="271"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660" w:right="860" w:hanging="328"/>
        <w:spacing w:after="0" w:line="284" w:lineRule="auto"/>
        <w:tabs>
          <w:tab w:leader="none" w:pos="6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660" w:right="80" w:hanging="328"/>
        <w:spacing w:after="0" w:line="271"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right="320" w:hanging="332"/>
        <w:spacing w:after="0" w:line="273"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280" w:hanging="328"/>
        <w:spacing w:after="0" w:line="271"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40" w:hanging="328"/>
        <w:spacing w:after="0" w:line="297"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266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9"/>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 Lee</w:t>
            </w:r>
          </w:p>
        </w:tc>
      </w:tr>
      <w:tr>
        <w:trPr>
          <w:trHeight w:val="218"/>
        </w:trPr>
        <w:tc>
          <w:tcPr>
            <w:tcW w:w="3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Bryan Lee</w:t>
            </w:r>
          </w:p>
        </w:tc>
      </w:tr>
      <w:tr>
        <w:trPr>
          <w:trHeight w:val="230"/>
        </w:trPr>
        <w:tc>
          <w:tcPr>
            <w:tcW w:w="39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240"/>
          </w:cols>
          <w:pgMar w:left="320" w:top="111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120" w:firstLine="445"/>
        <w:spacing w:after="0" w:line="281" w:lineRule="auto"/>
        <w:rPr>
          <w:sz w:val="20"/>
          <w:szCs w:val="20"/>
          <w:color w:val="auto"/>
        </w:rPr>
      </w:pPr>
      <w:r>
        <w:rPr>
          <w:rFonts w:ascii="Times New Roman" w:cs="Times New Roman" w:eastAsia="Times New Roman" w:hAnsi="Times New Roman"/>
          <w:sz w:val="18"/>
          <w:szCs w:val="18"/>
          <w:color w:val="auto"/>
        </w:rPr>
        <w:t>I, Michael Burkland, certify, pursuant to 18 U.S.C. Section 1350, as adopted pursuant to Section 906 of the Sarbanes-Oxley Act of 2002, that the Quarterly Report of Five9, Inc. (the “Company”) on Form 10-Q for the fiscal quarter ended June 30, 2025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266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9"/>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Burkland</w:t>
            </w:r>
          </w:p>
        </w:tc>
      </w:tr>
      <w:tr>
        <w:trPr>
          <w:trHeight w:val="218"/>
        </w:trPr>
        <w:tc>
          <w:tcPr>
            <w:tcW w:w="3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Burkland</w:t>
            </w:r>
          </w:p>
        </w:tc>
      </w:tr>
      <w:tr>
        <w:trPr>
          <w:trHeight w:val="234"/>
        </w:trPr>
        <w:tc>
          <w:tcPr>
            <w:tcW w:w="3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445"/>
        <w:spacing w:after="0" w:line="281" w:lineRule="auto"/>
        <w:rPr>
          <w:sz w:val="20"/>
          <w:szCs w:val="20"/>
          <w:color w:val="auto"/>
        </w:rPr>
      </w:pPr>
      <w:r>
        <w:rPr>
          <w:rFonts w:ascii="Times New Roman" w:cs="Times New Roman" w:eastAsia="Times New Roman" w:hAnsi="Times New Roman"/>
          <w:sz w:val="18"/>
          <w:szCs w:val="18"/>
          <w:color w:val="auto"/>
        </w:rPr>
        <w:t>I, Bryan Lee, certify, pursuant to 18 U.S.C. Section 1350, as adopted pursuant to Section 906 of the Sarbanes-Oxley Act of 2002, that the Quarterly Report of Five9, Inc. (the “Company”) on Form 10-Q for the fiscal quarter ended June 30, 2025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266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9"/>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 Lee</w:t>
            </w:r>
          </w:p>
        </w:tc>
      </w:tr>
      <w:tr>
        <w:trPr>
          <w:trHeight w:val="218"/>
        </w:trPr>
        <w:tc>
          <w:tcPr>
            <w:tcW w:w="3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Bryan Lee</w:t>
            </w:r>
          </w:p>
        </w:tc>
      </w:tr>
      <w:tr>
        <w:trPr>
          <w:trHeight w:val="234"/>
        </w:trPr>
        <w:tc>
          <w:tcPr>
            <w:tcW w:w="3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7"/>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lvl w:ilvl="1">
      <w:lvlJc w:val="left"/>
      <w:lvlText w:val="%2"/>
      <w:numFmt w:val="decimal"/>
      <w:start w:val="104"/>
    </w:lvl>
  </w:abstractNum>
  <w:abstractNum w:abstractNumId="12">
    <w:nsid w:val="DED7263"/>
    <w:multiLevelType w:val="hybridMultilevel"/>
    <w:lvl w:ilvl="0">
      <w:lvlJc w:val="left"/>
      <w:lvlText w:val="**"/>
      <w:numFmt w:val="bullet"/>
      <w:start w:val="1"/>
    </w:lvl>
    <w:lvl w:ilvl="1">
      <w:lvlJc w:val="left"/>
      <w:lvlText w:val="%2"/>
      <w:numFmt w:val="decimal"/>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2025-07-31T15:29:47Z</dcterms:created>
  <dcterms:modified xsi:type="dcterms:W3CDTF">2025-07-31T15:29:47Z</dcterms:modified>
</cp:coreProperties>
</file>