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60" w:after="16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312" w:before="0" w:after="1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Five9, Inc.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94-3394123</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3001 Bishop Drive, Suite 350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Ramon, CA 94583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(925) 201-2000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4" w:before="12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4"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2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312" w:before="12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312"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As of July 31, 2026, there were 74,723,531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00" w:after="200"/>
        <w:jc w:val="left"/>
        <w:rPr/>
      </w:pPr>
      <w:hyperlink w:anchor="ie8935db0061d4aab8763bda37e383f40_7">
        <w:r>
          <w:rPr>
            <w:rStyle w:val="InternetLink"/>
            <w:rFonts w:ascii="Times New Roman;serif" w:hAnsi="Times New Roman;serif"/>
            <w:b w:val="false"/>
            <w:color w:val="0000FF"/>
            <w:sz w:val="22"/>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312" w:before="18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14" w:type="dxa"/>
        <w:jc w:val="center"/>
        <w:tblInd w:w="0" w:type="dxa"/>
        <w:tblLayout w:type="fixed"/>
        <w:tblCellMar>
          <w:top w:w="28" w:type="dxa"/>
          <w:left w:w="28" w:type="dxa"/>
          <w:bottom w:w="28" w:type="dxa"/>
          <w:right w:w="28" w:type="dxa"/>
        </w:tblCellMar>
      </w:tblPr>
      <w:tblGrid>
        <w:gridCol w:w="2939"/>
        <w:gridCol w:w="2586"/>
        <w:gridCol w:w="2590"/>
        <w:gridCol w:w="109"/>
        <w:gridCol w:w="109"/>
        <w:gridCol w:w="109"/>
        <w:gridCol w:w="109"/>
        <w:gridCol w:w="109"/>
        <w:gridCol w:w="154"/>
      </w:tblGrid>
      <w:tr>
        <w:trPr/>
        <w:tc>
          <w:tcPr>
            <w:tcW w:w="293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0">
              <w:r>
                <w:rPr>
                  <w:rStyle w:val="InternetLink"/>
                  <w:rFonts w:ascii="Times New Roman;serif" w:hAnsi="Times New Roman;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0">
              <w:r>
                <w:rPr>
                  <w:rStyle w:val="InternetLink"/>
                  <w:rFonts w:ascii="Times New Roman;serif" w:hAnsi="Times New Roman;serif"/>
                  <w:b w:val="false"/>
                  <w:color w:val="0000FF"/>
                  <w:sz w:val="20"/>
                  <w:u w:val="single"/>
                </w:rPr>
                <w:t>2</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8935db0061d4aab8763bda37e383f40_13">
              <w:r>
                <w:rPr>
                  <w:rStyle w:val="InternetLink"/>
                  <w:rFonts w:ascii="Times New Roman;serif" w:hAnsi="Times New Roman;serif"/>
                  <w:b w:val="false"/>
                  <w:color w:val="0000FF"/>
                  <w:sz w:val="20"/>
                  <w:u w:val="single"/>
                </w:rPr>
                <w:t>PART I. FINANCIAL INFORMATION</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6">
              <w:r>
                <w:rPr>
                  <w:rStyle w:val="InternetLink"/>
                  <w:rFonts w:ascii="Times New Roman;serif" w:hAnsi="Times New Roman;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6">
              <w:r>
                <w:rPr>
                  <w:rStyle w:val="InternetLink"/>
                  <w:rFonts w:ascii="Times New Roman;serif" w:hAnsi="Times New Roman;serif"/>
                  <w:b w:val="false"/>
                  <w:color w:val="0000FF"/>
                  <w:sz w:val="20"/>
                  <w:u w:val="single"/>
                </w:rPr>
                <w:t>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9">
              <w:r>
                <w:rPr>
                  <w:rStyle w:val="InternetLink"/>
                  <w:rFonts w:ascii="Times New Roman;serif" w:hAnsi="Times New Roman;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9">
              <w:r>
                <w:rPr>
                  <w:rStyle w:val="InternetLink"/>
                  <w:rFonts w:ascii="Times New Roman;serif" w:hAnsi="Times New Roman;serif"/>
                  <w:b w:val="false"/>
                  <w:color w:val="0000FF"/>
                  <w:sz w:val="20"/>
                  <w:u w:val="single"/>
                </w:rPr>
                <w:t>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22">
              <w:r>
                <w:rPr>
                  <w:rStyle w:val="InternetLink"/>
                  <w:rFonts w:ascii="Times New Roman;serif" w:hAnsi="Times New Roman;serif"/>
                  <w:b w:val="false"/>
                  <w:color w:val="0000FF"/>
                  <w:sz w:val="20"/>
                  <w:u w:val="single"/>
                </w:rPr>
                <w:t>Condensed Consolidated Statements of Operations and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22">
              <w:r>
                <w:rPr>
                  <w:rStyle w:val="InternetLink"/>
                  <w:rFonts w:ascii="Times New Roman;serif" w:hAnsi="Times New Roman;serif"/>
                  <w:b w:val="false"/>
                  <w:color w:val="0000FF"/>
                  <w:sz w:val="20"/>
                  <w:u w:val="single"/>
                </w:rPr>
                <w:t>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25">
              <w:r>
                <w:rPr>
                  <w:rStyle w:val="InternetLink"/>
                  <w:rFonts w:ascii="Times New Roman;serif" w:hAnsi="Times New Roman;serif"/>
                  <w:b w:val="false"/>
                  <w:color w:val="0000FF"/>
                  <w:sz w:val="20"/>
                  <w:u w:val="single"/>
                </w:rPr>
                <w:t>Condensed Consolidated Statements of Stockholders’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25">
              <w:r>
                <w:rPr>
                  <w:rStyle w:val="InternetLink"/>
                  <w:rFonts w:ascii="Times New Roman;serif" w:hAnsi="Times New Roman;serif"/>
                  <w:b w:val="false"/>
                  <w:color w:val="0000FF"/>
                  <w:sz w:val="20"/>
                  <w:u w:val="single"/>
                </w:rPr>
                <w:t>6</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28">
              <w:r>
                <w:rPr>
                  <w:rStyle w:val="InternetLink"/>
                  <w:rFonts w:ascii="Times New Roman;serif" w:hAnsi="Times New Roman;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28">
              <w:r>
                <w:rPr>
                  <w:rStyle w:val="InternetLink"/>
                  <w:rFonts w:ascii="Times New Roman;serif" w:hAnsi="Times New Roman;serif"/>
                  <w:b w:val="false"/>
                  <w:color w:val="0000FF"/>
                  <w:sz w:val="20"/>
                  <w:u w:val="single"/>
                </w:rPr>
                <w:t>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31">
              <w:r>
                <w:rPr>
                  <w:rStyle w:val="InternetLink"/>
                  <w:rFonts w:ascii="Times New Roman;serif" w:hAnsi="Times New Roman;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31">
              <w:r>
                <w:rPr>
                  <w:rStyle w:val="InternetLink"/>
                  <w:rFonts w:ascii="Times New Roman;serif" w:hAnsi="Times New Roman;serif"/>
                  <w:b w:val="false"/>
                  <w:color w:val="0000FF"/>
                  <w:sz w:val="20"/>
                  <w:u w:val="single"/>
                </w:rPr>
                <w:t>9</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88">
              <w:r>
                <w:rPr>
                  <w:rStyle w:val="InternetLink"/>
                  <w:rFonts w:ascii="Times New Roman;serif" w:hAnsi="Times New Roman;serif"/>
                  <w:b w:val="false"/>
                  <w:color w:val="0000FF"/>
                  <w:sz w:val="20"/>
                  <w:u w:val="single"/>
                </w:rPr>
                <w:t>31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91">
              <w:r>
                <w:rPr>
                  <w:rStyle w:val="InternetLink"/>
                  <w:rFonts w:ascii="Times New Roman;serif" w:hAnsi="Times New Roman;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91">
              <w:r>
                <w:rPr>
                  <w:rStyle w:val="InternetLink"/>
                  <w:rFonts w:ascii="Times New Roman;serif" w:hAnsi="Times New Roman;serif"/>
                  <w:b w:val="false"/>
                  <w:color w:val="0000FF"/>
                  <w:sz w:val="20"/>
                  <w:u w:val="single"/>
                </w:rPr>
                <w:t>31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94">
              <w:r>
                <w:rPr>
                  <w:rStyle w:val="InternetLink"/>
                  <w:rFonts w:ascii="Times New Roman;serif" w:hAnsi="Times New Roman;serif"/>
                  <w:b w:val="false"/>
                  <w:color w:val="0000FF"/>
                  <w:sz w:val="20"/>
                  <w:u w:val="single"/>
                </w:rPr>
                <w:t>Key Operating and Non-GAAP 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94">
              <w:r>
                <w:rPr>
                  <w:rStyle w:val="InternetLink"/>
                  <w:rFonts w:ascii="Times New Roman;serif" w:hAnsi="Times New Roman;serif"/>
                  <w:b w:val="false"/>
                  <w:color w:val="0000FF"/>
                  <w:sz w:val="20"/>
                  <w:u w:val="single"/>
                </w:rPr>
                <w:t>32</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97">
              <w:r>
                <w:rPr>
                  <w:rStyle w:val="InternetLink"/>
                  <w:rFonts w:ascii="Times New Roman;serif" w:hAnsi="Times New Roman;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97">
              <w:r>
                <w:rPr>
                  <w:rStyle w:val="InternetLink"/>
                  <w:rFonts w:ascii="Times New Roman;serif" w:hAnsi="Times New Roman;serif"/>
                  <w:b w:val="false"/>
                  <w:color w:val="0000FF"/>
                  <w:sz w:val="20"/>
                  <w:u w:val="single"/>
                </w:rPr>
                <w:t>34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00">
              <w:r>
                <w:rPr>
                  <w:rStyle w:val="InternetLink"/>
                  <w:rFonts w:ascii="Times New Roman;serif" w:hAnsi="Times New Roman;serif"/>
                  <w:b w:val="false"/>
                  <w:color w:val="0000FF"/>
                  <w:sz w:val="20"/>
                  <w:u w:val="single"/>
                </w:rPr>
                <w:t>Results of Operations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00">
              <w:r>
                <w:rPr>
                  <w:rStyle w:val="InternetLink"/>
                  <w:rFonts w:ascii="Times New Roman;serif" w:hAnsi="Times New Roman;serif"/>
                  <w:b w:val="false"/>
                  <w:color w:val="0000FF"/>
                  <w:sz w:val="20"/>
                  <w:u w:val="single"/>
                </w:rPr>
                <w:t>35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03">
              <w:r>
                <w:rPr>
                  <w:rStyle w:val="InternetLink"/>
                  <w:rFonts w:ascii="Times New Roman;serif" w:hAnsi="Times New Roman;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03">
              <w:r>
                <w:rPr>
                  <w:rStyle w:val="InternetLink"/>
                  <w:rFonts w:ascii="Times New Roman;serif" w:hAnsi="Times New Roman;serif"/>
                  <w:b w:val="false"/>
                  <w:color w:val="0000FF"/>
                  <w:sz w:val="20"/>
                  <w:u w:val="single"/>
                </w:rPr>
                <w:t>38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06">
              <w:r>
                <w:rPr>
                  <w:rStyle w:val="InternetLink"/>
                  <w:rFonts w:ascii="Times New Roman;serif" w:hAnsi="Times New Roman;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06">
              <w:r>
                <w:rPr>
                  <w:rStyle w:val="InternetLink"/>
                  <w:rFonts w:ascii="Times New Roman;serif" w:hAnsi="Times New Roman;serif"/>
                  <w:b w:val="false"/>
                  <w:color w:val="0000FF"/>
                  <w:sz w:val="20"/>
                  <w:u w:val="single"/>
                </w:rPr>
                <w:t>41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09">
              <w:r>
                <w:rPr>
                  <w:rStyle w:val="InternetLink"/>
                  <w:rFonts w:ascii="Times New Roman;serif" w:hAnsi="Times New Roman;serif"/>
                  <w:b w:val="false"/>
                  <w:color w:val="0000FF"/>
                  <w:sz w:val="20"/>
                  <w:u w:val="single"/>
                </w:rPr>
                <w:t>Recent Accounting Pronouncements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09">
              <w:r>
                <w:rPr>
                  <w:rStyle w:val="InternetLink"/>
                  <w:rFonts w:ascii="Times New Roman;serif" w:hAnsi="Times New Roman;serif"/>
                  <w:b w:val="false"/>
                  <w:color w:val="0000FF"/>
                  <w:sz w:val="20"/>
                  <w:u w:val="single"/>
                </w:rPr>
                <w:t>41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12">
              <w:r>
                <w:rPr>
                  <w:rStyle w:val="InternetLink"/>
                  <w:rFonts w:ascii="Times New Roman;serif" w:hAnsi="Times New Roman;serif"/>
                  <w:b w:val="false"/>
                  <w:color w:val="0000FF"/>
                  <w:sz w:val="20"/>
                  <w:u w:val="single"/>
                </w:rPr>
                <w:t>Contractual and Other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12">
              <w:r>
                <w:rPr>
                  <w:rStyle w:val="InternetLink"/>
                  <w:rFonts w:ascii="Times New Roman;serif" w:hAnsi="Times New Roman;serif"/>
                  <w:b w:val="false"/>
                  <w:color w:val="0000FF"/>
                  <w:sz w:val="20"/>
                  <w:u w:val="single"/>
                </w:rPr>
                <w:t>41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15">
              <w:r>
                <w:rPr>
                  <w:rStyle w:val="InternetLink"/>
                  <w:rFonts w:ascii="Times New Roman;serif" w:hAnsi="Times New Roman;serif"/>
                  <w:b w:val="false"/>
                  <w:color w:val="000080"/>
                  <w:sz w:val="20"/>
                  <w:u w:val="single"/>
                </w:rPr>
                <w:t>ITEM 3. Quantitative and Qualitative Disclosure</w:t>
              </w:r>
            </w:hyperlink>
            <w:hyperlink w:anchor="ie8935db0061d4aab8763bda37e383f40_115">
              <w:r>
                <w:rPr>
                  <w:rStyle w:val="InternetLink"/>
                  <w:rFonts w:ascii="Times New Roman;serif" w:hAnsi="Times New Roman;serif"/>
                  <w:b w:val="false"/>
                  <w:color w:val="000080"/>
                  <w:sz w:val="20"/>
                  <w:u w:val="single"/>
                </w:rPr>
                <w:t>s</w:t>
              </w:r>
            </w:hyperlink>
            <w:hyperlink w:anchor="ie8935db0061d4aab8763bda37e383f40_115">
              <w:r>
                <w:rPr>
                  <w:rStyle w:val="InternetLink"/>
                  <w:rFonts w:ascii="Times New Roman;serif" w:hAnsi="Times New Roman;serif"/>
                  <w:b w:val="false"/>
                  <w:color w:val="000080"/>
                  <w:sz w:val="20"/>
                  <w:u w:val="single"/>
                </w:rPr>
                <w:t xml:space="preserv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15">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18">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18">
              <w:r>
                <w:rPr>
                  <w:rStyle w:val="InternetLink"/>
                  <w:rFonts w:ascii="Times New Roman;serif" w:hAnsi="Times New Roman;serif"/>
                  <w:b w:val="false"/>
                  <w:color w:val="0000FF"/>
                  <w:sz w:val="20"/>
                  <w:u w:val="single"/>
                </w:rPr>
                <w:t>46</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8935db0061d4aab8763bda37e383f40_121">
              <w:r>
                <w:rPr>
                  <w:rStyle w:val="InternetLink"/>
                  <w:rFonts w:ascii="Times New Roman;serif" w:hAnsi="Times New Roman;serif"/>
                  <w:b w:val="false"/>
                  <w:color w:val="0000FF"/>
                  <w:sz w:val="20"/>
                  <w:u w:val="single"/>
                </w:rPr>
                <w:t>PART II. OTHER INFORMATION</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24">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24">
              <w:r>
                <w:rPr>
                  <w:rStyle w:val="InternetLink"/>
                  <w:rFonts w:ascii="Times New Roman;serif" w:hAnsi="Times New Roman;serif"/>
                  <w:b w:val="false"/>
                  <w:color w:val="0000FF"/>
                  <w:sz w:val="20"/>
                  <w:u w:val="single"/>
                </w:rPr>
                <w:t>47</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27">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27">
              <w:r>
                <w:rPr>
                  <w:rStyle w:val="InternetLink"/>
                  <w:rFonts w:ascii="Times New Roman;serif" w:hAnsi="Times New Roman;serif"/>
                  <w:b w:val="false"/>
                  <w:color w:val="0000FF"/>
                  <w:sz w:val="20"/>
                  <w:u w:val="single"/>
                </w:rPr>
                <w:t>47</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30">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30">
              <w:r>
                <w:rPr>
                  <w:rStyle w:val="InternetLink"/>
                  <w:rFonts w:ascii="Times New Roman;serif" w:hAnsi="Times New Roman;serif"/>
                  <w:b w:val="false"/>
                  <w:color w:val="0000FF"/>
                  <w:sz w:val="20"/>
                  <w:u w:val="single"/>
                </w:rPr>
                <w:t>47</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33">
              <w:r>
                <w:rPr>
                  <w:rStyle w:val="InternetLink"/>
                  <w:rFonts w:ascii="Times New Roman;serif" w:hAnsi="Times New Roman;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33">
              <w:r>
                <w:rPr>
                  <w:rStyle w:val="InternetLink"/>
                  <w:rFonts w:ascii="Times New Roman;serif" w:hAnsi="Times New Roman;serif"/>
                  <w:b w:val="false"/>
                  <w:color w:val="0000FF"/>
                  <w:sz w:val="20"/>
                  <w:u w:val="single"/>
                </w:rPr>
                <w:t>48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36">
              <w:r>
                <w:rPr>
                  <w:rStyle w:val="InternetLink"/>
                  <w:rFonts w:ascii="Times New Roman;serif" w:hAnsi="Times New Roman;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36">
              <w:r>
                <w:rPr>
                  <w:rStyle w:val="InternetLink"/>
                  <w:rFonts w:ascii="Times New Roman;serif" w:hAnsi="Times New Roman;serif"/>
                  <w:b w:val="false"/>
                  <w:color w:val="0000FF"/>
                  <w:sz w:val="20"/>
                  <w:u w:val="single"/>
                </w:rPr>
                <w:t>48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39">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39">
              <w:r>
                <w:rPr>
                  <w:rStyle w:val="InternetLink"/>
                  <w:rFonts w:ascii="Times New Roman;serif" w:hAnsi="Times New Roman;serif"/>
                  <w:b w:val="false"/>
                  <w:color w:val="0000FF"/>
                  <w:sz w:val="20"/>
                  <w:u w:val="single"/>
                </w:rPr>
                <w:t>48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45">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45">
              <w:r>
                <w:rPr>
                  <w:rStyle w:val="InternetLink"/>
                  <w:rFonts w:ascii="Times New Roman;serif" w:hAnsi="Times New Roman;serif"/>
                  <w:b w:val="false"/>
                  <w:color w:val="0000FF"/>
                  <w:sz w:val="20"/>
                  <w:u w:val="single"/>
                </w:rPr>
                <w:t>50</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935db0061d4aab8763bda37e383f40_148">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35db0061d4aab8763bda37e383f40_148">
              <w:r>
                <w:rPr>
                  <w:rStyle w:val="InternetLink"/>
                  <w:rFonts w:ascii="Times New Roman;serif" w:hAnsi="Times New Roman;serif"/>
                  <w:b w:val="false"/>
                  <w:color w:val="0000FF"/>
                  <w:sz w:val="20"/>
                  <w:u w:val="single"/>
                </w:rPr>
                <w:t>51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strategies and financial trends and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Quarterly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pStyle w:val="TextBody"/>
        <w:bidi w:val="0"/>
        <w:spacing w:before="0" w:after="0"/>
        <w:ind w:left="0" w:right="0" w:firstLine="540"/>
        <w:jc w:val="both"/>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set forth in Part 1, Item 1A, of our Annual Report on Form 10-K for the fiscal year ended December 31, 2025, which we encourage you to carefully read, and include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adverse economic conditions, including new and continued macroeconomic challenges resulting from the impact of global tariff increases and potential future increases and announcements regarding same, as well as the impact of current and potential global conflicts, continued inflation, uncertainty regarding consumer spending, high interest rates, fluctuations in currency rates, and other factors, may harm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if we are unable to attract new customers or sell additional services and functionality to our existing customers, our revenue and revenue growth will be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our existing customers terminate their subscriptions or reduce their subscriptions and telecom, or fail to grow subscriptions at the rate they have in the past or that we might expect, our revenues and gross margins will be harmed, and we will be required to spend more money to grow our customer base;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because a significant percentage of our revenue is derived from existing customers, downturns or upturns in new sales will not be immediately reflected in our operating results and may be difficult to discern;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if we fail to manage our technical operations infrastructure, our existing customers may experience service outages, our new customers may experience delays in the deployment of our solution and we could be subject to claims for credits or damages, among other things;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we are unable to attract and retain highly skilled leaders and other employees, our business and results of operations may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further development of our AI solutions may not be successful, may not achieve market acceptance or compete effectively against our competitors, and may result in reputational harm and our future operating results could be materially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established, and are continuing to increase, our network of technology solution distributors and resellers to sell our solution; our failure to effectively develop, grow, manage, and maintain this network could materially harm our revenues;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both"/>
        <w:rPr/>
      </w:pPr>
      <w:r>
        <w:rPr>
          <w:color w:val="000000"/>
        </w:rPr>
        <w:t>•</w:t>
      </w:r>
      <w:r>
        <w:rPr>
          <w:rFonts w:ascii="Times New Roman;serif" w:hAnsi="Times New Roman;serif"/>
          <w:b w:val="false"/>
          <w:color w:val="000000"/>
          <w:sz w:val="20"/>
        </w:rPr>
        <w:t xml:space="preserve">our historical growth may not be indicative of our future growth, and even if we grow rapidly, we may fail to manage our growth effectively;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failure to adequately retain and expand our sales force will impede our growth;</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use of AI by our workforce may present risks to our business; </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continue to expand our international operations, which exposes us to significant macroeconomic and other risks;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security breaches, cybersecurity incidents, and improper access to, use of, or disclosure of our data or our customers’ data, or other cyber-attacks on our systems, could result in litigation and regulatory risk, harm our reputation, our business or financial results;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prior to 2025, we had a history of losses and we may be unable to sustain profitability;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not achieve the anticipated benefits of share repurchase activity;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may not have sufficient cash to service our convertible senior notes and repay such notes, if required.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20"/>
        </w:rPr>
        <w:t>(In thousands, except per share data)</w:t>
      </w:r>
      <w:r>
        <w:rPr>
          <w:color w:val="000000"/>
        </w:rPr>
        <w:t xml:space="preserve"> </w:t>
      </w:r>
    </w:p>
    <w:tbl>
      <w:tblPr>
        <w:tblW w:w="7874" w:type="dxa"/>
        <w:jc w:val="center"/>
        <w:tblInd w:w="0" w:type="dxa"/>
        <w:tblLayout w:type="fixed"/>
        <w:tblCellMar>
          <w:top w:w="28" w:type="dxa"/>
          <w:left w:w="28" w:type="dxa"/>
          <w:bottom w:w="28" w:type="dxa"/>
          <w:right w:w="28" w:type="dxa"/>
        </w:tblCellMar>
      </w:tblPr>
      <w:tblGrid>
        <w:gridCol w:w="1631"/>
        <w:gridCol w:w="1430"/>
        <w:gridCol w:w="1439"/>
        <w:gridCol w:w="109"/>
        <w:gridCol w:w="109"/>
        <w:gridCol w:w="109"/>
        <w:gridCol w:w="196"/>
        <w:gridCol w:w="871"/>
        <w:gridCol w:w="109"/>
        <w:gridCol w:w="109"/>
        <w:gridCol w:w="109"/>
        <w:gridCol w:w="109"/>
        <w:gridCol w:w="248"/>
        <w:gridCol w:w="1102"/>
        <w:gridCol w:w="194"/>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959,724 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176,976 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1,830,060 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1,790,070 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213,010 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1,004,253 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785,817 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1,830,060 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1,790,070 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9348" w:type="dxa"/>
        <w:jc w:val="center"/>
        <w:tblInd w:w="0" w:type="dxa"/>
        <w:tblLayout w:type="fixed"/>
        <w:tblCellMar>
          <w:top w:w="28" w:type="dxa"/>
          <w:left w:w="28" w:type="dxa"/>
          <w:bottom w:w="28" w:type="dxa"/>
          <w:right w:w="28" w:type="dxa"/>
        </w:tblCellMar>
      </w:tblPr>
      <w:tblGrid>
        <w:gridCol w:w="1264"/>
        <w:gridCol w:w="1111"/>
        <w:gridCol w:w="1120"/>
        <w:gridCol w:w="109"/>
        <w:gridCol w:w="109"/>
        <w:gridCol w:w="109"/>
        <w:gridCol w:w="212"/>
        <w:gridCol w:w="796"/>
        <w:gridCol w:w="117"/>
        <w:gridCol w:w="109"/>
        <w:gridCol w:w="109"/>
        <w:gridCol w:w="109"/>
        <w:gridCol w:w="212"/>
        <w:gridCol w:w="796"/>
        <w:gridCol w:w="117"/>
        <w:gridCol w:w="109"/>
        <w:gridCol w:w="109"/>
        <w:gridCol w:w="109"/>
        <w:gridCol w:w="212"/>
        <w:gridCol w:w="796"/>
        <w:gridCol w:w="117"/>
        <w:gridCol w:w="109"/>
        <w:gridCol w:w="109"/>
        <w:gridCol w:w="109"/>
        <w:gridCol w:w="211"/>
        <w:gridCol w:w="793"/>
        <w:gridCol w:w="166"/>
      </w:tblGrid>
      <w:tr>
        <w:trPr/>
        <w:tc>
          <w:tcPr>
            <w:tcW w:w="126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312,444 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283,269 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617,763 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166,744 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337,271 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309,136 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316,801 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316,125 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(6,989)</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85,479 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88,523 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85,678 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88,964 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tbl>
      <w:tblPr>
        <w:tblW w:w="11854"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871"/>
        <w:gridCol w:w="109"/>
        <w:gridCol w:w="190"/>
        <w:gridCol w:w="190"/>
        <w:gridCol w:w="191"/>
        <w:gridCol w:w="1021"/>
        <w:gridCol w:w="109"/>
        <w:gridCol w:w="871"/>
        <w:gridCol w:w="109"/>
        <w:gridCol w:w="251"/>
        <w:gridCol w:w="539"/>
        <w:gridCol w:w="141"/>
        <w:gridCol w:w="109"/>
        <w:gridCol w:w="109"/>
        <w:gridCol w:w="109"/>
        <w:gridCol w:w="196"/>
        <w:gridCol w:w="751"/>
        <w:gridCol w:w="109"/>
        <w:gridCol w:w="109"/>
        <w:gridCol w:w="109"/>
        <w:gridCol w:w="109"/>
        <w:gridCol w:w="196"/>
        <w:gridCol w:w="736"/>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2181"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871"/>
        <w:gridCol w:w="109"/>
        <w:gridCol w:w="190"/>
        <w:gridCol w:w="190"/>
        <w:gridCol w:w="191"/>
        <w:gridCol w:w="1021"/>
        <w:gridCol w:w="109"/>
        <w:gridCol w:w="871"/>
        <w:gridCol w:w="109"/>
        <w:gridCol w:w="251"/>
        <w:gridCol w:w="539"/>
        <w:gridCol w:w="141"/>
        <w:gridCol w:w="109"/>
        <w:gridCol w:w="109"/>
        <w:gridCol w:w="109"/>
        <w:gridCol w:w="196"/>
        <w:gridCol w:w="751"/>
        <w:gridCol w:w="109"/>
        <w:gridCol w:w="109"/>
        <w:gridCol w:w="109"/>
        <w:gridCol w:w="109"/>
        <w:gridCol w:w="196"/>
        <w:gridCol w:w="736"/>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701"/>
        <w:gridCol w:w="2296"/>
        <w:gridCol w:w="2303"/>
        <w:gridCol w:w="109"/>
        <w:gridCol w:w="109"/>
        <w:gridCol w:w="109"/>
        <w:gridCol w:w="207"/>
        <w:gridCol w:w="779"/>
        <w:gridCol w:w="114"/>
        <w:gridCol w:w="109"/>
        <w:gridCol w:w="109"/>
        <w:gridCol w:w="109"/>
        <w:gridCol w:w="206"/>
        <w:gridCol w:w="777"/>
        <w:gridCol w:w="168"/>
      </w:tblGrid>
      <w:tr>
        <w:trPr/>
        <w:tc>
          <w:tcPr>
            <w:tcW w:w="270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the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charges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taxes - excluding tax benefit from acquisition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(56,181)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(including non-current portions of operating and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105,998 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(315,146)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191,063 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outstanding 2025 convertible senior notes at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common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repurchase of the Company's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 on financing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(108,261)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(431,125)</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(156,617)</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189,426 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207,568 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Maintenance services purchased through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purchased and unpaid at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Condensed Consolidated Balance Sheets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234,131 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Condensed Consolidated Balance Sheets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189,426 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207,568 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 xml:space="preserve">1. Description of Business and Summary of Significant Accounting Policies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Five9, Inc. and its wholly-owned subsidiaries (the “Company”) is a provider of cloud software for contact centers. The Company was incorporated in Delaware in 2001 and is headquartered in San Ramon, California. In addition to the United States, the Company has offices in Europe, Asia and Australia, which primarily provide research, development, sales, marketing, and customer support services.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2025.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including accompanying notes,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the performance-based restricted stock units ("PRSUs"). Management periodically evaluates such estimates and they are adjusted prospectively based upon such periodic evaluation. Actual results could differ from those estimates.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significant accounting policies previously disclosed in Part II, Item 8, of the Company's Annual Report on Form 10-K for the fiscal year ended December 31, 2025 as filed with the SEC on February 20,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The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Topic 606. This guidance is effective for reporting periods beginning after December 15, 2025, with early adoption permitted. The Company's adoption of ASU 2025-05 electing the practical expedient method did not have a material impact on its financial position and results of operations.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with Conversion and Other Options (Subtopic 470-20)</w:t>
      </w:r>
      <w:r>
        <w:rPr>
          <w:rFonts w:ascii="Times New Roman;serif" w:hAnsi="Times New Roman;serif"/>
          <w:b w:val="false"/>
          <w:color w:val="000000"/>
          <w:sz w:val="20"/>
        </w:rPr>
        <w:t xml:space="preserve">,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 ASU 2020-06, with the option to apply the guidance prospectively or retrospectively. The Company's adoption of ASU 2024-04 on a prospective basis did not have an impact on its financial position and results of operations. </w:t>
      </w:r>
    </w:p>
    <w:p>
      <w:pPr>
        <w:pStyle w:val="TextBody"/>
        <w:bidi w:val="0"/>
        <w:spacing w:lineRule="auto" w:line="288" w:before="180" w:after="283"/>
        <w:jc w:val="left"/>
        <w:rPr/>
      </w:pPr>
      <w:r>
        <w:rPr>
          <w:rFonts w:ascii="Times New Roman;serif" w:hAnsi="Times New Roman;serif"/>
          <w:b/>
          <w:color w:val="000000"/>
          <w:sz w:val="20"/>
        </w:rPr>
        <w:t>Recent Accounting Pronouncements Not Yet Effective</w:t>
      </w:r>
      <w:r>
        <w:rPr>
          <w:color w:val="EE2724"/>
        </w:rPr>
        <w:t xml:space="preserve"> </w:t>
      </w:r>
    </w:p>
    <w:p>
      <w:pPr>
        <w:pStyle w:val="TextBody"/>
        <w:bidi w:val="0"/>
        <w:spacing w:lineRule="auto" w:line="268" w:before="18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and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xml:space="preserve">, which clarified the effective date of ASU 2024-03. This ASU is intended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the decision-usefulness of expense information on public companies’ income statements through disaggregation of relevant expense captions in the notes to the financial statements. The guidance, as clarified by ASU 2025-01, is effective for annual reporting periods beginning after December 15, 2026, and interim periods within annual reporting periods beginning after December 15, 2027, with early adoption permitted. The Company is currently assessing the impact of this ASU on its consolidated financial statements and related disclosures.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In September 2025, the FASB issued ASU 2025-06</w:t>
      </w:r>
      <w:r>
        <w:rPr>
          <w:rFonts w:ascii="Times New Roman;serif" w:hAnsi="Times New Roman;serif"/>
          <w:b w:val="false"/>
          <w:i/>
          <w:color w:val="000000"/>
          <w:sz w:val="20"/>
        </w:rPr>
        <w:t>, Intangibles - 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The amendments are intended to modernize the recognition and capitalization framework to reflect current software development practices, including iterative and agile methodologies, by removing references to development project stages. It requires that an entity capitalize software costs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reporting periods beginning after December 15, 2027, and interim reporting periods within those annual reporting periods. Early adoption is permitted as of the beginning of an annual reporting period. The Company is currently assessing the impact of this ASU on its consolidated financial statements and related disclosures.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 Scope Improvements</w:t>
      </w:r>
      <w:r>
        <w:rPr>
          <w:rFonts w:ascii="Times New Roman;serif" w:hAnsi="Times New Roman;serif"/>
          <w:b w:val="false"/>
          <w:color w:val="000000"/>
          <w:sz w:val="20"/>
        </w:rPr>
        <w:t>, which is intended to clarify the guidance in ASC 270. Under the amendments, an entity is subject to ASC 270 if it provides interim financial statements and notes in accordance with GAAP. ASU 2025-11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The Company is currently assessing the impact of this ASU on its consolidated financial statements and related disclosures.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May 2026, the FASB issued ASU 2026-02, </w:t>
      </w:r>
      <w:r>
        <w:rPr>
          <w:rFonts w:ascii="Times New Roman;serif" w:hAnsi="Times New Roman;serif"/>
          <w:b w:val="false"/>
          <w:i/>
          <w:color w:val="000000"/>
          <w:sz w:val="20"/>
        </w:rPr>
        <w:t>Environmental Credits and Environmental Credit Obligations (Topic 818).</w:t>
      </w:r>
      <w:r>
        <w:rPr>
          <w:color w:val="000000"/>
        </w:rPr>
        <w:t xml:space="preserve"> </w:t>
      </w:r>
      <w:r>
        <w:rPr>
          <w:rFonts w:ascii="Times New Roman;serif" w:hAnsi="Times New Roman;serif"/>
          <w:b w:val="false"/>
          <w:color w:val="000000"/>
          <w:sz w:val="20"/>
        </w:rPr>
        <w:t>This ASU provides recognition, measurement, presentation and disclosure requirements for environmental credits and related environmental credit obligations. This guidance is effective for reporting periods beginning after December 15, 2027, with early adoption permitted. The Company is currently assessing the impact of this ASU on its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net, deferred contract acquisition costs, net, contract assets and contract liabilities from contracts with customers (in thousands):</w:t>
      </w:r>
    </w:p>
    <w:tbl>
      <w:tblPr>
        <w:tblW w:w="9639" w:type="dxa"/>
        <w:jc w:val="left"/>
        <w:tblInd w:w="0" w:type="dxa"/>
        <w:tblLayout w:type="fixed"/>
        <w:tblCellMar>
          <w:top w:w="28" w:type="dxa"/>
          <w:left w:w="28" w:type="dxa"/>
          <w:bottom w:w="28" w:type="dxa"/>
          <w:right w:w="28" w:type="dxa"/>
        </w:tblCellMar>
      </w:tblPr>
      <w:tblGrid>
        <w:gridCol w:w="2284"/>
        <w:gridCol w:w="2009"/>
        <w:gridCol w:w="2022"/>
        <w:gridCol w:w="109"/>
        <w:gridCol w:w="109"/>
        <w:gridCol w:w="109"/>
        <w:gridCol w:w="212"/>
        <w:gridCol w:w="796"/>
        <w:gridCol w:w="117"/>
        <w:gridCol w:w="109"/>
        <w:gridCol w:w="109"/>
        <w:gridCol w:w="109"/>
        <w:gridCol w:w="279"/>
        <w:gridCol w:w="1047"/>
        <w:gridCol w:w="219"/>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141,507 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284,104 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 (deferred revenue) (included in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(68,691)</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(74,959)</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costs are recorded when incurred and are amortized over an estimated customer benefit period of five years.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the Company recognized revenue of $12.6 million and $58.1 million related to its contract liabilities at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total transaction price allocated in contracts with original duration of greater than one year to the remaining performance obligations was $1,448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3. Investments and Fair Value Measurements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Marketable Investments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June 30, 2026. The Company’s marketable investments as of June 30, 2026 and December 31, 2025 were as follows (in thousands):</w:t>
      </w:r>
    </w:p>
    <w:tbl>
      <w:tblPr>
        <w:tblW w:w="10205" w:type="dxa"/>
        <w:jc w:val="left"/>
        <w:tblInd w:w="0" w:type="dxa"/>
        <w:tblLayout w:type="fixed"/>
        <w:tblCellMar>
          <w:top w:w="28" w:type="dxa"/>
          <w:left w:w="28" w:type="dxa"/>
          <w:bottom w:w="28" w:type="dxa"/>
          <w:right w:w="28" w:type="dxa"/>
        </w:tblCellMar>
      </w:tblPr>
      <w:tblGrid>
        <w:gridCol w:w="1270"/>
        <w:gridCol w:w="1116"/>
        <w:gridCol w:w="1092"/>
        <w:gridCol w:w="109"/>
        <w:gridCol w:w="109"/>
        <w:gridCol w:w="109"/>
        <w:gridCol w:w="211"/>
        <w:gridCol w:w="826"/>
        <w:gridCol w:w="109"/>
        <w:gridCol w:w="109"/>
        <w:gridCol w:w="109"/>
        <w:gridCol w:w="109"/>
        <w:gridCol w:w="443"/>
        <w:gridCol w:w="855"/>
        <w:gridCol w:w="231"/>
        <w:gridCol w:w="109"/>
        <w:gridCol w:w="109"/>
        <w:gridCol w:w="109"/>
        <w:gridCol w:w="404"/>
        <w:gridCol w:w="936"/>
        <w:gridCol w:w="209"/>
        <w:gridCol w:w="109"/>
        <w:gridCol w:w="109"/>
        <w:gridCol w:w="109"/>
        <w:gridCol w:w="211"/>
        <w:gridCol w:w="826"/>
        <w:gridCol w:w="158"/>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466,757 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4" w:type="dxa"/>
            <w:gridSpan w:val="18"/>
            <w:tcBorders/>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4" w:type="dxa"/>
            <w:gridSpan w:val="18"/>
            <w:tcBorders/>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70"/>
        <w:gridCol w:w="1116"/>
        <w:gridCol w:w="1092"/>
        <w:gridCol w:w="109"/>
        <w:gridCol w:w="109"/>
        <w:gridCol w:w="109"/>
        <w:gridCol w:w="211"/>
        <w:gridCol w:w="826"/>
        <w:gridCol w:w="109"/>
        <w:gridCol w:w="109"/>
        <w:gridCol w:w="109"/>
        <w:gridCol w:w="109"/>
        <w:gridCol w:w="409"/>
        <w:gridCol w:w="907"/>
        <w:gridCol w:w="214"/>
        <w:gridCol w:w="109"/>
        <w:gridCol w:w="109"/>
        <w:gridCol w:w="109"/>
        <w:gridCol w:w="449"/>
        <w:gridCol w:w="866"/>
        <w:gridCol w:w="234"/>
        <w:gridCol w:w="109"/>
        <w:gridCol w:w="109"/>
        <w:gridCol w:w="109"/>
        <w:gridCol w:w="211"/>
        <w:gridCol w:w="826"/>
        <w:gridCol w:w="157"/>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464,835 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unrealized losses and the fair value for those marketable investments that were in an unrealized loss position for less than 12 months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276"/>
        <w:gridCol w:w="1118"/>
        <w:gridCol w:w="1127"/>
        <w:gridCol w:w="109"/>
        <w:gridCol w:w="109"/>
        <w:gridCol w:w="109"/>
        <w:gridCol w:w="409"/>
        <w:gridCol w:w="948"/>
        <w:gridCol w:w="212"/>
        <w:gridCol w:w="109"/>
        <w:gridCol w:w="109"/>
        <w:gridCol w:w="109"/>
        <w:gridCol w:w="211"/>
        <w:gridCol w:w="826"/>
        <w:gridCol w:w="109"/>
        <w:gridCol w:w="109"/>
        <w:gridCol w:w="109"/>
        <w:gridCol w:w="109"/>
        <w:gridCol w:w="455"/>
        <w:gridCol w:w="878"/>
        <w:gridCol w:w="237"/>
        <w:gridCol w:w="109"/>
        <w:gridCol w:w="109"/>
        <w:gridCol w:w="109"/>
        <w:gridCol w:w="211"/>
        <w:gridCol w:w="721"/>
        <w:gridCol w:w="159"/>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315" w:type="dxa"/>
            <w:gridSpan w:val="12"/>
            <w:tcBorders/>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Although the Company had certain available-for-sale debt securities in an unrealized loss position as of June 30, 2026, no impairment loss was recorded since it did not intend to sell them, did not anticipate a need to sell them, and the decline in fair value was not due to any credit-related factors.</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the Company’s marketable investments by contractual maturity as of June 30, 2026 were as follows (in thousands):</w:t>
      </w:r>
    </w:p>
    <w:tbl>
      <w:tblPr>
        <w:tblW w:w="6081" w:type="dxa"/>
        <w:jc w:val="left"/>
        <w:tblInd w:w="0" w:type="dxa"/>
        <w:tblLayout w:type="fixed"/>
        <w:tblCellMar>
          <w:top w:w="28" w:type="dxa"/>
          <w:left w:w="28" w:type="dxa"/>
          <w:bottom w:w="28" w:type="dxa"/>
          <w:right w:w="28" w:type="dxa"/>
        </w:tblCellMar>
      </w:tblPr>
      <w:tblGrid>
        <w:gridCol w:w="1120"/>
        <w:gridCol w:w="981"/>
        <w:gridCol w:w="989"/>
        <w:gridCol w:w="109"/>
        <w:gridCol w:w="109"/>
        <w:gridCol w:w="10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its Level 1 financial instruments, which are traded in active markets, using quoted market prices for identical instruments.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Company’s assets measured at fair value by level within the fair value hierarchy (in thousands): </w:t>
      </w:r>
    </w:p>
    <w:tbl>
      <w:tblPr>
        <w:tblW w:w="9641" w:type="dxa"/>
        <w:jc w:val="left"/>
        <w:tblInd w:w="0" w:type="dxa"/>
        <w:tblLayout w:type="fixed"/>
        <w:tblCellMar>
          <w:top w:w="28" w:type="dxa"/>
          <w:left w:w="28" w:type="dxa"/>
          <w:bottom w:w="28" w:type="dxa"/>
          <w:right w:w="28" w:type="dxa"/>
        </w:tblCellMar>
      </w:tblPr>
      <w:tblGrid>
        <w:gridCol w:w="1490"/>
        <w:gridCol w:w="1311"/>
        <w:gridCol w:w="1323"/>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 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657" w:type="dxa"/>
        <w:jc w:val="center"/>
        <w:tblInd w:w="0" w:type="dxa"/>
        <w:tblLayout w:type="fixed"/>
        <w:tblCellMar>
          <w:top w:w="28" w:type="dxa"/>
          <w:left w:w="28" w:type="dxa"/>
          <w:bottom w:w="28" w:type="dxa"/>
          <w:right w:w="28" w:type="dxa"/>
        </w:tblCellMar>
      </w:tblPr>
      <w:tblGrid>
        <w:gridCol w:w="1496"/>
        <w:gridCol w:w="1316"/>
        <w:gridCol w:w="1328"/>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The 2025 convertible senior notes matured on June 1, 2025, and the Company settled its obligations with respect to the 2025 convertible senior notes in cash in connection therewith. As of June 30, 2026 and December 31, 2025, the estimated fair value of the outstanding 2029 convertible senior notes was $663.9 million and $674.1 million, respectively.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 The Company concluded that there was no further indicator of impairment of this investment as of June 30, 2026. </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Except for the equity investment described above, there were no assets or liabilities measured at fair value on a non-recurring basis as of June 30, 2026 and December 31, 2025.</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4. Financial Statement Components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consisted of the following (in thousands): </w:t>
      </w:r>
    </w:p>
    <w:tbl>
      <w:tblPr>
        <w:tblW w:w="6043" w:type="dxa"/>
        <w:jc w:val="left"/>
        <w:tblInd w:w="0" w:type="dxa"/>
        <w:tblLayout w:type="fixed"/>
        <w:tblCellMar>
          <w:top w:w="28" w:type="dxa"/>
          <w:left w:w="28" w:type="dxa"/>
          <w:bottom w:w="28" w:type="dxa"/>
          <w:right w:w="28" w:type="dxa"/>
        </w:tblCellMar>
      </w:tblPr>
      <w:tblGrid>
        <w:gridCol w:w="975"/>
        <w:gridCol w:w="856"/>
        <w:gridCol w:w="868"/>
        <w:gridCol w:w="109"/>
        <w:gridCol w:w="109"/>
        <w:gridCol w:w="109"/>
        <w:gridCol w:w="211"/>
        <w:gridCol w:w="826"/>
        <w:gridCol w:w="109"/>
        <w:gridCol w:w="109"/>
        <w:gridCol w:w="109"/>
        <w:gridCol w:w="109"/>
        <w:gridCol w:w="273"/>
        <w:gridCol w:w="1072"/>
        <w:gridCol w:w="199"/>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232,084 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Accounts receivable, net consisted of the following (in thousands):</w:t>
      </w:r>
      <w:r>
        <w:rPr>
          <w:color w:val="000000"/>
        </w:rPr>
        <w:t xml:space="preserve"> </w:t>
      </w:r>
    </w:p>
    <w:tbl>
      <w:tblPr>
        <w:tblW w:w="9058" w:type="dxa"/>
        <w:jc w:val="left"/>
        <w:tblInd w:w="0" w:type="dxa"/>
        <w:tblLayout w:type="fixed"/>
        <w:tblCellMar>
          <w:top w:w="28" w:type="dxa"/>
          <w:left w:w="28" w:type="dxa"/>
          <w:bottom w:w="28" w:type="dxa"/>
          <w:right w:w="28" w:type="dxa"/>
        </w:tblCellMar>
      </w:tblPr>
      <w:tblGrid>
        <w:gridCol w:w="2069"/>
        <w:gridCol w:w="1819"/>
        <w:gridCol w:w="1826"/>
        <w:gridCol w:w="109"/>
        <w:gridCol w:w="109"/>
        <w:gridCol w:w="109"/>
        <w:gridCol w:w="211"/>
        <w:gridCol w:w="826"/>
        <w:gridCol w:w="109"/>
        <w:gridCol w:w="109"/>
        <w:gridCol w:w="109"/>
        <w:gridCol w:w="109"/>
        <w:gridCol w:w="273"/>
        <w:gridCol w:w="1072"/>
        <w:gridCol w:w="199"/>
      </w:tblGrid>
      <w:tr>
        <w:trPr/>
        <w:tc>
          <w:tcPr>
            <w:tcW w:w="206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trade accounts receivable, net of advance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was one customer that represented 16% of accounts receivable as of June 30, 2026 and no single customer accounted for more than 10% of the Company's total revenue during the six months ended June 30, 2026.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consisted of the following (in thousands): </w:t>
      </w:r>
    </w:p>
    <w:tbl>
      <w:tblPr>
        <w:tblW w:w="6773"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228"/>
        <w:gridCol w:w="779"/>
        <w:gridCol w:w="117"/>
        <w:gridCol w:w="109"/>
        <w:gridCol w:w="109"/>
        <w:gridCol w:w="109"/>
        <w:gridCol w:w="300"/>
        <w:gridCol w:w="1026"/>
        <w:gridCol w:w="21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43,107 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7033"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826"/>
        <w:gridCol w:w="109"/>
        <w:gridCol w:w="109"/>
        <w:gridCol w:w="109"/>
        <w:gridCol w:w="109"/>
        <w:gridCol w:w="273"/>
        <w:gridCol w:w="1072"/>
        <w:gridCol w:w="19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351,892 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(187,257)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164,635 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associated with property and equipment was $16.5 million and $30.9 million for the three and six months ended June 30, 2026, respectively. Depreciation and amortization expense associated with property and equipment was $11.2 million and $21.6 million for the three and six months ended June 30, 2025, respectively. During the three and six months ended June 30, 2026, the Company recorded impairment charges of property and equipment in the amount of $1.0 million and $1.1 million, respectively. During the three and six months ended June 30, 2025, the Company recorded impairment charges of property and equipment in the amount of $0.5 million and $0.8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(in thousands): </w:t>
      </w:r>
    </w:p>
    <w:tbl>
      <w:tblPr>
        <w:tblW w:w="7283"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228"/>
        <w:gridCol w:w="779"/>
        <w:gridCol w:w="117"/>
        <w:gridCol w:w="109"/>
        <w:gridCol w:w="109"/>
        <w:gridCol w:w="109"/>
        <w:gridCol w:w="300"/>
        <w:gridCol w:w="1026"/>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Accrued and other current liabilities consisted of the following (in thousands): </w:t>
      </w:r>
    </w:p>
    <w:tbl>
      <w:tblPr>
        <w:tblW w:w="6367"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228"/>
        <w:gridCol w:w="779"/>
        <w:gridCol w:w="117"/>
        <w:gridCol w:w="109"/>
        <w:gridCol w:w="109"/>
        <w:gridCol w:w="109"/>
        <w:gridCol w:w="300"/>
        <w:gridCol w:w="1026"/>
        <w:gridCol w:w="219"/>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federal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95,682 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2026, the Company entered into a $53.9 million five-year agreement for data center support and maintenance services, which was financed through a non-interest bearing financing arrangement. In accordance with ASC 835-30, the financing arrangement was recorded as a liability at its present value of $48.3 million using an imputed interest rate. The current (included in Prepaid expenses) and long-term (included in Other assets) prepaid portions of this obligation were $9.6 million and $34.8 million, respectively,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2026. The current and long-term portions of this obligation were $10.8 million and $27.4 million, respectively, as of June 30, 2026.</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consisted of the following (in thousands): </w:t>
      </w:r>
    </w:p>
    <w:tbl>
      <w:tblPr>
        <w:tblW w:w="5578" w:type="dxa"/>
        <w:jc w:val="left"/>
        <w:tblInd w:w="0" w:type="dxa"/>
        <w:tblLayout w:type="fixed"/>
        <w:tblCellMar>
          <w:top w:w="28" w:type="dxa"/>
          <w:left w:w="28" w:type="dxa"/>
          <w:bottom w:w="28" w:type="dxa"/>
          <w:right w:w="28" w:type="dxa"/>
        </w:tblCellMar>
      </w:tblPr>
      <w:tblGrid>
        <w:gridCol w:w="898"/>
        <w:gridCol w:w="786"/>
        <w:gridCol w:w="790"/>
        <w:gridCol w:w="228"/>
        <w:gridCol w:w="779"/>
        <w:gridCol w:w="117"/>
        <w:gridCol w:w="109"/>
        <w:gridCol w:w="109"/>
        <w:gridCol w:w="109"/>
        <w:gridCol w:w="338"/>
        <w:gridCol w:w="987"/>
        <w:gridCol w:w="174"/>
        <w:gridCol w:w="154"/>
      </w:tblGrid>
      <w:tr>
        <w:trPr/>
        <w:tc>
          <w:tcPr>
            <w:tcW w:w="89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tax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5. Goodwill and Intangible Assets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in the Company's goodwill and intangible asset balances during the six months ended June 30, 2026 (in thousands): </w:t>
      </w:r>
    </w:p>
    <w:tbl>
      <w:tblPr>
        <w:tblW w:w="7117" w:type="dxa"/>
        <w:jc w:val="left"/>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267"/>
        <w:gridCol w:w="914"/>
        <w:gridCol w:w="138"/>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intangible assets were as follows (in thousands): </w:t>
      </w:r>
    </w:p>
    <w:tbl>
      <w:tblPr>
        <w:tblW w:w="11960"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(62,794)</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(75,987)</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(69,168)</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$3.4 million and $6.8 million for the three and six months ended June 30, 2026, respectively. Amortization expense related to intangible assets was $3.5 million and $7.6 million for the three and six months ended June 30, 2025, respectively.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expected future amortization expense for intangible assets was as follows (in thousands): </w:t>
      </w:r>
    </w:p>
    <w:tbl>
      <w:tblPr>
        <w:tblW w:w="4811" w:type="dxa"/>
        <w:jc w:val="left"/>
        <w:tblInd w:w="0" w:type="dxa"/>
        <w:tblLayout w:type="fixed"/>
        <w:tblCellMar>
          <w:top w:w="28" w:type="dxa"/>
          <w:left w:w="28" w:type="dxa"/>
          <w:bottom w:w="28" w:type="dxa"/>
          <w:right w:w="28" w:type="dxa"/>
        </w:tblCellMar>
      </w:tblPr>
      <w:tblGrid>
        <w:gridCol w:w="535"/>
        <w:gridCol w:w="471"/>
        <w:gridCol w:w="478"/>
        <w:gridCol w:w="109"/>
        <w:gridCol w:w="109"/>
        <w:gridCol w:w="109"/>
        <w:gridCol w:w="581"/>
        <w:gridCol w:w="1990"/>
        <w:gridCol w:w="42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Future Amortization Expense</w:t>
            </w:r>
          </w:p>
        </w:tc>
      </w:tr>
      <w:tr>
        <w:trPr/>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68" w:before="120" w:after="283"/>
        <w:jc w:val="both"/>
        <w:rPr/>
      </w:pPr>
      <w:r>
        <w:rPr>
          <w:rFonts w:ascii="Times New Roman;serif" w:hAnsi="Times New Roman;serif"/>
          <w:b/>
          <w:color w:val="000000"/>
          <w:sz w:val="20"/>
        </w:rPr>
        <w:t>2029 Convertible Senior Notes and Related Capped Call Transactions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pPr>
      <w:r>
        <w:rPr>
          <w:rFonts w:ascii="Times New Roman;serif" w:hAnsi="Times New Roman;serif"/>
          <w:b w:val="false"/>
          <w:color w:val="000000"/>
          <w:sz w:val="20"/>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 upon the occurrence of specified events.</w:t>
      </w:r>
      <w:r>
        <w:rPr>
          <w:color w:val="000000"/>
        </w:rPr>
        <w:t xml:space="preserve"> </w:t>
      </w:r>
      <w:r>
        <w:rPr>
          <w:rFonts w:ascii="Times New Roman;serif" w:hAnsi="Times New Roman;serif"/>
          <w:b w:val="false"/>
          <w:color w:val="000000"/>
          <w:sz w:val="20"/>
        </w:rPr>
        <w:t xml:space="preserve">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market price of the Company's common stock of $21.32 per share on June 30, 2026, the last trading day during the three months ended June 30, 2026,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June 30, 2026, was not greater than or equal to 130% of the initial conversion price. As such, during the three months ended June 30, 2026, the conditions allowing holders of the 2029 convertible senior notes to convert were not met. The 2029 convertible senior notes are therefore not convertible during the three months ending September 30, 2026.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2029 convertible senior notes as of June 30, 2026 and December 31, 2025 was as follows (in thousands):</w:t>
      </w:r>
    </w:p>
    <w:tbl>
      <w:tblPr>
        <w:tblW w:w="5699"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11"/>
        <w:gridCol w:w="826"/>
        <w:gridCol w:w="109"/>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747,500 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735,490 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2029 convertible senior notes was as follows (in thousands):</w:t>
      </w:r>
    </w:p>
    <w:tbl>
      <w:tblPr>
        <w:tblW w:w="8447"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debt issuance costs are amortized into interest expense over the term of the 2029 convertible senior notes at an effective interest rate of 1.49%.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 xml:space="preserve">2025 Convertible Senior Notes and Related Capped Call Transactions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used part of the net proceeds from the issuance of the 2029 convertible senior notes to repurchase $313.1 million aggregate principal amount of the 2025 convertible senior notes in privately-negotiated transactions.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2025 convertible senior notes matured on June 1, 2025, and the Company settled its obligations with respect to the 2025 convertible senior notes in cash in connection therewith. Prior to maturity, the 2025 convertible senior notes bore interest at a fixed rate of 0.500% per annum, payable semiannually in arrears on June 1 and December 1 of each year.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2025 convertible senior notes, the Company entered into privately negotiated capped call transactions (each a “2025 Capped Call,” and collectively the "2025 Capped Calls") with certain financial institutions. The 2025 Capped Calls each had an initial strike price of approximately $134.34, which corresponded to the initial conversion price of the 2025 convertible senior notes. In connection with the Repurchase Transaction, the Company unwound a portion of the 2025 Capped Calls. The remaining 2025 Capped Calls covered, subject to anti-dilution adjustments, approximately 3.2 million shares of the Company’s common stock. For accounting purposes, each 2025 Capped Call was a separate transaction from, and not part of the terms of the 2025 convertible senior notes. As these transactions met certain accounting criteria, the 2025 Capped Calls were recorded in stockholders' equity and were not accounted for as derivatives. Upon maturity, the outstanding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pPr>
      <w:r>
        <w:rPr>
          <w:rFonts w:ascii="Times New Roman;serif" w:hAnsi="Times New Roman;serif"/>
          <w:b w:val="false"/>
          <w:color w:val="000000"/>
          <w:sz w:val="20"/>
        </w:rPr>
        <w:t>Capped Calls associated with the 2025 convertible senior notes were settled with no consideration received since their strike prices were in excess of the Company's stock price at that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450,000,000 shares of common stock with a par value of $0.001 per share. As of June 30, 2026 and December 31, 2025, the Company had 74,723,531 and 77,194,499 shares of common stock issued and outstanding,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June 30, 2026 and December 31, 2025, there were no shares of preferred stock issued and outstanding.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Repurchase Programs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2025 Repurchase Program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October 2025, the Company’s Board of Directors approved the 2025 Repurchase Program, which authorized</w:t>
      </w:r>
      <w:r>
        <w:rPr>
          <w:color w:val="000000"/>
        </w:rPr>
        <w:t xml:space="preserve"> </w:t>
      </w:r>
      <w:r>
        <w:rPr>
          <w:rFonts w:ascii="Times New Roman;serif" w:hAnsi="Times New Roman;serif"/>
          <w:b w:val="false"/>
          <w:color w:val="000000"/>
          <w:sz w:val="20"/>
        </w:rPr>
        <w:t>the repurchase of up to $150.0 million of the Company’s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r>
        <w:rPr>
          <w:color w:val="000000"/>
        </w:rPr>
        <w:t xml:space="preserve">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2025 Repurchase Program, the Company entered into an ASR program (the "2025 ASR Program") with JPMorgan Chase Bank, National Association N.A. ("JPM") on November 11, 2025. Under the terms of the 2025 ASR Program, on November 12, 2025, the Company made an aggregate payment of $50 million and received an initial delivery of 1,926,782 shares of the Company’s common stock at an initial price of $20.76 per share, representing approximately 73% of the total number of shares of the Company’s common stock purchased under the 2025 ASR Program. The 2025 ASR Program was completed on February 2, 2026, which resulted in delivery of 701,517 additional shares to the Company. The final share settlement was based on the average daily volume-weighted average price of the Company's shares, netted against the initial delivery. The shares received were immediately retired and recorded as a reduction to additional paid-in-capital within stockholders’ equity.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the Company repurchased 578,742 shares under the 2025 Repurchase Program at an average share price of $17.28 for an aggregate payment of $10.0 million.</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an additional $90 million ASR program (the “2026 ASR Program”) on May 4, 2026 with JPM to repurchase the remaining authorized amount under the 2025 Repurchase Program. Under the terms of the 2026 ASR Program, on May 5, 2026, the Company made an aggregate payment of $90 million and received an initial delivery of 3,084,833 shares of the Company’s common stock at an initial price of $23.34 per share, representing approximately 80% of the total number of shares of the Company’s common stock expected to be purchased under the 2026 ASR Program. The shares received were immediately retired and recorded as a reduction to additional paid-in-capital within stockholders' equity. Given the Company’s ability to settle in shares, as described below, the remaining $18 million prepaid forward contract was classified as a reduction to additional-paid-in-capital upon issuance and as of June 30, 2026. The final settlement of the 2026 ASR Program is expected to occur in the third quarter of 2026.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ASR programs, upon settlement, the Company was permitted to either receive additional shares of common stock from JPM or were required to deliver additional shares of common stock or cash to JPM, at the Company’s election. The final number of shares the Company repurchased was based on the average of the daily volume-weighted average prices of the Company’s common stock during the term of the ASR programs, less a discount and subject to adjustments pursuant to the terms and conditions of the ASR programs. Cash settlement was not mandatory pursuant to the terms of the ASR programs.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no amount remained available under the 2025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2026 Repurchase Program</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announced that its Board of Directors approved a new share repurchase program (the “2026 Repurchase Program”), which authorized the repurchase of up to an additional $200.0 million of the Company’s common stock and has no expiration date.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under the 2026 Repurchase Program will be made pursuant to open market purchases, solicited or unsolicited privately negotiated transactions, accelerated share repurchase transactions, and may be effected pursuant to 10b5-1 plans, and in compliance with applicable securities laws and other requirements. The 2026 Repurchase Program will be funded using the Company's cash on hand and future cash flow generation.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timing, manner, price, and amount of repurchases under the 2026 Repurchase Program is subject to the discretion of the Company’s management. The Company is not obligated to acquire a specified number of shares under the 2026 Repurchase Program, which may be suspended, modified, or terminated at any time, without prior notice. The shares received will be immediately retired and recorded as a reduction to additional paid-in-capital within stockholders’ equity.</w:t>
      </w:r>
    </w:p>
    <w:p>
      <w:pPr>
        <w:pStyle w:val="TextBody"/>
        <w:bidi w:val="0"/>
        <w:spacing w:lineRule="auto" w:line="276"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$200.0 million remained available under the 2026 Repurchase Program.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Common Stock Reserved for Future Issuance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of common stock reserved for future issuance related to outstanding equity awards and employee equity incentive plans as of June 30, 2026 were as follows (in thousands): </w:t>
      </w:r>
    </w:p>
    <w:tbl>
      <w:tblPr>
        <w:tblW w:w="6582" w:type="dxa"/>
        <w:jc w:val="left"/>
        <w:tblInd w:w="0" w:type="dxa"/>
        <w:tblLayout w:type="fixed"/>
        <w:tblCellMar>
          <w:top w:w="28" w:type="dxa"/>
          <w:left w:w="28" w:type="dxa"/>
          <w:bottom w:w="28" w:type="dxa"/>
          <w:right w:w="28" w:type="dxa"/>
        </w:tblCellMar>
      </w:tblPr>
      <w:tblGrid>
        <w:gridCol w:w="1842"/>
        <w:gridCol w:w="1619"/>
        <w:gridCol w:w="1624"/>
        <w:gridCol w:w="109"/>
        <w:gridCol w:w="109"/>
        <w:gridCol w:w="109"/>
        <w:gridCol w:w="342"/>
        <w:gridCol w:w="342"/>
        <w:gridCol w:w="486"/>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 under 2026 Inducement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color w:val="000000"/>
          <w:sz w:val="20"/>
        </w:rPr>
        <w:t>2026 Inducement Equity Incentive Plan</w:t>
      </w:r>
      <w:r>
        <w:rPr>
          <w:color w:val="000000"/>
        </w:rPr>
        <w:t>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2026, the Company’s Board of Directors approved the Five9, Inc. 2026 Inducement Equity Incentive Plan (the “2026 Inducement Plan”) and 2,900,000 shares of common stock were authorized for issuance under the 2026 Inducement Plan. The 2026 Inducement Plan allows the Company to grant stock options, RSUs, restricted stock awards, performance stock awards, stock appreciation rights, and other stock awards to individuals, who were not previously employees or directors of the Company, as an inducement to commence employment with the Company. As of June 30, 2026, the Company had approved the grants of RSUs (including PRSUs) under the 2026 Inducement Plan, which were granted in July 2026. Each RSU granted under the 2026 Inducement Plan will represent a right to receive one share of the Company’s common stock when the RSU vests. RSUs will generally vest over three to four years.</w:t>
      </w:r>
    </w:p>
    <w:p>
      <w:pPr>
        <w:pStyle w:val="TextBody"/>
        <w:bidi w:val="0"/>
        <w:spacing w:lineRule="auto" w:line="268" w:before="240" w:after="283"/>
        <w:ind w:left="0" w:right="0" w:hanging="450"/>
        <w:jc w:val="both"/>
        <w:rPr>
          <w:rFonts w:ascii="Times New Roman;serif" w:hAnsi="Times New Roman;serif"/>
          <w:b/>
          <w:color w:val="000000"/>
          <w:sz w:val="20"/>
        </w:rPr>
      </w:pPr>
      <w:r>
        <w:rPr>
          <w:rFonts w:ascii="Times New Roman;serif" w:hAnsi="Times New Roman;serif"/>
          <w:b/>
          <w:color w:val="000000"/>
          <w:sz w:val="20"/>
        </w:rPr>
        <w:t>Equity Incentive Awards</w:t>
      </w:r>
    </w:p>
    <w:p>
      <w:pPr>
        <w:pStyle w:val="TextBody"/>
        <w:bidi w:val="0"/>
        <w:spacing w:lineRule="auto" w:line="288" w:before="240" w:after="283"/>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during the six months ended June 30, 2026 is as follows (in thousands, except years and per share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tbl>
      <w:tblPr>
        <w:tblW w:w="9114" w:type="dxa"/>
        <w:jc w:val="left"/>
        <w:tblInd w:w="0" w:type="dxa"/>
        <w:tblLayout w:type="fixed"/>
        <w:tblCellMar>
          <w:top w:w="28" w:type="dxa"/>
          <w:left w:w="28" w:type="dxa"/>
          <w:bottom w:w="28" w:type="dxa"/>
          <w:right w:w="28" w:type="dxa"/>
        </w:tblCellMar>
      </w:tblPr>
      <w:tblGrid>
        <w:gridCol w:w="1446"/>
        <w:gridCol w:w="1271"/>
        <w:gridCol w:w="1273"/>
        <w:gridCol w:w="109"/>
        <w:gridCol w:w="109"/>
        <w:gridCol w:w="109"/>
        <w:gridCol w:w="309"/>
        <w:gridCol w:w="309"/>
        <w:gridCol w:w="311"/>
        <w:gridCol w:w="109"/>
        <w:gridCol w:w="109"/>
        <w:gridCol w:w="109"/>
        <w:gridCol w:w="211"/>
        <w:gridCol w:w="616"/>
        <w:gridCol w:w="109"/>
        <w:gridCol w:w="109"/>
        <w:gridCol w:w="109"/>
        <w:gridCol w:w="109"/>
        <w:gridCol w:w="330"/>
        <w:gridCol w:w="330"/>
        <w:gridCol w:w="331"/>
        <w:gridCol w:w="109"/>
        <w:gridCol w:w="109"/>
        <w:gridCol w:w="109"/>
        <w:gridCol w:w="243"/>
        <w:gridCol w:w="538"/>
        <w:gridCol w:w="179"/>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amounts are computed based on the difference between the exercise price of the stock options and the fair market value of the Company’s common stock of $21.32 per share as of June 30, 2026 for all in-the-money stock options outstanding.</w:t>
      </w:r>
    </w:p>
    <w:p>
      <w:pPr>
        <w:pStyle w:val="TextBody"/>
        <w:bidi w:val="0"/>
        <w:spacing w:lineRule="auto" w:line="288" w:before="240" w:after="283"/>
        <w:ind w:left="0" w:right="0" w:hanging="450"/>
        <w:jc w:val="left"/>
        <w:rPr>
          <w:rFonts w:ascii="Times New Roman;serif" w:hAnsi="Times New Roman;serif"/>
          <w:b/>
          <w:i/>
          <w:color w:val="000000"/>
          <w:sz w:val="20"/>
        </w:rPr>
      </w:pPr>
      <w:r>
        <w:rPr>
          <w:rFonts w:ascii="Times New Roman;serif" w:hAnsi="Times New Roman;serif"/>
          <w:b/>
          <w:i/>
          <w:color w:val="000000"/>
          <w:sz w:val="20"/>
        </w:rPr>
        <w:t>Restricted Stock Units (including PRSUs)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unit ("RSU") activity, including PRSUs, during the six months ended June 30, 2026 is as follows (in thousands, except per share data):     </w:t>
      </w:r>
    </w:p>
    <w:tbl>
      <w:tblPr>
        <w:tblW w:w="9203"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469"/>
        <w:gridCol w:w="469"/>
        <w:gridCol w:w="471"/>
        <w:gridCol w:w="109"/>
        <w:gridCol w:w="109"/>
        <w:gridCol w:w="109"/>
        <w:gridCol w:w="855"/>
        <w:gridCol w:w="2496"/>
        <w:gridCol w:w="62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RSUs granted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1,100,055 PRSUs granted during the six months ended June 30, 2026.      </w:t>
      </w:r>
    </w:p>
    <w:p>
      <w:pPr>
        <w:pStyle w:val="TextBody"/>
        <w:bidi w:val="0"/>
        <w:spacing w:lineRule="auto" w:line="268" w:before="120" w:after="283"/>
        <w:ind w:left="0" w:right="0" w:firstLine="450"/>
        <w:jc w:val="both"/>
        <w:rPr/>
      </w:pPr>
      <w:r>
        <w:rPr>
          <w:rFonts w:ascii="Times New Roman;serif" w:hAnsi="Times New Roman;serif"/>
          <w:b w:val="false"/>
          <w:i/>
          <w:color w:val="000000"/>
          <w:sz w:val="20"/>
          <w:u w:val="single"/>
        </w:rPr>
        <w:t>PRSUs.</w:t>
      </w:r>
      <w:r>
        <w:rPr>
          <w:color w:val="000000"/>
        </w:rPr>
        <w:t xml:space="preserve"> </w:t>
      </w:r>
      <w:r>
        <w:rPr>
          <w:rFonts w:ascii="Times New Roman;serif" w:hAnsi="Times New Roman;serif"/>
          <w:b w:val="false"/>
          <w:color w:val="000000"/>
          <w:sz w:val="20"/>
        </w:rPr>
        <w:t xml:space="preserve">During the six months ended June 30, 2026, the Company granted a total of 1,100,055 PRSUs with a grant date fair value of $27.9 million as part of its annual grant of equity incentive awards to certain executives and in connection with the appointment of Amit Mathradas as its new Chief Executive Officer. </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802,752 market-based PRSUs with a grant date fair value of $21.8 million granted to Mr. Mathradas, the amount that may be earned pursuant to the market-based PRSUs ranges from 0% to 200% of the target number based on the Company’s relative total shareholder return (“RTSR”) performance as compared to the companies in the S&amp;P Software and Services Select Index during the performance period. The 2026-2028 performance period contains two overlapping measurement periods— a two-year period and a three-year period. 60% of the total market-based PRSUs may be earned and settled in shares following the end of the two-year measurement period and 40% of the total market-based PRSUs may be earned and settled in shares following the end of the three-year measurement period, in each case based on RTSR performance and subject to continued employment through the payment date; provided that upon a qualifying termination of employment that occurs between January 1, 2027 and December 31, 2027, up to 33% of the maximum number of PRSUs may be earned and settled in shares following such qualifying termination, based on RTSR performance during the period consisting of January 1, 2026 through December 31, 2026. If the Company’s absolute total shareholder return for any measurement period is negative, then no more than 100% of the target amount of market-based PRSUs for such period may be earned. If an executive's employment with the Company terminates before the end of the final measurement period due to death or disability, 100% (if due to death) or 50% (if due to disability) of the unvested market-based PRSUs may be earned subject to ultimate RTSR performance in each remaining measurement period. Upon a qualifying termination of employment in connection with a change in control of the Company, the unvested market-based PRSUs subject to the 2026-2028 performance period will vest on a double-trigger basis (i) at the target level for the uncompleted portions of the measurement periods and (ii) at the actual level of performance measured through the date of the change in control of the Company, based on the price per share paid in such change in control. </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297,303 PRSUs with a grant date fair value of $6.1 million granted as part of the Company’s annual grant of equity incentive awards to certain executives, the amount that may be earned pursuant to the PRSUs ranges from 0% to 200% of the target number based on the achievement of the following performance metrics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color w:val="000000"/>
        </w:rPr>
      </w:pPr>
      <w:r>
        <w:rPr>
          <w:color w:val="000000"/>
        </w:rPr>
        <w:t>“</w:t>
      </w:r>
      <w:r>
        <w:rPr>
          <w:rFonts w:ascii="Times New Roman;serif" w:hAnsi="Times New Roman;serif"/>
          <w:b w:val="false"/>
          <w:color w:val="000000"/>
          <w:sz w:val="20"/>
        </w:rPr>
        <w:t xml:space="preserve">Performance Metrics”) during the performance period: (i) the Company’s Subscription Revenue Growth Rate (“CAGR”), which is weighted 70%, and (ii) the Company’s RTSR performance as compared to the companies in the S&amp;P Software and Services Select Index, which is weighted 30%. The 2026-2028 performance period contains two overlapping measurement periods—a two-year period and a three-year period. 60% of the total PRSUs may be earned and settled in shares following the end of the two-year measurement period and 40% of the total PRSUs may be earned and settled in shares following the end of the three-year measurement period, in each case based on the achievement of the Performance Metrics and subject to continued employment through the payment date. If the Company’s absolute total shareholder return for any measurement period is negative, then no more than 100% of the target amount of market-based PRSUs that vest based on the Company’s RTSR for such period may be earned. If an executive's employment with the Company terminates before the end of the final measurement period due to death or disability, 100% (if due to death) or 50% (if due to disability) of the unvested PRSUs may be earned subject to actual achievement of the Performance Metrics in each remaining measurement period. Upon a qualifying termination of employment in connection with a change in control of the Company, the unvested PRSUs subject to the 2026-2028 performance period will vest on a double-trigger basis (i) at the target level for the uncompleted portions of the measurement periods and (ii) for the completed portions of the measurement periods, (A) at the actual level of performance for the RTSR metric measured through the date of the change in control of the Company, based on the price per share paid in such change in control, and (B) at the greater of target or actual level of performance, if measurable, for the CAGR metric measured through the date of the change in control.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PRSUs subject to performance conditions, is equal to the fair value of the Company’s common stock on the date of grant. The fair value of PRSUs subject to market conditions are determined using a Monte Carlo Simulation model. Compensation expense is recognized net of actual forfeitures over the service period, which is generally the vesting period.</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certified the performance results for the final measurement period for the market-based PRSUs subject to the 2023-2025 performance period. The Company determined that its actual total shareholder return for such measurement period was (51.28)%, and that its relative total shareholder return ranking was in the 10.0 percentile relative to companies in the S&amp;P Software &amp; Services Select Index as of January 1, 2023, which resulted in a payout percentage of 0.0% of target. During the first quarter of 2026, the Company also certified the performance results for the second measurement period for the market-based PRSUs subject to the 2024-2026 performance period. The Company determined that its actual total shareholder return for such measurement period was (78.31)%, and that its relative total shareholder return ranking was in the 1.0 percentile relative to companies in the S&amp;P Software &amp; Services Select Index as of January 1, 2024, which resulted in a payout percentage of 0.0% of target. During the first quarter of 2026, the Company also certified the performance results for the first measurement period for the market-based PRSUs subject to the 2025-2027 performance period. The Company determined that its actual total shareholder return for such measurement period was (51.28)%, and that its relative total shareholder return ranking was in the 9.0 percentile relative to companies in the S&amp;P Software &amp; Services Select Index as of January 1, 2025, which resulted in a payout percentage of 0.0% of target.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as follows (in thousands): </w:t>
      </w:r>
    </w:p>
    <w:tbl>
      <w:tblPr>
        <w:tblW w:w="9300" w:type="dxa"/>
        <w:jc w:val="left"/>
        <w:tblInd w:w="0" w:type="dxa"/>
        <w:tblLayout w:type="fixed"/>
        <w:tblCellMar>
          <w:top w:w="28" w:type="dxa"/>
          <w:left w:w="28" w:type="dxa"/>
          <w:bottom w:w="28" w:type="dxa"/>
          <w:right w:w="28" w:type="dxa"/>
        </w:tblCellMar>
      </w:tblPr>
      <w:tblGrid>
        <w:gridCol w:w="1247"/>
        <w:gridCol w:w="1099"/>
        <w:gridCol w:w="1104"/>
        <w:gridCol w:w="109"/>
        <w:gridCol w:w="109"/>
        <w:gridCol w:w="109"/>
        <w:gridCol w:w="228"/>
        <w:gridCol w:w="779"/>
        <w:gridCol w:w="117"/>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stock-based compensation expense by award type and expected weighted-average recognition periods are summarized in the following table (in thousands, except years).</w:t>
      </w:r>
    </w:p>
    <w:tbl>
      <w:tblPr>
        <w:tblW w:w="10005" w:type="dxa"/>
        <w:jc w:val="left"/>
        <w:tblInd w:w="0" w:type="dxa"/>
        <w:tblLayout w:type="fixed"/>
        <w:tblCellMar>
          <w:top w:w="28" w:type="dxa"/>
          <w:left w:w="28" w:type="dxa"/>
          <w:bottom w:w="28" w:type="dxa"/>
          <w:right w:w="28" w:type="dxa"/>
        </w:tblCellMar>
      </w:tblPr>
      <w:tblGrid>
        <w:gridCol w:w="1506"/>
        <w:gridCol w:w="1321"/>
        <w:gridCol w:w="1328"/>
        <w:gridCol w:w="109"/>
        <w:gridCol w:w="109"/>
        <w:gridCol w:w="109"/>
        <w:gridCol w:w="309"/>
        <w:gridCol w:w="596"/>
        <w:gridCol w:w="160"/>
        <w:gridCol w:w="109"/>
        <w:gridCol w:w="109"/>
        <w:gridCol w:w="109"/>
        <w:gridCol w:w="268"/>
        <w:gridCol w:w="1049"/>
        <w:gridCol w:w="138"/>
        <w:gridCol w:w="109"/>
        <w:gridCol w:w="109"/>
        <w:gridCol w:w="109"/>
        <w:gridCol w:w="211"/>
        <w:gridCol w:w="721"/>
        <w:gridCol w:w="109"/>
        <w:gridCol w:w="109"/>
        <w:gridCol w:w="109"/>
        <w:gridCol w:w="109"/>
        <w:gridCol w:w="211"/>
        <w:gridCol w:w="61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RSU </w:t>
              <w:br/>
              <w:t>(excluding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assumptions used to value PRSUs with market conditions granted during the periods presented were as follows: </w:t>
      </w:r>
    </w:p>
    <w:tbl>
      <w:tblPr>
        <w:tblW w:w="8141" w:type="dxa"/>
        <w:jc w:val="left"/>
        <w:tblInd w:w="0" w:type="dxa"/>
        <w:tblLayout w:type="fixed"/>
        <w:tblCellMar>
          <w:top w:w="28" w:type="dxa"/>
          <w:left w:w="28" w:type="dxa"/>
          <w:bottom w:w="28" w:type="dxa"/>
          <w:right w:w="28" w:type="dxa"/>
        </w:tblCellMar>
      </w:tblPr>
      <w:tblGrid>
        <w:gridCol w:w="776"/>
        <w:gridCol w:w="681"/>
        <w:gridCol w:w="687"/>
        <w:gridCol w:w="109"/>
        <w:gridCol w:w="109"/>
        <w:gridCol w:w="109"/>
        <w:gridCol w:w="251"/>
        <w:gridCol w:w="251"/>
        <w:gridCol w:w="623"/>
        <w:gridCol w:w="134"/>
        <w:gridCol w:w="134"/>
        <w:gridCol w:w="134"/>
        <w:gridCol w:w="251"/>
        <w:gridCol w:w="251"/>
        <w:gridCol w:w="623"/>
        <w:gridCol w:w="109"/>
        <w:gridCol w:w="109"/>
        <w:gridCol w:w="109"/>
        <w:gridCol w:w="255"/>
        <w:gridCol w:w="256"/>
        <w:gridCol w:w="625"/>
        <w:gridCol w:w="117"/>
        <w:gridCol w:w="117"/>
        <w:gridCol w:w="117"/>
        <w:gridCol w:w="255"/>
        <w:gridCol w:w="256"/>
        <w:gridCol w:w="693"/>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1" w:type="dxa"/>
            <w:gridSpan w:val="9"/>
            <w:tcBorders/>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erif" w:hAnsi="Times New Roman;serif"/>
                <w:b/>
                <w:color w:val="000000"/>
                <w:sz w:val="16"/>
                <w:u w:val="single"/>
              </w:rPr>
            </w:pPr>
            <w:r>
              <w:rPr>
                <w:rFonts w:ascii="Times New Roman;serif" w:hAnsi="Times New Roman;serif"/>
                <w:b/>
                <w:color w:val="000000"/>
                <w:sz w:val="16"/>
                <w:u w:val="single"/>
              </w:rPr>
              <w:t>PRSUs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Company has not paid, and does not anticipate paying, cash dividends on its shares of common stock. Accordingly,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8. Net Income Per Share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calculated by dividing net income by the weighted average number of shares of common stock outstanding during the period and excludes any dilutive effects of employee stock-based awards and potential shares upon conversion of the convertible senior notes. Diluted net income per share is computed giving effect to all potentially dilutive shares of common stock, including common stock issuable upon exercise of stock options, vesting of RSUs and PRSUs, and shares of common stock issuable upon conversion of convertible senior notes.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1599"/>
        <w:gridCol w:w="1404"/>
        <w:gridCol w:w="1417"/>
        <w:gridCol w:w="109"/>
        <w:gridCol w:w="109"/>
        <w:gridCol w:w="109"/>
        <w:gridCol w:w="233"/>
        <w:gridCol w:w="682"/>
        <w:gridCol w:w="120"/>
        <w:gridCol w:w="109"/>
        <w:gridCol w:w="109"/>
        <w:gridCol w:w="109"/>
        <w:gridCol w:w="233"/>
        <w:gridCol w:w="682"/>
        <w:gridCol w:w="120"/>
        <w:gridCol w:w="109"/>
        <w:gridCol w:w="109"/>
        <w:gridCol w:w="109"/>
        <w:gridCol w:w="220"/>
        <w:gridCol w:w="751"/>
        <w:gridCol w:w="113"/>
        <w:gridCol w:w="109"/>
        <w:gridCol w:w="109"/>
        <w:gridCol w:w="109"/>
        <w:gridCol w:w="211"/>
        <w:gridCol w:w="616"/>
        <w:gridCol w:w="496"/>
      </w:tblGrid>
      <w:tr>
        <w:trPr/>
        <w:tc>
          <w:tcPr>
            <w:tcW w:w="15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basic and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used the if-converted method for calculating any potential dilutive effect of its convertible senior notes for the three and six months ended June 30, 2026 and 2025.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was included in the calculation of diluted net income per share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9. Income Taxes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and six months ended June 30, 2026 was approximately $0.9 million and $3.1 million, respectively. The provision for income taxes for the three and six months ended June 30, 2025 was approximately $1.4 million and $1.6 million, respectively.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and six months ended June 30, 2026 consisted primarily of U.S. state income and foreign withholding taxes. The provision for income taxes for the three and six months ended June 30, 2025 consisted primarily of U.S. federal and U.S. state tax expense as a result of IRC Section 174 research and experimental capitalization requirements and tax attribute utilization limitations, and foreign current income tax expense as a result of income produced by the Company's intercompany cost-plus operating model.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provision for income taxes differed from the statutory amount primarily due to U.S. state income taxes and the U.S. valuation allowance maintained against the U.S. net deferred tax assets. For the three and six months ended June 30, 2025, the provision for income taxes differed from the statutory amount primarily due to the U.S. valuation allowance maintained against the U.S. net deferred tax assets. </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net deferred tax assets will be realizable. Accordingly, the Company has provided a full valuation allowance against such net deferred tax assets as of June 30, 2026 and December 31, 2025. The Company intends to maintain the valuation allowance until sufficient positive evidence exists to support a reversal of, or decrease in, the valuation allowance. During the three and six months ended June 30, 2026, there were no material changes to the total amount of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Commitments </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2025 are disclosed in the Company’s Annual Report on Form 10-K for the year ended December 31, 2025, and material updates to these commitments during the six months ended June 30, 2026 are disclosed herein, including in this Note 10 and in Note 12.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commitments under various co-location hosting and telecommunication usage service agreements totaled $12.4 million for terms ranging up to approximately five years. These agreements require the Company to make payments over the service term in exchange for certain network services.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outstanding cloud services and software and maintenance agreement commitments totaling $125.4 million, of which $14.7 million is expected to be purchased in 2026, $56.2 million is expected to be purchased in 2027, $51.1 million is expected to be purchased in 2028, and the remaining $3.4 million is expected to be purchased in 2029.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2026, the Company executed a reseller agreement with a total commitment of $9.0 million, a term from March 31, 2026 to March 31, 2027, with a total remaining commitment of $6.3 million as of June 30, 2026.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first half of 2026, the Company entered into a $53.9 million five-year agreement for data center support and maintenance services, which was financed through a non-interest bearing financing arrangement. In accordance with ASC 835-30, the financing arrangement was recorded as a liability at its present value of $48.3 million using an imputed interest rate. The Company is obligated to make five installment payments of $10.8 million annually, with the first payment made upon execution of the agreement in March 2026, and the remaining four annual payments due from March 2027 through March 2030. The current and long-term portions of this obligation were $10.8 million and $27.4 million, respectively, as of June 30, 2026.</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(i) no 2025 convertible senior notes were outstanding since they matured on June 1, 2025 and the Company settled its obligations with respect to the 2025 convertible senior notes in cash in connection therewith, and (ii) $747.5 million of aggregate principal of the 2029 convertible senior notes was outstanding, with a maturity date of March 15, 2029. See Note 6 for more information concerning the convertible senior notes.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 The Company is currently party to the following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2024, a purported holder of the Company’s securities filed a putative class action complaint against the Company, its then-current Chief Executive Officer, and its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The Company moved to dismiss the amended complaint on July 29, 2025, and the court took the motion under submission after oral argument on December 18, 2025. On February 23, 2026, the court granted in part and denied in part Defendants’ motion to dismiss. The Company cannot predict the duration or outcome of this lawsuit at this time. As a result, the Company is unable to estimate the reasonably possible loss or range of reasonably possible losses arising from this lawsuit. The Company intends to vigorously defend this lawsuit.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The action was stayed pending the resolution of the motion to dismiss in the securities action. On February 27, 2026, a separate and related shareholder derivative action was filed again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On March 9, 2026, all parties filed a stipulation with the court to consolidate the two derivative actions, which the court so ordered on March 17, 2026. On May 20, 2026, the court entered an order on the parties’ stipulation staying the derivative action.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24, 2026, a related shareholder derivative action was filed in the United States District Court for the District of Delaware on behalf of nominal defendant Five9, Inc. and against its directors and certain of its officers seeking to assert claims for breaches of fiduciary duties, gross mismanagement, waste of corporate assets, unjust enrichment, and violation of Section 14(a) of the Securities Exchange Act of 1934. On April 15, 2026, the court entered an order on the parties' stipulation staying the derivative action.</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Indemnification Agreements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income (loss), or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11. Segment and Geographical Information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basis. The Company’s reliable, secure, and scalable Intelligent CX Platform, powered by Five9 Genius AI, delivers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that is also reported on its consolidated statements of operations and comprehensive income (loss) as consolidated net income (loss). The measure of segment assets is reported on its consolidated balance sheets as total consolidated assets. </w:t>
      </w:r>
    </w:p>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by Geographic Areas</w:t>
      </w:r>
    </w:p>
    <w:p>
      <w:pPr>
        <w:pStyle w:val="TextBody"/>
        <w:bidi w:val="0"/>
        <w:spacing w:lineRule="auto" w:line="26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revenues by geographic region based on customer billing address (in thousands): </w:t>
      </w:r>
    </w:p>
    <w:tbl>
      <w:tblPr>
        <w:tblW w:w="7182"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Long-Lived Assets, Net by Geographic Areas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total property and equipment, net in the respective locations (in thousands): </w:t>
      </w:r>
    </w:p>
    <w:tbl>
      <w:tblPr>
        <w:tblW w:w="5758"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11"/>
        <w:gridCol w:w="826"/>
        <w:gridCol w:w="109"/>
        <w:gridCol w:w="109"/>
        <w:gridCol w:w="109"/>
        <w:gridCol w:w="109"/>
        <w:gridCol w:w="273"/>
        <w:gridCol w:w="1072"/>
        <w:gridCol w:w="199"/>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Total purchases of property and equipment for the six months ended June 30, 2026 and 2025 are disclosed in the Company’s Consolidated Statements of Cash Flows. </w:t>
      </w:r>
    </w:p>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Segment Information - Consolidated Statements of Operations</w:t>
      </w:r>
    </w:p>
    <w:tbl>
      <w:tblPr>
        <w:tblW w:w="9498" w:type="dxa"/>
        <w:jc w:val="left"/>
        <w:tblInd w:w="0" w:type="dxa"/>
        <w:tblLayout w:type="fixed"/>
        <w:tblCellMar>
          <w:top w:w="28" w:type="dxa"/>
          <w:left w:w="28" w:type="dxa"/>
          <w:bottom w:w="28" w:type="dxa"/>
          <w:right w:w="28" w:type="dxa"/>
        </w:tblCellMar>
      </w:tblPr>
      <w:tblGrid>
        <w:gridCol w:w="1164"/>
        <w:gridCol w:w="1024"/>
        <w:gridCol w:w="10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491"/>
      </w:tblGrid>
      <w:tr>
        <w:trPr/>
        <w:tc>
          <w:tcPr>
            <w:tcW w:w="116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562,974 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revenue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sales and marketing</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Adjusted cost of revenue includes cost of revenue in accordance with GAAP, adjusted for depreciation and amortization, stock-based compensation, acquisition and related transaction costs and one-time integration costs, and lease amortization for finance leases. </w:t>
      </w:r>
    </w:p>
    <w:p>
      <w:pPr>
        <w:pStyle w:val="TextBody"/>
        <w:bidi w:val="0"/>
        <w:spacing w:lineRule="auto" w:line="268" w:before="60" w:after="283"/>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Adjusted research and development includes research and development in accordance with GAAP, adjusted for depreciation and amortization, stock-based compensation, acquisition and related transaction costs and one-time integration costs, and lease amortization for finance leases. </w:t>
      </w:r>
    </w:p>
    <w:p>
      <w:pPr>
        <w:pStyle w:val="TextBody"/>
        <w:bidi w:val="0"/>
        <w:spacing w:lineRule="auto" w:line="268" w:before="60" w:after="283"/>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Adjusted sales and marketing includes sales and marketing expense in accordance with GAAP, adjusted for depreciation and amortization, stock-based compensation, acquisition and related transaction costs and one-time integration costs, and one-time expenses related to advisory services for long-term strategy and growth. </w:t>
      </w:r>
    </w:p>
    <w:p>
      <w:pPr>
        <w:pStyle w:val="TextBody"/>
        <w:bidi w:val="0"/>
        <w:spacing w:lineRule="auto" w:line="268" w:before="60" w:after="283"/>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Adjusted general and administrative includes general and administrative expense in accordance with GAAP, adjusted for depreciation and amortization, stock-based compensation, acquisition and related transaction costs and one-time integration costs, one-time expenses related to strategic consulting services for operational review, other cost-reduction and productivity initiatives, one-time expenses related to advisory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services for long-term strategy and growth, impairment charge related to consolidation of corporate headquarters, and legal fees related to the securities class action. </w:t>
      </w:r>
    </w:p>
    <w:p>
      <w:pPr>
        <w:pStyle w:val="TextBody"/>
        <w:bidi w:val="0"/>
        <w:spacing w:lineRule="auto" w:line="268" w:before="60" w:after="283"/>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 xml:space="preserve">Other segment items included in segment net income include stock-based compensation, acquisition and related transaction costs and one-time integration costs, lease amortization for finance leases, one-time expenses related to strategic consulting services for operational review, other cost-reduction and productivity initiatives, one-time expenses related to advisory services for long-term strategy and growth, impairment charge related to consolidation of corporate headquarters, and legal fees related to the securities class action. </w:t>
      </w:r>
    </w:p>
    <w:p>
      <w:pPr>
        <w:pStyle w:val="TextBody"/>
        <w:bidi w:val="0"/>
        <w:spacing w:lineRule="auto" w:line="268" w:before="120" w:after="283"/>
        <w:jc w:val="both"/>
        <w:rPr/>
      </w:pPr>
      <w:r>
        <w:rPr>
          <w:rFonts w:ascii="Times New Roman;serif" w:hAnsi="Times New Roman;serif"/>
          <w:b w:val="false"/>
          <w:color w:val="000000"/>
          <w:sz w:val="10"/>
        </w:rPr>
        <w:t xml:space="preserve">(6) </w:t>
      </w:r>
      <w:r>
        <w:rPr>
          <w:rFonts w:ascii="Times New Roman;serif" w:hAnsi="Times New Roman;serif"/>
          <w:b w:val="false"/>
          <w:color w:val="000000"/>
          <w:sz w:val="16"/>
        </w:rPr>
        <w:t>Non-GAAP adjustments do not have a material impact on our worldwide income tax provision due to the tax treatment of the non-GAAP adjustments reported, and our domestic valuation allowance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12. 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leases for offices, data centers and computer and networking equipment that expire at various dates through 2031. The Company’s leases have remaining terms of one to five years, some of the leases include a Company option to extend the leases for up to one to five years, and some of the leases include the option to terminate the leases upon 30-days' notice. The Company does not separate lease and non-lease components for real estate operating 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additional three-year equipment finance lease agreements and recognized $1.6 million right of use assets during the three months ended June 30, 2026, which were reported within Finance lease right-of-use assets and are being depreciated on a straight-line basis over the lease term. As a result, the Company also recognized short-term lease liabilities of $0.5 million within Finance lease liabilities and long-term lease liabilities of $1.1 million within Finance lease liabilities - less current portion during these periods.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were as follows (in thousands):</w:t>
      </w:r>
    </w:p>
    <w:tbl>
      <w:tblPr>
        <w:tblW w:w="8762" w:type="dxa"/>
        <w:jc w:val="left"/>
        <w:tblInd w:w="0" w:type="dxa"/>
        <w:tblLayout w:type="fixed"/>
        <w:tblCellMar>
          <w:top w:w="28" w:type="dxa"/>
          <w:left w:w="28" w:type="dxa"/>
          <w:bottom w:w="28" w:type="dxa"/>
          <w:right w:w="28" w:type="dxa"/>
        </w:tblCellMar>
      </w:tblPr>
      <w:tblGrid>
        <w:gridCol w:w="1053"/>
        <w:gridCol w:w="925"/>
        <w:gridCol w:w="932"/>
        <w:gridCol w:w="109"/>
        <w:gridCol w:w="109"/>
        <w:gridCol w:w="10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649"/>
        <w:gridCol w:w="1445"/>
        <w:gridCol w:w="1453"/>
        <w:gridCol w:w="109"/>
        <w:gridCol w:w="109"/>
        <w:gridCol w:w="109"/>
        <w:gridCol w:w="228"/>
        <w:gridCol w:w="730"/>
        <w:gridCol w:w="117"/>
        <w:gridCol w:w="109"/>
        <w:gridCol w:w="109"/>
        <w:gridCol w:w="109"/>
        <w:gridCol w:w="228"/>
        <w:gridCol w:w="730"/>
        <w:gridCol w:w="117"/>
        <w:gridCol w:w="109"/>
        <w:gridCol w:w="109"/>
        <w:gridCol w:w="109"/>
        <w:gridCol w:w="228"/>
        <w:gridCol w:w="730"/>
        <w:gridCol w:w="117"/>
        <w:gridCol w:w="109"/>
        <w:gridCol w:w="109"/>
        <w:gridCol w:w="109"/>
        <w:gridCol w:w="226"/>
        <w:gridCol w:w="728"/>
        <w:gridCol w:w="171"/>
      </w:tblGrid>
      <w:tr>
        <w:trPr/>
        <w:tc>
          <w:tcPr>
            <w:tcW w:w="164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 (in thousands):</w:t>
      </w:r>
    </w:p>
    <w:tbl>
      <w:tblPr>
        <w:tblW w:w="7433" w:type="dxa"/>
        <w:jc w:val="left"/>
        <w:tblInd w:w="0" w:type="dxa"/>
        <w:tblLayout w:type="fixed"/>
        <w:tblCellMar>
          <w:top w:w="28" w:type="dxa"/>
          <w:left w:w="28" w:type="dxa"/>
          <w:bottom w:w="28" w:type="dxa"/>
          <w:right w:w="28" w:type="dxa"/>
        </w:tblCellMar>
      </w:tblPr>
      <w:tblGrid>
        <w:gridCol w:w="1486"/>
        <w:gridCol w:w="1307"/>
        <w:gridCol w:w="1317"/>
        <w:gridCol w:w="109"/>
        <w:gridCol w:w="109"/>
        <w:gridCol w:w="109"/>
        <w:gridCol w:w="228"/>
        <w:gridCol w:w="779"/>
        <w:gridCol w:w="117"/>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55,038 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terms were as follows (in years):</w:t>
      </w:r>
    </w:p>
    <w:tbl>
      <w:tblPr>
        <w:tblW w:w="6321"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374"/>
        <w:gridCol w:w="374"/>
        <w:gridCol w:w="376"/>
        <w:gridCol w:w="109"/>
        <w:gridCol w:w="109"/>
        <w:gridCol w:w="109"/>
        <w:gridCol w:w="452"/>
        <w:gridCol w:w="452"/>
        <w:gridCol w:w="640"/>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 were as follows:</w:t>
      </w:r>
    </w:p>
    <w:tbl>
      <w:tblPr>
        <w:tblW w:w="5753"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50"/>
        <w:gridCol w:w="250"/>
        <w:gridCol w:w="624"/>
        <w:gridCol w:w="109"/>
        <w:gridCol w:w="109"/>
        <w:gridCol w:w="109"/>
        <w:gridCol w:w="314"/>
        <w:gridCol w:w="314"/>
        <w:gridCol w:w="917"/>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 (in thousands):</w:t>
      </w:r>
    </w:p>
    <w:tbl>
      <w:tblPr>
        <w:tblW w:w="664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76"/>
        <w:gridCol w:w="946"/>
        <w:gridCol w:w="143"/>
        <w:gridCol w:w="109"/>
        <w:gridCol w:w="109"/>
        <w:gridCol w:w="109"/>
        <w:gridCol w:w="240"/>
        <w:gridCol w:w="821"/>
        <w:gridCol w:w="124"/>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56,169 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entered into additional operating leases to commence in August and October 2026, representing a total commitment over its term of approximately $0.8 million. </w:t>
      </w:r>
    </w:p>
    <w:p>
      <w:pPr>
        <w:pStyle w:val="TextBody"/>
        <w:bidi w:val="0"/>
        <w:spacing w:before="120" w:after="283"/>
        <w:ind w:left="0" w:right="0" w:firstLine="495"/>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Restructurings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31, 2025, the Board of Directors of the Company approved a reduction in force plan (the “2025 Plan”) as part of its broader efforts to prioritize investments in key strategic areas, including artificial intelligence, as well as to drive profitable growth and support its positive, long-term outlook and increasing stockholder value. On April 3, 2025, the Company commenced execution of the 2025 Plan, which resulted in the reduction of the Company’s global full-time employees by approximately 4%. During the year ended December 31, 2025, the Company incurred a total of $7.9 million in cash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As of December 31, 2025, $7.9 million in total restructuring costs under the 2025 Plan had been paid. During the year ended December 31, 2025, the Company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The Company does not expect to incur any additional costs under the 2025 Plan.</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management initiated a plan to consolidate its corporate headquarters in San Ramon, California by reducing the facility space it occupies from two floors to a single floor in May 2026 (the "HQ Plan"). The HQ Plan resulted in excess facility space that the Company intends to sublease. During each of the three and six months ended June 30, 2026, the Company incurred a total of $8.4 million in impairment charges ($7.4 million related to operating lease right-of-use assets and $1.0 million related to property and equipment) under the HQ Plan, which was recorded in general and administrative expenses on the consolidated statements of operations and comprehensive income (loss). The impairment charge was estimated based on a review and analysis of real estate market conditions, its projected sublease income and sublease commencement assumptions.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in conjunction with the condensed consolidated financial statements and notes thereto included elsewhere in this Quarterly Report on Form 10-Q and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Five9 is a leading provider of the Intelligent CX Platform for enterprise contact centers. With a foundation in our cloud-native solution, Five9 is now evolving into an AI-native CX platform, empowering enterprises to scale seamlessly, innovate faster, and deliver enhanced customer experiences as our market opportunity continues to expand. Our reliable, secure, and scalable Intelligent CX Platform, powered by our Five9 Genius AI suite, delivers a comprehensive suite of easy-to-use applications that enable the breadth of customer service, sales, and marketing functions. We have become an established leader in the AI-powered CX market with more than 3,000 customers.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Genius AI suite is a comprehensive portfolio of AI solutions that uses Generative AI to power agentic CX. The contact center is the system of record for interactions with full conversation history, and our platform serves as a real-time orchestration engine for every customer interaction across all channels, whether it is with a human or AI agent. As a result, our platform is designed to deliver a seamless collaboration between human agents and AI agents, where each interaction strengthens the next. This continuous learning loop compounds over time, creating a powerful data flywheel that drives higher performance, accuracy, and personalization for every customer engagement. We believe this is the structural advantage of our end-to-end AI-powered CX platform.</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Increases in the number of licenses or the level of consumption can be provisioned almost immediately. Subscription fees are generally billed monthly in advance, while telecom fees are billed in arrears. For each of the three and six months ended June 30, 2026, subscription and telecom fees accounted for 94% of our revenue. For each of the three and six months ended June 30, 2025, subscription and telecom fees accounted for 93% of our revenue. The remainder was comprised of professional services revenue from the implementation and optimization of our solution.</w:t>
      </w:r>
    </w:p>
    <w:p>
      <w:pPr>
        <w:pStyle w:val="TextBody"/>
        <w:bidi w:val="0"/>
        <w:spacing w:lineRule="auto" w:line="312" w:before="120" w:after="283"/>
        <w:jc w:val="left"/>
        <w:rPr>
          <w:rFonts w:ascii="Times New Roman;serif" w:hAnsi="Times New Roman;serif"/>
          <w:b/>
          <w:color w:val="000000"/>
          <w:sz w:val="20"/>
        </w:rPr>
      </w:pPr>
      <w:r>
        <w:rPr>
          <w:rFonts w:ascii="Times New Roman;serif" w:hAnsi="Times New Roman;serif"/>
          <w:b/>
          <w:color w:val="000000"/>
          <w:sz w:val="20"/>
        </w:rPr>
        <w:t xml:space="preserve">Macroeconomic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risks and exposures, including new and continued macroeconomic challenges resulting from the impact of global tariff increases and potential future increases and announcements regarding same, as well as the impact of current and potential global conflicts. While the implications of macroeconomic challenges on our business, results of operations and overall financial position remain uncertain over the long term, we believe such macroeconomic challenges could have an adverse impact on our revenue in future periods.</w:t>
      </w:r>
    </w:p>
    <w:p>
      <w:pPr>
        <w:pStyle w:val="TextBody"/>
        <w:bidi w:val="0"/>
        <w:spacing w:lineRule="auto" w:line="312" w:before="120" w:after="283"/>
        <w:jc w:val="left"/>
        <w:rPr>
          <w:rFonts w:ascii="Times New Roman;serif" w:hAnsi="Times New Roman;serif"/>
          <w:b/>
          <w:color w:val="000000"/>
          <w:sz w:val="20"/>
        </w:rPr>
      </w:pPr>
      <w:r>
        <w:rPr>
          <w:rFonts w:ascii="Times New Roman;serif" w:hAnsi="Times New Roman;serif"/>
          <w:b/>
          <w:color w:val="000000"/>
          <w:sz w:val="20"/>
        </w:rPr>
        <w:t xml:space="preserve">Restructurings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31, 2025, our Board of Directors approved a reduction in force plan, or the 2025 Plan, as part of our broader efforts to prioritize investments in key strategic areas, including artificial intelligence, as well as to drive profitable growth and support our positive, long-term outlook and increasing stockholder value. On April 3, 2025, we commenced execution of the 2025 Plan, which resulted in the reduction of our global full-time employees by approximately 4%. During the year ended December 31, 2025, we incurred a total of $7.9 million in cash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During the year ended December 31, 2025, we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We do not expect to incur any additional costs under the 2025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we initiated a plan to consolidate our corporate headquarters in San Ramon, California by reducing the facility space we occupy from two floors to a single floor in May 2026, or the HQ Plan. The HQ Plan resulted in excess facility space that we intend to sublease. During each of the three and six months ended June 30, 2026, we incurred a total of $8.4 million in impairment charge ($7.4 million related to operating lease right-of-use assets and $1.0 million related to property and equipment) under the HQ Plan, which was recorded in general and administrative expenses on the consolidated statements of operations and comprehensive income (loss). The impairment charge was estimated based on a review and analysis of real estate market conditions, our projected sublease income and sublease commencement assumptions. </w:t>
      </w:r>
    </w:p>
    <w:p>
      <w:pPr>
        <w:pStyle w:val="TextBody"/>
        <w:bidi w:val="0"/>
        <w:spacing w:lineRule="auto" w:line="312" w:before="180" w:after="283"/>
        <w:jc w:val="left"/>
        <w:rPr>
          <w:rFonts w:ascii="Times New Roman;serif" w:hAnsi="Times New Roman;serif"/>
          <w:b/>
          <w:color w:val="000000"/>
          <w:sz w:val="20"/>
        </w:rPr>
      </w:pPr>
      <w:r>
        <w:rPr>
          <w:rFonts w:ascii="Times New Roman;serif" w:hAnsi="Times New Roman;serif"/>
          <w:b/>
          <w:color w:val="000000"/>
          <w:sz w:val="20"/>
        </w:rPr>
        <w:t>Key GAAP Operating Results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increased to $312.4 million and $617.8 million for the three and six months ended June 30, 2026 from $283.3 million and $563.0 million for the three and six months ended June 30, 2025. Revenue growth was primarily attributable to our larger customers, driven by an increase in our sales and marketing activities and our improved brand awareness. For each of the three and six months ended June 30, 2026 and 2025, no single customer accounted for more than 10% of our total revenue. As of June 30, 2026, we had over 3,000 customers across multiple industries with a wide range of license sizes. We had net income of $3.4 million and $21.8 million in the three and six months ended June 30, 2026, respectively, compared to net income of $1.2 million and $1.7 million in the three and six months ended June 30, 2025, respectively.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new and continued macroeconomic challenges resulting from the impact of global tariff increases and potential future increases and announcements regarding same, as well as the impact of current and potential global conflicts,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Key Operating and Non-GAAP Financial Performance Metrics </w:t>
      </w:r>
    </w:p>
    <w:p>
      <w:pPr>
        <w:pStyle w:val="TextBody"/>
        <w:bidi w:val="0"/>
        <w:spacing w:lineRule="auto" w:line="312"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Annual Dollar-Based Retention Rate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in two ways. First is subscription plus telecom revenue from all customers in the comparable prior year period. Second is subscription revenue from all customers in the comparable prior year period. Similarly, we define Retained Net Revenue as either subscription plus telecom revenue or subscription revenue from that same group of customers in the current period. We consider both subscription and telecom to be recurring revenue.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Annual Dollar-Based Retention Rate based on subscription plus telecom revenue as well as subscription revenue for the periods presented: </w:t>
      </w:r>
    </w:p>
    <w:tbl>
      <w:tblPr>
        <w:tblW w:w="9382" w:type="dxa"/>
        <w:jc w:val="left"/>
        <w:tblInd w:w="0" w:type="dxa"/>
        <w:tblLayout w:type="fixed"/>
        <w:tblCellMar>
          <w:top w:w="28" w:type="dxa"/>
          <w:left w:w="28" w:type="dxa"/>
          <w:bottom w:w="28" w:type="dxa"/>
          <w:right w:w="28" w:type="dxa"/>
        </w:tblCellMar>
      </w:tblPr>
      <w:tblGrid>
        <w:gridCol w:w="2247"/>
        <w:gridCol w:w="1976"/>
        <w:gridCol w:w="1986"/>
        <w:gridCol w:w="109"/>
        <w:gridCol w:w="109"/>
        <w:gridCol w:w="109"/>
        <w:gridCol w:w="375"/>
        <w:gridCol w:w="375"/>
        <w:gridCol w:w="375"/>
        <w:gridCol w:w="184"/>
        <w:gridCol w:w="184"/>
        <w:gridCol w:w="184"/>
        <w:gridCol w:w="342"/>
        <w:gridCol w:w="342"/>
        <w:gridCol w:w="485"/>
      </w:tblGrid>
      <w:tr>
        <w:trPr/>
        <w:tc>
          <w:tcPr>
            <w:tcW w:w="2247"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Dollar-Based Retention Rate (Subscription plus Telecom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Dollar-Based Retention Rate (Subscription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year-over-year decrease for annual dollar-based retention rate for both subscription plus telecom revenue as well as subscription revenue reflects year-over-year challenges related to a single large new customer ramping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significantly throughout 2024 and seasonal increases being stronger in the second half of 2024, offset in part by ongoing momentum in AI and expansion of larger existing customers throughout 2025 and the first half of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income. We calculate adjusted EBITDA as net income before (1) depreciation and amortization, (2) stock-based compensation, (3) interest expense, (4) interest income and other, (5) acquisition and related transaction costs and one-time integration costs, (6) lease amortization for finance leases, (7) costs related to reduction in force plans, (8) one-time expenses related to strategic consulting services for operational review, (9) other cost-reduction and productivity initiatives, (10) one-time expenses related to advisory services for long-term strategy and growth, (11) legal fees related to the securities class action, (12) office closure lease termination costs, (13) impairment charge related to consolidation of corporate headquarters, (14) provision for income taxes, and (15) other items that do not directly affect what we consider to be our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 reconciliation of net income to adjusted EBITDA for the periods presented (in thousands): </w:t>
      </w:r>
    </w:p>
    <w:tbl>
      <w:tblPr>
        <w:tblW w:w="10205" w:type="dxa"/>
        <w:jc w:val="left"/>
        <w:tblInd w:w="0" w:type="dxa"/>
        <w:tblLayout w:type="fixed"/>
        <w:tblCellMar>
          <w:top w:w="28" w:type="dxa"/>
          <w:left w:w="28" w:type="dxa"/>
          <w:bottom w:w="28" w:type="dxa"/>
          <w:right w:w="28" w:type="dxa"/>
        </w:tblCellMar>
      </w:tblPr>
      <w:tblGrid>
        <w:gridCol w:w="1651"/>
        <w:gridCol w:w="1413"/>
        <w:gridCol w:w="1427"/>
        <w:gridCol w:w="109"/>
        <w:gridCol w:w="109"/>
        <w:gridCol w:w="109"/>
        <w:gridCol w:w="222"/>
        <w:gridCol w:w="731"/>
        <w:gridCol w:w="123"/>
        <w:gridCol w:w="109"/>
        <w:gridCol w:w="109"/>
        <w:gridCol w:w="109"/>
        <w:gridCol w:w="222"/>
        <w:gridCol w:w="731"/>
        <w:gridCol w:w="123"/>
        <w:gridCol w:w="109"/>
        <w:gridCol w:w="109"/>
        <w:gridCol w:w="109"/>
        <w:gridCol w:w="207"/>
        <w:gridCol w:w="779"/>
        <w:gridCol w:w="114"/>
        <w:gridCol w:w="109"/>
        <w:gridCol w:w="109"/>
        <w:gridCol w:w="109"/>
        <w:gridCol w:w="206"/>
        <w:gridCol w:w="777"/>
        <w:gridCol w:w="171"/>
      </w:tblGrid>
      <w:tr>
        <w:trPr/>
        <w:tc>
          <w:tcPr>
            <w:tcW w:w="165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related to reduction in force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 related to strategic consulting services for operational review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cost-reduction and productivity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 related to advisory services for long-term strategy and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fees related to the securities class 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closure lease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Impairment charge related to consolidation of corporate headquarters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70,052 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144,534 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120,652 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(1)Depreciation and amortization expenses included in our results of operations for the periods presented are as follows (in thousands): </w:t>
      </w:r>
    </w:p>
    <w:tbl>
      <w:tblPr>
        <w:tblW w:w="8448"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232"/>
        <w:gridCol w:w="764"/>
        <w:gridCol w:w="129"/>
        <w:gridCol w:w="109"/>
        <w:gridCol w:w="109"/>
        <w:gridCol w:w="109"/>
        <w:gridCol w:w="232"/>
        <w:gridCol w:w="764"/>
        <w:gridCol w:w="129"/>
        <w:gridCol w:w="109"/>
        <w:gridCol w:w="109"/>
        <w:gridCol w:w="109"/>
        <w:gridCol w:w="232"/>
        <w:gridCol w:w="764"/>
        <w:gridCol w:w="129"/>
        <w:gridCol w:w="109"/>
        <w:gridCol w:w="109"/>
        <w:gridCol w:w="109"/>
        <w:gridCol w:w="230"/>
        <w:gridCol w:w="759"/>
        <w:gridCol w:w="181"/>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32,759 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19,919 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14,649 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37,761 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29,139 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(2)See Note 7 to the condensed consolidated financial statements for stock-based compensation expense included in our results of operations for the periods presented.</w:t>
      </w:r>
    </w:p>
    <w:p>
      <w:pPr>
        <w:pStyle w:val="TextBody"/>
        <w:bidi w:val="0"/>
        <w:spacing w:lineRule="auto" w:line="25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(3)Non-GAAP adjustments do not have a material impact on our worldwide income tax provision due to the tax treatment of the non-GAAP adjustments reported, and our domestic valuation allowance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Key Components of Our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consists of subscription and telecom as well as professional services. We consider our subscription and telecom to be recurring revenue. We charge our customers monthly subscription fees for access to our Intelligent CX Platform, primarily based on the number of licenses, as well as on a consumption basis for our AI solutions. We offer monthly, annual and multiple-year contracts to our customers, generally with 30 days’ notice required for limited reductions in the number of licenses or the level of consumption. Increases in the number of licenses or the level of consumption can be provisioned almost immediately. Subscription fees are generally billed monthly in advance, while usage fees are billed in arrears.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Usage fees are billed in arrears based on customer-specific per minute rate plans and are recognized as actual usage occurs.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generate professional services revenue from assisting customers in implementing our solution and optimizing its use. These services include application configuration, system integration and education and training services. 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new and continued macroeconomic challenges resulting from the impact of global tariff increases and potential future increases and announcements regarding same, as well as the impact of current and potential global conflicts, continued inflation, uncertainty regarding consumer spending, high interest rates, fluctuations in currency rates, and other factors, may harm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we expect cost of revenue to fluctuate as a percentage of revenue in the near term, and to decline as a percentage of revenue in the long-term through economies of scale.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as research and development, sales and marketing, and general and administrative expenses. </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salary and related expenses, including stock-based compensation, for personnel related to the 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consist primarily of salaries and related expenses, including stock-based compensation, for 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General and Administrative. </w:t>
      </w:r>
      <w:r>
        <w:rPr>
          <w:color w:val="000000"/>
        </w:rPr>
        <w:t>   </w:t>
      </w:r>
      <w:r>
        <w:rPr>
          <w:rFonts w:ascii="Times New Roman;serif" w:hAnsi="Times New Roman;serif"/>
          <w:b w:val="false"/>
          <w:color w:val="000000"/>
          <w:sz w:val="20"/>
        </w:rPr>
        <w:t>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Six Months Ended June 30, 2026 and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condensed consolidated statements of operations and comprehensive income (loss) set forth in this Quarterly Report on Form 10-Q, the following table sets forth our operating results as a percentage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periods indicated: </w:t>
      </w:r>
    </w:p>
    <w:tbl>
      <w:tblPr>
        <w:tblW w:w="8801" w:type="dxa"/>
        <w:jc w:val="left"/>
        <w:tblInd w:w="0" w:type="dxa"/>
        <w:tblLayout w:type="fixed"/>
        <w:tblCellMar>
          <w:top w:w="28" w:type="dxa"/>
          <w:left w:w="28" w:type="dxa"/>
          <w:bottom w:w="28" w:type="dxa"/>
          <w:right w:w="28" w:type="dxa"/>
        </w:tblCellMar>
      </w:tblPr>
      <w:tblGrid>
        <w:gridCol w:w="1025"/>
        <w:gridCol w:w="904"/>
        <w:gridCol w:w="906"/>
        <w:gridCol w:w="109"/>
        <w:gridCol w:w="109"/>
        <w:gridCol w:w="109"/>
        <w:gridCol w:w="258"/>
        <w:gridCol w:w="258"/>
        <w:gridCol w:w="608"/>
        <w:gridCol w:w="137"/>
        <w:gridCol w:w="137"/>
        <w:gridCol w:w="137"/>
        <w:gridCol w:w="258"/>
        <w:gridCol w:w="258"/>
        <w:gridCol w:w="608"/>
        <w:gridCol w:w="109"/>
        <w:gridCol w:w="109"/>
        <w:gridCol w:w="109"/>
        <w:gridCol w:w="258"/>
        <w:gridCol w:w="258"/>
        <w:gridCol w:w="608"/>
        <w:gridCol w:w="120"/>
        <w:gridCol w:w="120"/>
        <w:gridCol w:w="120"/>
        <w:gridCol w:w="245"/>
        <w:gridCol w:w="245"/>
        <w:gridCol w:w="679"/>
      </w:tblGrid>
      <w:tr>
        <w:trPr/>
        <w:tc>
          <w:tcPr>
            <w:tcW w:w="10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6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0847"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the three and six months ended June 30, 2026 compared to the same period of 2025 was primarily attributable to our larger customers, driven by our sales and marketing activities and our improved brand awareness.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tbl>
      <w:tblPr>
        <w:tblW w:w="11141" w:type="dxa"/>
        <w:jc w:val="left"/>
        <w:tblInd w:w="0" w:type="dxa"/>
        <w:tblLayout w:type="fixed"/>
        <w:tblCellMar>
          <w:top w:w="28" w:type="dxa"/>
          <w:left w:w="28" w:type="dxa"/>
          <w:bottom w:w="28" w:type="dxa"/>
          <w:right w:w="28" w:type="dxa"/>
        </w:tblCellMar>
      </w:tblPr>
      <w:tblGrid>
        <w:gridCol w:w="305"/>
        <w:gridCol w:w="215"/>
        <w:gridCol w:w="216"/>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3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8"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the three months ended June 30, 2026 compared to the same period of 2025 was primarily due to a $7.6 million increase in third-party costs driven by increased customer activities, a $7.5 million increase in depreciation, data center and public cloud costs to support our growing capacity needs, a $4.3 million increase in amortization of capitalized internal-use software development costs, and a $1.6 million increase in consulting costs for global expansion, offset in part by a $2.8 million decrease in personnel-related costs primarily driven by a decrease in stock-based compensation costs.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the six months ended June 30, 2026 compared to the same period of 2025 was primarily due to a $14.5 million increase in third-party costs driven by increased customer activities, a $7.7 million increase in amortization of capitalized internal-use software development costs, a $7.6 million increase in depreciation, data center and public cloud costs to support our growing capacity needs, and a $2.3 million increase in consulting costs for global expansion, offset in part by a $3.9 million decrease in personnel-related costs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driven by a decrease in stock-based compensation costs, and by a $0.7 million decrease in amortization of acquired intangible assets. </w:t>
      </w:r>
    </w:p>
    <w:p>
      <w:pPr>
        <w:pStyle w:val="TextBody"/>
        <w:bidi w:val="0"/>
        <w:spacing w:before="180" w:after="283"/>
        <w:ind w:left="0" w:right="0" w:firstLine="495"/>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Gross Profit </w:t>
      </w:r>
    </w:p>
    <w:tbl>
      <w:tblPr>
        <w:tblW w:w="10299" w:type="dxa"/>
        <w:jc w:val="left"/>
        <w:tblInd w:w="0" w:type="dxa"/>
        <w:tblLayout w:type="fixed"/>
        <w:tblCellMar>
          <w:top w:w="28" w:type="dxa"/>
          <w:left w:w="28" w:type="dxa"/>
          <w:bottom w:w="28" w:type="dxa"/>
          <w:right w:w="28" w:type="dxa"/>
        </w:tblCellMar>
      </w:tblPr>
      <w:tblGrid>
        <w:gridCol w:w="358"/>
        <w:gridCol w:w="200"/>
        <w:gridCol w:w="178"/>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52"/>
        <w:gridCol w:w="152"/>
        <w:gridCol w:w="357"/>
        <w:gridCol w:w="109"/>
        <w:gridCol w:w="109"/>
        <w:gridCol w:w="109"/>
        <w:gridCol w:w="374"/>
        <w:gridCol w:w="256"/>
        <w:gridCol w:w="151"/>
        <w:gridCol w:w="109"/>
        <w:gridCol w:w="109"/>
        <w:gridCol w:w="109"/>
        <w:gridCol w:w="374"/>
        <w:gridCol w:w="256"/>
        <w:gridCol w:w="151"/>
        <w:gridCol w:w="109"/>
        <w:gridCol w:w="109"/>
        <w:gridCol w:w="109"/>
        <w:gridCol w:w="229"/>
        <w:gridCol w:w="229"/>
        <w:gridCol w:w="233"/>
        <w:gridCol w:w="109"/>
        <w:gridCol w:w="109"/>
        <w:gridCol w:w="109"/>
        <w:gridCol w:w="206"/>
        <w:gridCol w:w="206"/>
        <w:gridCol w:w="294"/>
      </w:tblGrid>
      <w:tr>
        <w:trPr/>
        <w:tc>
          <w:tcPr>
            <w:tcW w:w="3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$309,136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increase in gross profit for the three and six months ended June 30, 2026 compared to the same periods of 2025 was primarily due to increases in subscription and related revenues. We expect gross margin to increase in the long-term with long-term revenue growth outpacing continued investments in professional services, public cloud, cloud operations, customer support and network infrastructure.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tbl>
      <w:tblPr>
        <w:tblW w:w="10205" w:type="dxa"/>
        <w:jc w:val="left"/>
        <w:tblInd w:w="0" w:type="dxa"/>
        <w:tblLayout w:type="fixed"/>
        <w:tblCellMar>
          <w:top w:w="28" w:type="dxa"/>
          <w:left w:w="28" w:type="dxa"/>
          <w:bottom w:w="28" w:type="dxa"/>
          <w:right w:w="28" w:type="dxa"/>
        </w:tblCellMar>
      </w:tblPr>
      <w:tblGrid>
        <w:gridCol w:w="353"/>
        <w:gridCol w:w="310"/>
        <w:gridCol w:w="312"/>
        <w:gridCol w:w="109"/>
        <w:gridCol w:w="109"/>
        <w:gridCol w:w="109"/>
        <w:gridCol w:w="197"/>
        <w:gridCol w:w="650"/>
        <w:gridCol w:w="109"/>
        <w:gridCol w:w="109"/>
        <w:gridCol w:w="109"/>
        <w:gridCol w:w="109"/>
        <w:gridCol w:w="196"/>
        <w:gridCol w:w="646"/>
        <w:gridCol w:w="256"/>
        <w:gridCol w:w="109"/>
        <w:gridCol w:w="109"/>
        <w:gridCol w:w="109"/>
        <w:gridCol w:w="196"/>
        <w:gridCol w:w="556"/>
        <w:gridCol w:w="109"/>
        <w:gridCol w:w="109"/>
        <w:gridCol w:w="109"/>
        <w:gridCol w:w="109"/>
        <w:gridCol w:w="152"/>
        <w:gridCol w:w="152"/>
        <w:gridCol w:w="357"/>
        <w:gridCol w:w="109"/>
        <w:gridCol w:w="109"/>
        <w:gridCol w:w="109"/>
        <w:gridCol w:w="197"/>
        <w:gridCol w:w="650"/>
        <w:gridCol w:w="109"/>
        <w:gridCol w:w="109"/>
        <w:gridCol w:w="109"/>
        <w:gridCol w:w="109"/>
        <w:gridCol w:w="374"/>
        <w:gridCol w:w="174"/>
        <w:gridCol w:w="160"/>
        <w:gridCol w:w="109"/>
        <w:gridCol w:w="109"/>
        <w:gridCol w:w="109"/>
        <w:gridCol w:w="220"/>
        <w:gridCol w:w="220"/>
        <w:gridCol w:w="221"/>
        <w:gridCol w:w="109"/>
        <w:gridCol w:w="109"/>
        <w:gridCol w:w="109"/>
        <w:gridCol w:w="206"/>
        <w:gridCol w:w="206"/>
        <w:gridCol w:w="301"/>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research and development expenses for the three months ended June 30, 2026 compared to the same period of 2025 was primarily due to a $1.3 million increase in staff augmentation costs, a $0.8 million increase in public cloud development costs, and a $0.3 million decrease in research and development costs (excluding stock-based compensation costs) that qualified for capitalization, offset in part by a $0.7 million decrease in personnel-related costs primarily due to a decrease in stock-based compensation costs.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research and development expenses for the six months ended June 30, 2026 compared to the same period of 2025 was primarily due to a $1.9 million increase in staff augmentation costs and a $0.9 million increase in public cloud development costs, offset in part by a $2.1 million decrease in personnel-related costs primarily due to a decrease in stock-based compensation costs and a $0.5 million increase in research and development costs (excluding stock-based compensation costs) that qualified for capitalization.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279"/>
        <w:gridCol w:w="245"/>
        <w:gridCol w:w="248"/>
        <w:gridCol w:w="109"/>
        <w:gridCol w:w="109"/>
        <w:gridCol w:w="109"/>
        <w:gridCol w:w="196"/>
        <w:gridCol w:w="646"/>
        <w:gridCol w:w="256"/>
        <w:gridCol w:w="109"/>
        <w:gridCol w:w="109"/>
        <w:gridCol w:w="109"/>
        <w:gridCol w:w="196"/>
        <w:gridCol w:w="646"/>
        <w:gridCol w:w="256"/>
        <w:gridCol w:w="109"/>
        <w:gridCol w:w="109"/>
        <w:gridCol w:w="109"/>
        <w:gridCol w:w="196"/>
        <w:gridCol w:w="438"/>
        <w:gridCol w:w="109"/>
        <w:gridCol w:w="109"/>
        <w:gridCol w:w="109"/>
        <w:gridCol w:w="109"/>
        <w:gridCol w:w="152"/>
        <w:gridCol w:w="152"/>
        <w:gridCol w:w="357"/>
        <w:gridCol w:w="109"/>
        <w:gridCol w:w="109"/>
        <w:gridCol w:w="109"/>
        <w:gridCol w:w="196"/>
        <w:gridCol w:w="738"/>
        <w:gridCol w:w="109"/>
        <w:gridCol w:w="109"/>
        <w:gridCol w:w="109"/>
        <w:gridCol w:w="109"/>
        <w:gridCol w:w="374"/>
        <w:gridCol w:w="261"/>
        <w:gridCol w:w="161"/>
        <w:gridCol w:w="109"/>
        <w:gridCol w:w="109"/>
        <w:gridCol w:w="109"/>
        <w:gridCol w:w="220"/>
        <w:gridCol w:w="220"/>
        <w:gridCol w:w="221"/>
        <w:gridCol w:w="109"/>
        <w:gridCol w:w="109"/>
        <w:gridCol w:w="109"/>
        <w:gridCol w:w="206"/>
        <w:gridCol w:w="206"/>
        <w:gridCol w:w="305"/>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sales and marketing expenses for the three months ended June 30, 2026 compared to the same period of 2025 was primarily due to a $5.8 million decrease in personnel-related costs mainly due to a decrease in stock-based compensation costs, offset in part by a $3.6 million increase in amortization of deferred contract acquisition costs driven by the growth in sales and bookings of our solution and by a $1.4 million increase in overall marketing spend.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sales and marketing expenses for the six months ended June 30, 2026 compared to the same period of 2025 was primarily due to an $11.2 million decrease in personnel-related costs mainly due to a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costs, and a $0.7 million decrease in travel costs as a result of reduced business travel, offset in part by a $7.4 million increase in amortization of deferred contract acquisition costs driven by the growth in sales and bookings of our solution.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tbl>
      <w:tblPr>
        <w:tblW w:w="10205"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202"/>
        <w:gridCol w:w="665"/>
        <w:gridCol w:w="112"/>
        <w:gridCol w:w="109"/>
        <w:gridCol w:w="109"/>
        <w:gridCol w:w="109"/>
        <w:gridCol w:w="202"/>
        <w:gridCol w:w="665"/>
        <w:gridCol w:w="112"/>
        <w:gridCol w:w="109"/>
        <w:gridCol w:w="109"/>
        <w:gridCol w:w="109"/>
        <w:gridCol w:w="196"/>
        <w:gridCol w:w="556"/>
        <w:gridCol w:w="109"/>
        <w:gridCol w:w="109"/>
        <w:gridCol w:w="109"/>
        <w:gridCol w:w="109"/>
        <w:gridCol w:w="165"/>
        <w:gridCol w:w="166"/>
        <w:gridCol w:w="357"/>
        <w:gridCol w:w="109"/>
        <w:gridCol w:w="109"/>
        <w:gridCol w:w="109"/>
        <w:gridCol w:w="374"/>
        <w:gridCol w:w="200"/>
        <w:gridCol w:w="188"/>
        <w:gridCol w:w="109"/>
        <w:gridCol w:w="109"/>
        <w:gridCol w:w="109"/>
        <w:gridCol w:w="374"/>
        <w:gridCol w:w="200"/>
        <w:gridCol w:w="188"/>
        <w:gridCol w:w="109"/>
        <w:gridCol w:w="109"/>
        <w:gridCol w:w="109"/>
        <w:gridCol w:w="220"/>
        <w:gridCol w:w="220"/>
        <w:gridCol w:w="221"/>
        <w:gridCol w:w="109"/>
        <w:gridCol w:w="109"/>
        <w:gridCol w:w="109"/>
        <w:gridCol w:w="206"/>
        <w:gridCol w:w="206"/>
        <w:gridCol w:w="30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general and administrative expenses for the three months ended June 30, 2026 compared to the same period of 2025 was primarily due to an $8.4 million increase in impairment charge as a result of the initiation of a plan to consolidate our corporate headquarters from two floors to a single floor in May 2026, offset in part by a $1.4 million decrease in personnel-related costs primarily due to a decrease in stock-based compensation costs.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general and administrative expenses for the six months ended June 30, 2026 compared to the same period of 2025 was primarily due to an $8.4 million increase in impairment charge as a result of the initiation of a plan to consolidate our corporate headquarters from two floors to a single floor in May 2026, offset in part by a $2.9 million decrease in personnel-related costs primarily due to a decrease in stock-based compensation costs. The remaining decrease was primarily due to a reduction in overall general and administrative spend during this period as a result of our ongoing cost-reduction and productivity initiatives.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10790" w:type="dxa"/>
        <w:jc w:val="left"/>
        <w:tblInd w:w="0" w:type="dxa"/>
        <w:tblLayout w:type="fixed"/>
        <w:tblCellMar>
          <w:top w:w="28" w:type="dxa"/>
          <w:left w:w="28" w:type="dxa"/>
          <w:bottom w:w="28" w:type="dxa"/>
          <w:right w:w="28" w:type="dxa"/>
        </w:tblCellMar>
      </w:tblPr>
      <w:tblGrid>
        <w:gridCol w:w="355"/>
        <w:gridCol w:w="220"/>
        <w:gridCol w:w="221"/>
        <w:gridCol w:w="109"/>
        <w:gridCol w:w="109"/>
        <w:gridCol w:w="109"/>
        <w:gridCol w:w="196"/>
        <w:gridCol w:w="571"/>
        <w:gridCol w:w="256"/>
        <w:gridCol w:w="109"/>
        <w:gridCol w:w="109"/>
        <w:gridCol w:w="109"/>
        <w:gridCol w:w="196"/>
        <w:gridCol w:w="571"/>
        <w:gridCol w:w="256"/>
        <w:gridCol w:w="109"/>
        <w:gridCol w:w="109"/>
        <w:gridCol w:w="109"/>
        <w:gridCol w:w="196"/>
        <w:gridCol w:w="571"/>
        <w:gridCol w:w="109"/>
        <w:gridCol w:w="109"/>
        <w:gridCol w:w="109"/>
        <w:gridCol w:w="109"/>
        <w:gridCol w:w="173"/>
        <w:gridCol w:w="173"/>
        <w:gridCol w:w="357"/>
        <w:gridCol w:w="109"/>
        <w:gridCol w:w="109"/>
        <w:gridCol w:w="109"/>
        <w:gridCol w:w="196"/>
        <w:gridCol w:w="571"/>
        <w:gridCol w:w="256"/>
        <w:gridCol w:w="109"/>
        <w:gridCol w:w="109"/>
        <w:gridCol w:w="109"/>
        <w:gridCol w:w="196"/>
        <w:gridCol w:w="646"/>
        <w:gridCol w:w="256"/>
        <w:gridCol w:w="109"/>
        <w:gridCol w:w="109"/>
        <w:gridCol w:w="109"/>
        <w:gridCol w:w="196"/>
        <w:gridCol w:w="571"/>
        <w:gridCol w:w="109"/>
        <w:gridCol w:w="109"/>
        <w:gridCol w:w="109"/>
        <w:gridCol w:w="109"/>
        <w:gridCol w:w="173"/>
        <w:gridCol w:w="173"/>
        <w:gridCol w:w="410"/>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for the three and six months ended June 30, 2026 compared to the same periods of 2025 was primarily due to the maturity of the 2025 convertible senior notes on June 1, 2025.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and other for the three and six months ended June 30, 2026 compared to the same periods of 2025 was due to lower investable balances primarily resulting from cash paid in connection with the maturity of the 2025 convertible senior notes and the repurchases of our common stock, offset in part by an increase in foreign currency transaction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primarily through sales of our solution, net proceeds from our equity and debt financings, including the issuance of convertible senior notes in March 2024, May and June 2020 and May 2018, and lease facilities. As of June 30, 2026, we had $722.1 million in working capital, which included $187.3 million in cash and cash equivalents and $466.8 million in marketable investments. Our 2025 convertible senior notes matured on June 1, 2025, and we settled our obligations with respect to the 2025 convertible senior notes through a cash payment of $434.4 million in connection therewith. Our intent is that all marketable investments are available for use in our current operations, including marketable investments with maturity dates greater than one year from June 30, 2026.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internationally, and the effect of the length and severity of the continued macroeconomic challenges resulting from the impact of global tariff increases and potential future increases and announcements regarding same, as well as the impact of current and potential global conflicts, on these or other factors. We may also acquire or invest in complementary businesses, technologies and intellectual property rights, such as our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challenging macroeconomic environment and fluctuations in the financial markets resulting from the impact of global tariff increases and potential future increases and announcements regarding same, as well as the impact of current and potential global conflicts. If we are unable to raise additional capital as needed, our business, operating results and financial condition could be harmed. In addition, if our operating performance is below our expectations, our liquidity and ability to operate our business also could be harmed.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Repurchase Programs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2025 Repurchase Program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October 2025, our Board of Directors approved the 2025 Repurchase Program, which authorized</w:t>
      </w:r>
      <w:r>
        <w:rPr>
          <w:color w:val="000000"/>
        </w:rPr>
        <w:t xml:space="preserve"> </w:t>
      </w:r>
      <w:r>
        <w:rPr>
          <w:rFonts w:ascii="Times New Roman;serif" w:hAnsi="Times New Roman;serif"/>
          <w:b w:val="false"/>
          <w:color w:val="000000"/>
          <w:sz w:val="20"/>
        </w:rPr>
        <w:t>the repurchase of up to $150.0 million of our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r>
        <w:rPr>
          <w:color w:val="000000"/>
        </w:rPr>
        <w:t xml:space="preserve">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2025 Repurchase Program, we entered into an ASR program (the "2025 ASR Program") with JPMorgan Chase Bank, National Association N.A. ("JPM") on November 11, 2025. Under the terms of the 2025 ASR Program, on November 12, 2025, we made an aggregate payment of $50 million and received an initial delivery of 1,926,782 shares of our common stock at an initial price of $20.76 per share, representing approximately 73% of the total number of shares of our common stock purchased under the 2025 ASR program. The 2025 ASR Program was completed on February 2, 2026, which resulted in delivery of 701,517 additional shares to us. The final share settlement was based on the average daily volume-weighted average price of our shares, netted against the initial delivery. The shares received were immediately retired and recorded as a reduction to additional paid-in-capital within stockholders’ equity.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we repurchased 578,742 shares under the 2025 Repurchase Program at an average share price of $17.28 for an aggregate payment of $10.0 million.</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additional $90 million ASR program (the “2026 ASR Program”) on May 4, 2026 with JPM to repurchase the remaining authorized amount under the 2025 Repurchase Program. Under the terms of the 2026 ASR Program, on May 5, 2026, we made an aggregate payment of $90 million and received an initial delivery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of 3,084,833 shares of our common stock at an initial price of $23.34 per share, representing approximately 80% of the total number of shares of our common stock expected to be purchased under the 2026 ASR Program. The shares received were immediately retired and recorded as a reduction to additional paid-in-capital within stockholders' equity. Given our ability to settle in shares, as described below, the remaining $18 million prepaid forward contract was classified as a reduction to additional-paid-in-capital upon issuance and as of June 30, 2026. The final settlement of the 2026 ASR Program is expected to occur in the third quarter of 2026.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ASR programs, upon settlement, we were permitted to either receive additional shares of common stock from JPM or were required to deliver additional shares of common stock or cash to JPM, at our election. The final number of shares we repurchased was based on the average of the daily volume-weighted average prices of our common stock during the term of the ASR programs, less a discount and subject to adjustments pursuant to the terms and conditions of the ASR programs. Cash settlement was not mandatory pursuant to the terms of the ASR programs.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no amount remained available under the 2025 Repurchase Program.</w:t>
      </w:r>
    </w:p>
    <w:p>
      <w:pPr>
        <w:pStyle w:val="TextBody"/>
        <w:bidi w:val="0"/>
        <w:spacing w:lineRule="auto" w:line="288" w:before="120" w:after="12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2026 Repurchase Program</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we announced that our Board of Directors approved a new share repurchase program (the “2026 Repurchase Program”), which authorized the repurchase of up to an additional $200.0 million of our common stock and has no expiration date.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under the 2026 Repurchase Program will be made pursuant to open market purchases, solicited or unsolicited privately negotiated transactions, accelerated share repurchase transactions, and may be effected pursuant to 10b5-1 plans, and in compliance with applicable securities laws and other requirements. The 2026 Repurchase Program will be funded using our cash on hand and future cash flow generation.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timing, manner, price, and amount of repurchases under the 2026 Repurchase Program is subject to the discretion of our management. We are not obligated to acquire a specified number of shares under the 2026 Repurchase Program, which may be suspended, modified, or terminated at any time, without prior notice. The shares received will be immediately retired and recorded as a reduction to additional paid-in-capital within stockholders’ equity.</w:t>
      </w:r>
    </w:p>
    <w:p>
      <w:pPr>
        <w:pStyle w:val="TextBody"/>
        <w:bidi w:val="0"/>
        <w:spacing w:lineRule="auto" w:line="276"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$200.0 million remained available under the 2026 Repurchase Program.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(in thousands): </w:t>
      </w:r>
    </w:p>
    <w:tbl>
      <w:tblPr>
        <w:tblW w:w="8241" w:type="dxa"/>
        <w:jc w:val="left"/>
        <w:tblInd w:w="0" w:type="dxa"/>
        <w:tblLayout w:type="fixed"/>
        <w:tblCellMar>
          <w:top w:w="28" w:type="dxa"/>
          <w:left w:w="28" w:type="dxa"/>
          <w:bottom w:w="28" w:type="dxa"/>
          <w:right w:w="28" w:type="dxa"/>
        </w:tblCellMar>
      </w:tblPr>
      <w:tblGrid>
        <w:gridCol w:w="1715"/>
        <w:gridCol w:w="1510"/>
        <w:gridCol w:w="1514"/>
        <w:gridCol w:w="109"/>
        <w:gridCol w:w="109"/>
        <w:gridCol w:w="109"/>
        <w:gridCol w:w="211"/>
        <w:gridCol w:w="826"/>
        <w:gridCol w:w="109"/>
        <w:gridCol w:w="109"/>
        <w:gridCol w:w="109"/>
        <w:gridCol w:w="109"/>
        <w:gridCol w:w="211"/>
        <w:gridCol w:w="901"/>
        <w:gridCol w:w="109"/>
        <w:gridCol w:w="109"/>
        <w:gridCol w:w="109"/>
        <w:gridCol w:w="109"/>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erif" w:hAnsi="Times New Roman;serif"/>
          <w:b/>
          <w:i/>
          <w:color w:val="000000"/>
          <w:sz w:val="20"/>
        </w:rPr>
        <w:t>Cash Flows from Operating Activities</w:t>
      </w:r>
      <w:r>
        <w:rPr>
          <w:color w:val="000000"/>
        </w:rPr>
        <w:t xml:space="preser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is primarily influenced by our personnel-related expenditures, data center and telecommunications carrier costs, office and facility related costs, USF contributions and other regulatory costs and the amount and timing of customer payments. If we continue to improve our financial results, we expect net cash provided by operating activities to increase. Our largest source of operating cash inflows is cash collections from our customers for subscription and telecom services. Payments from customers for these services are typically received monthly.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$106.0 million during the six months ended June 30, 2026. Net cash provided by operating activities resulted from our net income of $21.8 million, adjustments to reconcile net income to net cash provided by operating activities of $172.7 million, primarily consisting of $65.6 million of stock-based compensation, $48.4 million of amortization of deferred contract acquisition costs, $37.8 million of depreciation and amortization, $10.7 million of reduction in the carrying amount of right-of-use assets, $8.5 million impairment charges of long-lived assets, and $1.8 million of amortization of issuance costs on our convertible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notes, partially offset by use of cash for operating assets and liabilities of $(88.5) million primarily due to the timing of cash payments to vendors and cash receipts from customers and $(2.3) million accretion of discount on marketable investments.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$83.4 million during the six months ended June 30, 2025. Net cash provided by operating activities resulted from our net income of $1.7 million, adjustments to reconcile net income to net cash provided by operating activities of $161.4 million, primarily consisting of $81.1 million of stock-based compensation, $41.5 million of amortization of deferred contract acquisition costs, $29.1 million of depreciation and amortization, $10.1 million of reduction in the carrying amount of right-of-use assets, and $2.7 million of amortization of issuance costs on our convertible senior notes, partially offset by use of cash for operating assets and liabilities of $(79.7) million primarily due to the timing of cash payments to vendors and cash receipts from customers and $(5.3) million accretion of discount on marketable investments. </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of $(42.4) million in the six months ended June 30, 2026 was comprised of $(199.6) million related to purchases of marketable investments, $(22.9) million in capital expenditures, and $(18.5) million in capitalized software development costs, offset in part by $198.6 million related to cash proceeds from sales and maturities of marketable investments.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of $191.1 million in the six months ended June 30, 2025 was comprised of $533.2 million related to cash proceeds from sales and maturities of marketable investments, offset in part by $315.1 million related to purchases of marketable investments, $18.7 million in capitalized software development costs and $8.2 million in capital expenditures.</w:t>
      </w:r>
    </w:p>
    <w:p>
      <w:pPr>
        <w:pStyle w:val="TextBody"/>
        <w:bidi w:val="0"/>
        <w:spacing w:lineRule="auto" w:line="26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 xml:space="preserve">Cash Flows from Financing Activities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$(108.3) million in the six months ended June 30, 2026 was from $(100.0) million of cash paid for the repurchase of our common stock, $(10.8) million of principal payments on financing arrangements, and $(4.9) million of payments related to finance leases, offset in part by $7.0 million from the sale of common stock under our employee stock purchase plan and $0.4 million in proceeds from the exercise of common stock options.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$(431.1) million in the six months ended June 30, 2025 was primarily related to $434.4 million of cash paid in connection with the maturity of the 2025 convertible senior notes and $4.7 million of payments related to finance leases, offset in part by $7.9 million from the sale of common stock under our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disclosed in our Annual Report on Form 10-K for the fiscal year ended December 31, 2025 filed with the SEC on February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 of the notes to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Contractual and Other Obligations </w:t>
      </w:r>
    </w:p>
    <w:p>
      <w:pPr>
        <w:pStyle w:val="TextBody"/>
        <w:bidi w:val="0"/>
        <w:spacing w:lineRule="auto" w:line="312" w:before="120" w:after="283"/>
        <w:jc w:val="left"/>
        <w:rPr/>
      </w:pPr>
      <w:r>
        <w:rPr>
          <w:rFonts w:ascii="Times New Roman;serif" w:hAnsi="Times New Roman;serif"/>
          <w:b w:val="false"/>
          <w:color w:val="000000"/>
          <w:sz w:val="20"/>
        </w:rPr>
        <w:t>Our material cash requirements include the following contractual and other obligations.</w:t>
      </w:r>
      <w:r>
        <w:rPr>
          <w:color w:val="000000"/>
        </w:rPr>
        <w:t xml:space="preserve"> </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Convertible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May and June 2020, we issued $747.5 million aggregate principal amount of our 2025 convertible senior notes in a private offering. The 2025 convertible senior notes matured on June 1, 2025, and we settled our obligations with respect to the 2025 convertible senior notes in cash in connection therewith. Prior to maturity, the 2025 convertible senior notes bore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In March 2024, we issued $747.5 million aggregate principal amount of our 2029 convertible senior notes in a private offering. In connection with the issuance of the 2029 convertible senior notes, we used part of the net proceeds from the issuance to repurchase approximately $313.1 million aggregate principal amount of our 2025 convertible senior notes.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June 30, 2026, the aggregate principal amount outstanding of our 2029 convertible senior notes was $747.5 million.</w:t>
      </w:r>
      <w:r>
        <w:rPr>
          <w:color w:val="000000"/>
        </w:rPr>
        <w:t xml:space="preserve"> </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6 to the condensed consolidated financial statements included in this report for further details.</w:t>
      </w:r>
    </w:p>
    <w:p>
      <w:pPr>
        <w:pStyle w:val="TextBody"/>
        <w:bidi w:val="0"/>
        <w:spacing w:lineRule="auto" w:line="237"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$61.7 million as of June 30, 2026, with $8.6 million payable in the remainder of 2026, $28.5 million payable within one to three years, $22.9 million payable within three to five years, and $1.7 million payable after five years. We also had outstanding finance lease obligations of $12.1 million as of June 30, 2026, with $4.4 million payable in the remainder of 2026, $7.4 million payable within one to three years, and $0.3 million payable within three to five years. We entered into additional three-year equipment finance lease agreements and recognized $1.6 million right of use assets during the three months ended June 30, 2026, which were reported within Finance lease right-of-use assets and are being depreciated on a straight-line basis over the lease term. As a result, we also recognized short-term lease liabilities of $0.5 million within Finance lease liabilities and long-term lease liabilities of $1.1 million within Finance lease liabilities - less current portion during these periods.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See Note 12 to the condensed consolidated financial statements included in this report for further details.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Cloud Services and Software and Maintenance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cloud services and software and maintenance agreement commitments totaling $125.4 million, of which $14.7 million is expected to be purchased in the remainder of 2026, $107.3 million is expected to be purchased in 2027 and 2028, and the remaining $3.4 million is expected to be purchased in 2029.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Hosting and Telecommunication Usage Services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agreements with third parties to provide co-location hosting and telecommunication usage services. The agreements require payments per month for a fixed period of time in exchange for certain guarantees of network and telecommunication availability. As of June 30, 2026, we had outstanding hosting and telecommunication usage services obligations of $12.4 million, with $3.0 million payable in the remainder of 2026, $7.5 million payable in 2027 and 2028, and $1.9 million payable in 2029 and 2030. </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Other Agreements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2026, we entered into a $53.9 million five-year agreement for data center support and maintenance services, which was financed through a non-interest bearing financing arrangement. In accordance with ASC 835-30, the financing arrangement was recorded as a liability at its present value of $48.3 million using an imputed interest. We are obligated to make five installment payments of $10.8 million annually, with the first payment made upon execution of the agreement in March 2026, and the remaining four annual payments due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March 2027 through March 2030. The current and long-term portions of this obligation were $10.8 million and $27.4 million, respectively, as of June 30, 2026.</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2026, we executed a reseller agreement with a total commitment of $9.0 million, a term from March 31, 2026 to March 31, 2027, with a total remaining commitment of $6.3 million as of June 30, 2026. </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Indemnification Agreements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 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sheets, consolidated statements of operations and comprehensive income (loss), or consolidated statements of cash flows. </w:t>
      </w:r>
    </w:p>
    <w:p>
      <w:pPr>
        <w:pStyle w:val="TextBody"/>
        <w:bidi w:val="0"/>
        <w:spacing w:lineRule="auto" w:line="288" w:before="120" w:after="283"/>
        <w:ind w:left="0" w:right="0" w:firstLine="495"/>
        <w:jc w:val="both"/>
        <w:rPr/>
      </w:pPr>
      <w:r>
        <w:rPr>
          <w:color w:val="000000"/>
        </w:rPr>
        <w:t> </w:t>
      </w:r>
      <w:r>
        <w:rPr>
          <w:rFonts w:ascii="Times New Roman;serif" w:hAnsi="Times New Roman;serif"/>
          <w:b/>
          <w:i/>
          <w:color w:val="000000"/>
          <w:sz w:val="20"/>
        </w:rPr>
        <w:t>Contingencies — Legal and Regulatory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2024, a purported holder of our securities filed a putative class action complaint against us, our then-current Chief Executive Officer, and our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We moved to dismiss the amended complaint on July 29, 2025, and the court took the motion under submission after oral argument on December 18, 2025. On February 23, 2026, the court granted in part and denied in part Defendants' motion to dismiss. We cannot predict the duration or outcome of this lawsuit at this time. As a result, we are unable to estimate the reasonably possible loss or range of reasonably possible losses arising from this lawsuit. We intend to vigorously defend this lawsuit.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The action was stayed pending the resolution of the motion to dismiss in the securities action. On February 27, 2026, a separate and related shareholder derivative action was filed again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On March 9, 2026, all parties filed a stipulation with the court to consolidate the two derivative actions, which the court so ordered on March 17, 2026. On May 20, 2026, the court entered an order on the parties’ stipulation staying the derivative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24, 2026, a related shareholder derivative action was filed in the United States District Court for the District of Delaware on behalf of nominal defendant Five9, Inc. and against its directors and certain of its officers seeking to assert claims for breaches of fiduciary duties, gross mismanagement, waste of corporate assets, unjust enrichment, and violation of Section 14(a) of the Securities Exchange Act of 1934. On April 15, 2026, the court entered an order on the parties' stipulation staying the derivative action.</w:t>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30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Disclosures about Market Risk” in Item 7A of our Annual Report on Form 10-K for the fiscal year ended December 31, 2025. Our exposure to market risk has not changed materially since December 31, 2025.</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Rate Sensitivity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and marketable securities totaling $654.1 million as of June 30, 2026.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aggregate principal amount outstanding of our 2029 convertible senior notes was $747.5 million. The fair value of the 2029 convertible senior notes is subject to interest rate risk, market risk and other factors due to their conversion features. The fair value of the 2029 convertible senior notes will generally increase as our common stock price increases and will generally decrease as our common stock price decreases. The interest and market value changes affect the fair value of the 2029 convertible senior notes but do not impact our financial position, cash flows or results of operations due to the fixed nature of the debt obligations. Additionally, we carry the 2029 convertible senior notes at face value less unamortized discount on our condensed consolidated balance sheets, and we present the fair value for required disclosure purposes only.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March 2024 related to the issuance of our 2029 convertible senior notes. </w:t>
      </w:r>
    </w:p>
    <w:p>
      <w:pPr>
        <w:pStyle w:val="TextBody"/>
        <w:bidi w:val="0"/>
        <w:spacing w:lineRule="auto" w:line="26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Foreign Currency Risk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six months ended June 30, 2026, the effect of a hypothetical 10% change in foreign currency exchange rates applicable to our business would have a maximum impact of $7.2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June 30, 2026.</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on management’s evaluation, our Chief Executive Officer and Chief Financial Officer concluded that, as of June 30, 2026,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was no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this Item may be found under the heading “Legal Matters” in Note 10 to the condensed consolidated financial statements 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from the Risk Factors previously disclosed in Part 1, Item 1A, of our Annual Report on Form 10-K for the fiscal year ended December 31, 2025. In addition to the other information set forth in this report, you should carefully consider the Risk Factors discussed in our Annual Report on Form 10-K as the matters disclosed therein could materially affect our business, financial condition and future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2025 Repurchase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our Board of Directors approved the 2025 Repurchase Program, which authorized the repurchase of up to $150.0 million of our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2025 Repurchase Program, we entered into an ASR program (the "2025 ASR Program") with JPMorgan Chase Bank, National Association N.A., or JPM, on November 11, 2025. Under the terms of the 2025 ASR Program, we agreed to repurchase $50 million in common stock, with an initial delivery of approximately 1,926,782 shares received on November 12, 2025 for $40 million, representing approximately 73% of the total number of shares purchased under the 2025 ASR Program. The 2025 ASR Program was completed on February 2, 2026, which resulted in delivery of 701,517 additional shares. The final share settlement was based on the average daily volume-weighted average price of our shares, netted against the initial delivery. The shares received were immediately retired and recorded as a reduction to additional paid-in-capital within stockholders’ equity.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we repurchased 578,742 shares under the 2025 Repurchase Program at an average share price of $17.28 for an aggregate payment of $10.0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additional $90 million ASR program (the “2026 ASR Program”) on May 4, 2026 with JPM to repurchase the remaining authorized amount under the 2025 Repurchase Program. Under the terms of the 2026 ASR Program, on May 5, 2026, we made an aggregate payment of $90 million and received an initial delivery of 3,084,833 shares of our common stock at an initial price of $23.34 per share, representing approximately 80% of the total number of shares expected to be purchased under the 2026 ASR Program. The shares received were immediately retired and recorded as a reduction to additional paid-in-capital within stockholders' equity. Given our ability to settle in shares, as described below, the remaining $18 million prepaid forward contract was classified as a reduction to additional-paid-in-capital upon issuance and as of June 30, 2026. The final settlement of the 2026 ASR Program is expected to occur in the third quarter of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ASR programs, upon settlement, we were permitted to either receive additional shares of common stock from JPM or were required to deliver additional shares of common stock or cash to JPM, at our election. The final number of shares we repurchased was based on the average of the daily volume-weighted average prices of our common stock during the term of the ASR programs, less a discount and subject to adjustments pursuant to the terms and conditions of the ASR programs. Cash settlement was not mandatory pursuant to the terms of the ASR programs.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no amount remained available under the 2025 Repurchase Program.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 repurchases by us during the three-month period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45"/>
        <w:gridCol w:w="372"/>
        <w:gridCol w:w="373"/>
        <w:gridCol w:w="738"/>
        <w:gridCol w:w="501"/>
        <w:gridCol w:w="503"/>
        <w:gridCol w:w="305"/>
        <w:gridCol w:w="893"/>
        <w:gridCol w:w="157"/>
        <w:gridCol w:w="1076"/>
        <w:gridCol w:w="869"/>
        <w:gridCol w:w="871"/>
        <w:gridCol w:w="451"/>
        <w:gridCol w:w="2314"/>
        <w:gridCol w:w="337"/>
      </w:tblGrid>
      <w:tr>
        <w:trPr/>
        <w:tc>
          <w:tcPr>
            <w:tcW w:w="44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Price Paid per Share</w:t>
            </w:r>
          </w:p>
        </w:tc>
        <w:tc>
          <w:tcPr>
            <w:tcW w:w="2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11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May 1, 2026 - May 31, 2026</w:t>
            </w:r>
            <w:r>
              <w:rPr>
                <w:rFonts w:ascii="Times New Roman;serif" w:hAnsi="Times New Roman;serif"/>
                <w:b w:val="false"/>
                <w:color w:val="000000"/>
                <w:sz w:val="13"/>
              </w:rPr>
              <w:t>(1)</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3,084,833 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3,084,833 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Second Quarter 2026</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3,084,833 </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3,084,833 </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On May 5, 2026, we received an initial delivery of 3,084,833 shares of our common stock at an initial price of $23.34 per share, representing an initial delivery of approximately 80% of the total number of shares expected to be purchased under the 2026 ASR Program. </w:t>
      </w:r>
    </w:p>
    <w:p>
      <w:pPr>
        <w:pStyle w:val="TextBody"/>
        <w:bidi w:val="0"/>
        <w:spacing w:lineRule="auto" w:line="268" w:before="120" w:after="120"/>
        <w:ind w:left="0" w:right="0" w:firstLine="540"/>
        <w:jc w:val="both"/>
        <w:rPr>
          <w:rFonts w:ascii="Times New Roman;serif" w:hAnsi="Times New Roman;serif"/>
          <w:b/>
          <w:i/>
          <w:color w:val="000000"/>
          <w:sz w:val="20"/>
        </w:rPr>
      </w:pPr>
      <w:r>
        <w:rPr>
          <w:rFonts w:ascii="Times New Roman;serif" w:hAnsi="Times New Roman;serif"/>
          <w:b/>
          <w:i/>
          <w:color w:val="000000"/>
          <w:sz w:val="20"/>
        </w:rPr>
        <w:t>2026 Repurchase Program</w:t>
      </w:r>
    </w:p>
    <w:p>
      <w:pPr>
        <w:pStyle w:val="TextBody"/>
        <w:bidi w:val="0"/>
        <w:spacing w:lineRule="auto" w:line="26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we announced that our Board of Directors approved a new share repurchase program (the “2026 Repurchase Program”), which authorized the repurchase of up to an additional $200.0 million of our common stock and has no expiration date.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under the 2026 Repurchase Program will be made pursuant to open market purchases, solicited or unsolicited privately negotiated transactions, accelerated share repurchase transactions, and may be effected pursuant to 10b5-1 plans, and in compliance with applicable securities laws and other requirements. The 2026 Repurchase Program will be funded using our cash on hand and future cash flow generation.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timing, manner, price, and amount of repurchases under the 2026 Repurchase Program is subject to the discretion of our management. We are not obligated to acquire a specified number of shares under the 2026 Repurchase Program, which may be suspended, modified, or terminated at any time, without prior notice. The shares received will be immediately retired and recorded as a reduction to additional paid-in-capital within stockholders’ equity.</w:t>
      </w:r>
    </w:p>
    <w:p>
      <w:pPr>
        <w:pStyle w:val="TextBody"/>
        <w:bidi w:val="0"/>
        <w:spacing w:lineRule="auto" w:line="276"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$200.0 million remained available under the 2026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Rule 10b5-1 Plans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2026, none of the Company’s directors and officers adopted, modified, or terminated a Rule 10b5-1 trading arrangement or a non-Rule 10b5-1 trading arrangement other than the adoption of the following Rule 10b5-1 trading arrangements: </w:t>
      </w:r>
    </w:p>
    <w:tbl>
      <w:tblPr>
        <w:tblW w:w="10205" w:type="dxa"/>
        <w:jc w:val="left"/>
        <w:tblInd w:w="0" w:type="dxa"/>
        <w:tblLayout w:type="fixed"/>
        <w:tblCellMar>
          <w:top w:w="28" w:type="dxa"/>
          <w:left w:w="28" w:type="dxa"/>
          <w:bottom w:w="28" w:type="dxa"/>
          <w:right w:w="28" w:type="dxa"/>
        </w:tblCellMar>
      </w:tblPr>
      <w:tblGrid>
        <w:gridCol w:w="500"/>
        <w:gridCol w:w="438"/>
        <w:gridCol w:w="396"/>
        <w:gridCol w:w="673"/>
        <w:gridCol w:w="578"/>
        <w:gridCol w:w="585"/>
        <w:gridCol w:w="304"/>
        <w:gridCol w:w="304"/>
        <w:gridCol w:w="306"/>
        <w:gridCol w:w="340"/>
        <w:gridCol w:w="340"/>
        <w:gridCol w:w="341"/>
        <w:gridCol w:w="637"/>
        <w:gridCol w:w="516"/>
        <w:gridCol w:w="517"/>
        <w:gridCol w:w="574"/>
        <w:gridCol w:w="574"/>
        <w:gridCol w:w="576"/>
        <w:gridCol w:w="496"/>
        <w:gridCol w:w="496"/>
        <w:gridCol w:w="714"/>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w:t>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Adoption Date</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Expiration Date</w:t>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Aggregate # of securities to be sold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Aggregate # of securities to be purchased</w:t>
            </w:r>
          </w:p>
        </w:tc>
        <w:tc>
          <w:tcPr>
            <w:tcW w:w="1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u w:val="single"/>
              </w:rPr>
              <w:t>Type of Arrangement</w:t>
            </w:r>
            <w:r>
              <w:rPr>
                <w:rFonts w:ascii="Times New Roman;serif" w:hAnsi="Times New Roman;serif"/>
                <w:b w:val="false"/>
                <w:color w:val="000000"/>
                <w:sz w:val="10"/>
                <w:u w:val="single"/>
              </w:rPr>
              <w:t>(2)</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Panos Kozanian</w:t>
            </w:r>
          </w:p>
        </w:tc>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EVP, Product Engineering</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6, 2026</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2027</w:t>
            </w:r>
          </w:p>
        </w:tc>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5,521</w:t>
            </w:r>
            <w:r>
              <w:rPr>
                <w:rFonts w:ascii="Times New Roman;serif" w:hAnsi="Times New Roman;serif"/>
                <w:b w:val="false"/>
                <w:color w:val="000000"/>
                <w:sz w:val="10"/>
              </w:rPr>
              <w:t>(1)</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Rule 10b5-1 trading arrangement </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Leena Mansharamani</w:t>
            </w:r>
          </w:p>
        </w:tc>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Chief Accounting Officer</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 2026</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2027</w:t>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11,755</w:t>
            </w:r>
            <w:r>
              <w:rPr>
                <w:rFonts w:ascii="Times New Roman;serif" w:hAnsi="Times New Roman;serif"/>
                <w:b w:val="false"/>
                <w:color w:val="000000"/>
                <w:sz w:val="10"/>
              </w:rPr>
              <w:t>1)</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 10b5-1 trading arrangement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Tiffany Meriweather</w:t>
            </w:r>
          </w:p>
        </w:tc>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Chief Administrative and Legal Officer</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21, 2026</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31, 2027</w:t>
            </w:r>
          </w:p>
        </w:tc>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Not determinable</w:t>
            </w:r>
            <w:r>
              <w:rPr>
                <w:rFonts w:ascii="Times New Roman;serif" w:hAnsi="Times New Roman;serif"/>
                <w:b w:val="false"/>
                <w:color w:val="000000"/>
                <w:sz w:val="10"/>
              </w:rPr>
              <w:t>(1)</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 10b5-1 trading arrangement</w:t>
            </w:r>
          </w:p>
        </w:tc>
      </w:tr>
    </w:tbl>
    <w:p>
      <w:pPr>
        <w:pStyle w:val="TextBody"/>
        <w:bidi w:val="0"/>
        <w:spacing w:lineRule="auto" w:line="276"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Does not include an additional indeterminable number of shares permitted to be sold pursuant to the Rule 10b5-1 trading arrangement in order to satisfy tax obligations upon the vesting of restricted stock units.</w:t>
      </w:r>
    </w:p>
    <w:p>
      <w:pPr>
        <w:pStyle w:val="TextBody"/>
        <w:bidi w:val="0"/>
        <w:spacing w:lineRule="auto" w:line="26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Rule 10b5-1 trading arrangement is intended to satisfy the affirmative defense conditions of Rule 10b5-1(c).</w:t>
      </w:r>
    </w:p>
    <w:p>
      <w:pPr>
        <w:pStyle w:val="TextBody"/>
        <w:bidi w:val="0"/>
        <w:spacing w:before="12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8"/>
        <w:gridCol w:w="272"/>
        <w:gridCol w:w="273"/>
        <w:gridCol w:w="109"/>
        <w:gridCol w:w="109"/>
        <w:gridCol w:w="109"/>
        <w:gridCol w:w="2938"/>
        <w:gridCol w:w="2842"/>
        <w:gridCol w:w="2871"/>
        <w:gridCol w:w="109"/>
        <w:gridCol w:w="109"/>
        <w:gridCol w:w="156"/>
      </w:tblGrid>
      <w:tr>
        <w:trPr/>
        <w:tc>
          <w:tcPr>
            <w:tcW w:w="3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3</w:t>
              </w:r>
            </w:hyperlink>
            <w:hyperlink r:id="rId3">
              <w:r>
                <w:rPr>
                  <w:rStyle w:val="InternetLink"/>
                  <w:rFonts w:ascii="Times New Roman;serif" w:hAnsi="Times New Roman;serif"/>
                  <w:b w:val="false"/>
                  <w:color w:val="000080"/>
                  <w:sz w:val="20"/>
                  <w:u w:val="single"/>
                </w:rPr>
                <w:t>.1</w:t>
              </w:r>
            </w:hyperlink>
            <w:hyperlink r:id="rId4">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Certificate of Incorporation of Five9, Inc. (filed as Exhibit 3.1 to the Company’s Current Report on Form 8-K filed with the SEC on May 27, 2026 (File No. 001-36383) and incorporated by reference herein).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20"/>
                  <w:u w:val="single"/>
                </w:rPr>
                <w:t>3</w:t>
              </w:r>
            </w:hyperlink>
            <w:hyperlink r:id="rId7">
              <w:r>
                <w:rPr>
                  <w:rStyle w:val="InternetLink"/>
                  <w:rFonts w:ascii="Times New Roman;serif" w:hAnsi="Times New Roman;serif"/>
                  <w:b w:val="false"/>
                  <w:color w:val="000080"/>
                  <w:sz w:val="20"/>
                  <w:u w:val="single"/>
                </w:rPr>
                <w:t>.</w:t>
              </w:r>
            </w:hyperlink>
            <w:hyperlink r:id="rId8">
              <w:r>
                <w:rPr>
                  <w:rStyle w:val="InternetLink"/>
                  <w:rFonts w:ascii="Times New Roman;serif" w:hAnsi="Times New Roman;serif"/>
                  <w:b w:val="false"/>
                  <w:color w:val="000080"/>
                  <w:sz w:val="20"/>
                  <w:u w:val="single"/>
                </w:rPr>
                <w:t>2</w:t>
              </w:r>
            </w:hyperlink>
            <w:hyperlink r:id="rId9">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Amended and Restated Bylaws of Five9, Inc. (filed as Exhibit 3.2 to the Company’s Current Report on Form 8-K filed with the SEC on May 27, 2026 (File No. 001-36383) and incorporated by reference herein).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80"/>
                  <w:sz w:val="20"/>
                  <w:u w:val="single"/>
                </w:rPr>
                <w:t>10.</w:t>
              </w:r>
            </w:hyperlink>
            <w:hyperlink r:id="rId12">
              <w:r>
                <w:rPr>
                  <w:rStyle w:val="InternetLink"/>
                  <w:rFonts w:ascii="Times New Roman;serif" w:hAnsi="Times New Roman;serif"/>
                  <w:b w:val="false"/>
                  <w:color w:val="000080"/>
                  <w:sz w:val="20"/>
                  <w:u w:val="single"/>
                </w:rPr>
                <w:t>1</w:t>
              </w:r>
            </w:hyperlink>
            <w:hyperlink r:id="rId13">
              <w:r>
                <w:rPr>
                  <w:rStyle w:val="InternetLink"/>
                  <w:rFonts w:ascii="Wingdings 2;sans-serif" w:hAnsi="Wingdings 2;sans-serif"/>
                  <w:b w:val="false"/>
                  <w:color w:val="0000FF"/>
                  <w:sz w:val="16"/>
                  <w:u w:val="single"/>
                </w:rPr>
                <w:t>Ø</w:t>
              </w:r>
            </w:hyperlink>
            <w:hyperlink r:id="rId14">
              <w:r>
                <w:rPr>
                  <w:rStyle w:val="InternetLink"/>
                  <w:rFonts w:ascii="Times New Roman;serif" w:hAnsi="Times New Roman;serif"/>
                  <w:b w:val="false"/>
                  <w:color w:val="0000FF"/>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Five9, Inc. 2026 Inducement Equity Incentive Plan (filed as Exhibit 4.4 to the Company’s Form S-8 filed with the SEC on June 8, 2026 (File No. 001-36383) and incorporated by reference herein).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311.htm">
              <w:r>
                <w:rPr>
                  <w:rStyle w:val="InternetLink"/>
                  <w:rFonts w:ascii="Times New Roman;serif" w:hAnsi="Times New Roman;serif"/>
                  <w:b w:val="false"/>
                  <w:color w:val="0000FF"/>
                  <w:sz w:val="20"/>
                  <w:u w:val="single"/>
                </w:rPr>
                <w:t>Certification of Chief Executive Officer of Five9, Inc.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312.htm">
              <w:r>
                <w:rPr>
                  <w:rStyle w:val="InternetLink"/>
                  <w:rFonts w:ascii="Times New Roman;serif" w:hAnsi="Times New Roman;serif"/>
                  <w:b w:val="false"/>
                  <w:color w:val="0000FF"/>
                  <w:sz w:val="20"/>
                  <w:u w:val="single"/>
                </w:rPr>
                <w:t>Certification of Chief Financial Officer of Five9, Inc.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321.htm">
              <w:r>
                <w:rPr>
                  <w:rStyle w:val="InternetLink"/>
                  <w:rFonts w:ascii="Times New Roman;serif" w:hAnsi="Times New Roman;serif"/>
                  <w:b w:val="false"/>
                  <w:color w:val="0000FF"/>
                  <w:sz w:val="20"/>
                  <w:u w:val="single"/>
                </w:rPr>
                <w:t>Certification of Chief Executive Officer and Chief Financial Officer of Five9, Inc.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Labels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as inline XBRL and contained in Exhibit 101.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Wingdings 2;sans-serif" w:hAnsi="Wingdings 2;sans-serif"/>
          <w:b w:val="false"/>
          <w:color w:val="000000"/>
          <w:sz w:val="16"/>
        </w:rPr>
        <w:t xml:space="preserve">Ø </w:t>
      </w:r>
      <w:r>
        <w:rPr>
          <w:rFonts w:ascii="Times New Roman;serif" w:hAnsi="Times New Roman;serif"/>
          <w:b w:val="false"/>
          <w:color w:val="000000"/>
          <w:sz w:val="20"/>
        </w:rPr>
        <w:t xml:space="preserve">Previously filed. </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Indicates management contract or compensatory plan.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60" w:after="283"/>
        <w:jc w:val="left"/>
        <w:rPr/>
      </w:pPr>
      <w:r>
        <w:rPr/>
      </w:r>
    </w:p>
    <w:p>
      <w:pPr>
        <w:pStyle w:val="TextBody"/>
        <w:bidi w:val="0"/>
        <w:spacing w:before="12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8935db0061d4aab8763bda37e383f40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7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
        <w:gridCol w:w="154"/>
        <w:gridCol w:w="156"/>
        <w:gridCol w:w="764"/>
        <w:gridCol w:w="764"/>
        <w:gridCol w:w="1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Five9, Inc.</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240" w:after="16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I, Amit Mathradas,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Five9, Inc. for the quarter ended June 30, 2026;</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707"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54"/>
        <w:gridCol w:w="154"/>
        <w:gridCol w:w="156"/>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45" w:before="240" w:after="16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I, Bryan Lee,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Five9, Inc. for the quarter ended June 30, 2026;</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72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Amit Mathradas, certify, pursuant to 18 U.S.C. Section 1350, as adopted pursuant to Section 906 of the Sarbanes-Oxley Act of 2002, that the Quarterly Report of Five9, Inc. (the “Company”) on Form 10-Q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43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
        <w:gridCol w:w="154"/>
        <w:gridCol w:w="156"/>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Bryan Lee, certify, pursuant to 18 U.S.C. Section 1350, as adopted pursuant to Section 906 of the Sarbanes-Oxley Act of 2002, that the Quarterly Report of Five9, Inc. (the “Company”) on Form 10-Q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
        <w:gridCol w:w="154"/>
        <w:gridCol w:w="15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8847/000128884726000101/exhibit31-archarter.htm" TargetMode="External"/><Relationship Id="rId3" Type="http://schemas.openxmlformats.org/officeDocument/2006/relationships/hyperlink" Target="https://www.sec.gov/Archives/edgar/data/1288847/000128884726000101/exhibit31-archarter.htm" TargetMode="External"/><Relationship Id="rId4" Type="http://schemas.openxmlformats.org/officeDocument/2006/relationships/hyperlink" Target="https://www.sec.gov/Archives/edgar/data/1288847/000128884726000101/exhibit31-archarter.htm" TargetMode="External"/><Relationship Id="rId5" Type="http://schemas.openxmlformats.org/officeDocument/2006/relationships/hyperlink" Target="https://www.sec.gov/Archives/edgar/data/1288847/000128884726000101/exhibit31-archarter.htm" TargetMode="External"/><Relationship Id="rId6" Type="http://schemas.openxmlformats.org/officeDocument/2006/relationships/hyperlink" Target="https://www.sec.gov/Archives/edgar/data/1288847/000128884726000101/exhibit32-arbylaws.htm" TargetMode="External"/><Relationship Id="rId7" Type="http://schemas.openxmlformats.org/officeDocument/2006/relationships/hyperlink" Target="https://www.sec.gov/Archives/edgar/data/1288847/000128884726000101/exhibit32-arbylaws.htm" TargetMode="External"/><Relationship Id="rId8" Type="http://schemas.openxmlformats.org/officeDocument/2006/relationships/hyperlink" Target="https://www.sec.gov/Archives/edgar/data/1288847/000128884726000101/exhibit32-arbylaws.htm" TargetMode="External"/><Relationship Id="rId9" Type="http://schemas.openxmlformats.org/officeDocument/2006/relationships/hyperlink" Target="https://www.sec.gov/Archives/edgar/data/1288847/000128884726000101/exhibit32-arbylaws.htm" TargetMode="External"/><Relationship Id="rId10" Type="http://schemas.openxmlformats.org/officeDocument/2006/relationships/hyperlink" Target="https://www.sec.gov/Archives/edgar/data/1288847/000128884726000101/exhibit32-arbylaws.htm" TargetMode="External"/><Relationship Id="rId11" Type="http://schemas.openxmlformats.org/officeDocument/2006/relationships/hyperlink" Target="https://www.sec.gov/Archives/edgar/data/1288847/000119312526259997/d70942dex44.htm" TargetMode="External"/><Relationship Id="rId12" Type="http://schemas.openxmlformats.org/officeDocument/2006/relationships/hyperlink" Target="https://www.sec.gov/Archives/edgar/data/1288847/000119312526259997/d70942dex44.htm" TargetMode="External"/><Relationship Id="rId13" Type="http://schemas.openxmlformats.org/officeDocument/2006/relationships/hyperlink" Target="https://www.sec.gov/Archives/edgar/data/1288847/000119312526259997/d70942dex44.htm" TargetMode="External"/><Relationship Id="rId14" Type="http://schemas.openxmlformats.org/officeDocument/2006/relationships/hyperlink" Target="https://www.sec.gov/Archives/edgar/data/1288847/000119312526259997/d70942dex44.htm" TargetMode="External"/><Relationship Id="rId15" Type="http://schemas.openxmlformats.org/officeDocument/2006/relationships/hyperlink" Target="https://www.sec.gov/Archives/edgar/data/1288847/000119312526259997/d70942dex44.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27630</Words>
  <Characters>151542</Characters>
  <CharactersWithSpaces>177546</CharactersWithSpaces>
  <Paragraphs>3185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