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Five9,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338307101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Mathieu Cornu</w:t>
      </w:r>
    </w:p>
    <w:p>
      <w:pPr>
        <w:spacing w:after="0" w:line="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2"/>
          <w:szCs w:val="22"/>
          <w:b w:val="1"/>
          <w:bCs w:val="1"/>
          <w:color w:val="0000FF"/>
        </w:rPr>
        <w:t>Route des Acacias 60,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Geneva, V8, 1211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0041583234506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02/26/2026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338307101</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PICTET ASSET MANAGEMENT SA</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SWITZERLAND</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2,865,052.00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2,872,185.00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2,872,185.00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780"/>
          </w:cols>
          <w:pgMar w:left="360" w:top="126" w:right="6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Five9,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3001 BISHOP DRIVE, 3001 BISHOP DRIVE, SAN RAMON, CALIFORNIA , 94583.</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40" w:hanging="932"/>
        <w:spacing w:after="0"/>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Pictet Asset Management SA</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60 ROUTE DES ACACIAS GENEVA 73 1211 SWITZERLAND</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 Adviser</w:t>
      </w:r>
    </w:p>
    <w:p>
      <w:pPr>
        <w:spacing w:after="0" w:line="44" w:lineRule="exact"/>
        <w:rPr>
          <w:rFonts w:ascii="Times New Roman" w:cs="Times New Roman" w:eastAsia="Times New Roman" w:hAnsi="Times New Roman"/>
          <w:sz w:val="22"/>
          <w:szCs w:val="22"/>
          <w:color w:val="auto"/>
        </w:rPr>
      </w:pPr>
    </w:p>
    <w:p>
      <w:pPr>
        <w:ind w:left="940" w:right="20" w:hanging="932"/>
        <w:spacing w:after="0" w:line="185" w:lineRule="auto"/>
        <w:tabs>
          <w:tab w:leader="none" w:pos="94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Reporting Person has not been, during the last five years,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4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The Reporting Person has not been, during the last five years, a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ind w:left="940" w:hanging="932"/>
        <w:spacing w:after="0" w:line="184" w:lineRule="auto"/>
        <w:tabs>
          <w:tab w:leader="none" w:pos="94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was or is subject to a judgment, decree or final order enjoining future violations of, or prohibiting or mandating activities subject to, federal or state securities laws or finding of any violation with respect to such laws.</w:t>
      </w:r>
    </w:p>
    <w:p>
      <w:pPr>
        <w:sectPr>
          <w:pgSz w:w="11900" w:h="16838" w:orient="portrait"/>
          <w:cols w:equalWidth="0" w:num="1">
            <w:col w:w="10900"/>
          </w:cols>
          <w:pgMar w:left="360" w:top="126" w:right="639" w:bottom="0" w:gutter="0" w:footer="0" w:header="0"/>
          <w:type w:val="continuous"/>
        </w:sectPr>
      </w:pPr>
    </w:p>
    <w:bookmarkStart w:id="2" w:name="page3"/>
    <w:bookmarkEnd w:id="2"/>
    <w:p>
      <w:pPr>
        <w:ind w:left="940" w:hanging="932"/>
        <w:spacing w:after="0"/>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SWITZERLAND</w:t>
      </w:r>
    </w:p>
    <w:p>
      <w:pPr>
        <w:spacing w:after="0" w:line="4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40" w:right="80"/>
        <w:spacing w:after="0" w:line="239" w:lineRule="auto"/>
        <w:rPr>
          <w:sz w:val="20"/>
          <w:szCs w:val="20"/>
          <w:color w:val="auto"/>
        </w:rPr>
      </w:pPr>
      <w:r>
        <w:rPr>
          <w:rFonts w:ascii="Times New Roman" w:cs="Times New Roman" w:eastAsia="Times New Roman" w:hAnsi="Times New Roman"/>
          <w:sz w:val="22"/>
          <w:szCs w:val="22"/>
          <w:color w:val="auto"/>
        </w:rPr>
        <w:t>The Reporting Person acquired the shares of common stock of Five9 Inc. on behalf of its institutional clients who are managed on a discretionary basis. The purchase cost is approximately USD 185,488,998. The source of the funds comes from our institutional clients' assets The funds used for the acquisition did not involve any financing or borrowing.</w:t>
      </w:r>
    </w:p>
    <w:p>
      <w:pPr>
        <w:spacing w:after="0" w:line="1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right="20"/>
        <w:spacing w:after="0" w:line="233" w:lineRule="auto"/>
        <w:rPr>
          <w:sz w:val="20"/>
          <w:szCs w:val="20"/>
          <w:color w:val="auto"/>
        </w:rPr>
      </w:pPr>
      <w:r>
        <w:rPr>
          <w:rFonts w:ascii="Times New Roman" w:cs="Times New Roman" w:eastAsia="Times New Roman" w:hAnsi="Times New Roman"/>
          <w:sz w:val="22"/>
          <w:szCs w:val="22"/>
          <w:color w:val="auto"/>
        </w:rPr>
        <w:t>The Reporting Person acquired shares of Five9 Inc. as part of its investment strategy, considering the clarity and robustness of the issuer's long-term strategy; the functioning and calibre of governance structures and effective leadership; the financial strength and performance of issuers and the fair valuation of underlying securities; and financially-material sustainability risks &amp; opportunities. The Reporting Person is therefore actively engaging with the Issuer to discuss and promote initiatives that align with these business practices. This engagement is part of the Reporting Person's broader strategy to support companies in enhancing their approach, thereby potentially improving long-term shareholder value. As such, the Reporting Person may seek to influence the Issuer's policies and practices through discussions with the Boards and management of the companies in which we invest. The Reporting Person does not currently have any plans or proposals that would result in a change in control of the Issuer, nor does it intend to acquire additional shares for the purpose of gaining control. However, the Reporting Person reserves the right to change its intentions and take any actions that it deems appropriate in light of its ongoing engagement and evaluation of the Issuer's policies and practices.</w:t>
      </w:r>
    </w:p>
    <w:p>
      <w:pPr>
        <w:spacing w:after="0" w:line="2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80" w:hanging="932"/>
        <w:spacing w:after="0"/>
        <w:tabs>
          <w:tab w:leader="none" w:pos="94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Pictet Asset management SA manages 2,872,185 shares of Five9 Inc., which represents 3.75% of the total number of shares.</w:t>
      </w:r>
    </w:p>
    <w:p>
      <w:pPr>
        <w:spacing w:after="0" w:line="91" w:lineRule="exact"/>
        <w:rPr>
          <w:rFonts w:ascii="Times New Roman" w:cs="Times New Roman" w:eastAsia="Times New Roman" w:hAnsi="Times New Roman"/>
          <w:sz w:val="39"/>
          <w:szCs w:val="39"/>
          <w:color w:val="auto"/>
          <w:vertAlign w:val="subscript"/>
        </w:rPr>
      </w:pPr>
    </w:p>
    <w:p>
      <w:pPr>
        <w:ind w:left="940" w:right="620" w:hanging="932"/>
        <w:spacing w:after="0" w:line="185" w:lineRule="auto"/>
        <w:tabs>
          <w:tab w:leader="none" w:pos="94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Pictet Asset management SA has the Sole power to vote on 2,865,052 shares out of the 2,872,185 shares under management.</w:t>
      </w:r>
    </w:p>
    <w:p>
      <w:pPr>
        <w:spacing w:after="0" w:line="17" w:lineRule="exact"/>
        <w:rPr>
          <w:rFonts w:ascii="Times New Roman" w:cs="Times New Roman" w:eastAsia="Times New Roman" w:hAnsi="Times New Roman"/>
          <w:sz w:val="39"/>
          <w:szCs w:val="39"/>
          <w:color w:val="auto"/>
          <w:vertAlign w:val="subscript"/>
        </w:rPr>
      </w:pPr>
    </w:p>
    <w:p>
      <w:pPr>
        <w:ind w:left="94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In the past sixty days, the following transactions have been done : Trade Date Type Quantity Price Exchange</w:t>
      </w:r>
    </w:p>
    <w:p>
      <w:pPr>
        <w:spacing w:after="0" w:line="14" w:lineRule="exact"/>
        <w:rPr>
          <w:rFonts w:ascii="Times New Roman" w:cs="Times New Roman" w:eastAsia="Times New Roman" w:hAnsi="Times New Roman"/>
          <w:sz w:val="39"/>
          <w:szCs w:val="39"/>
          <w:color w:val="auto"/>
          <w:vertAlign w:val="subscript"/>
        </w:rPr>
      </w:pPr>
    </w:p>
    <w:p>
      <w:pPr>
        <w:ind w:left="940" w:right="320"/>
        <w:spacing w:after="0" w:line="241" w:lineRule="auto"/>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01.06.2026 BUYL 2'659 19.74 The NASDAQ Stock Exchange 02.13.2026 SELLL -111'910 16.77 The NASDAQ Stock Exchange 02.13.2026 SELLL -120'038 16.80 The NASDAQ Stock Exchange 02.19.2026 SELLL -59'046</w:t>
      </w:r>
    </w:p>
    <w:p>
      <w:pPr>
        <w:spacing w:after="0" w:line="1" w:lineRule="exact"/>
        <w:rPr>
          <w:rFonts w:ascii="Times New Roman" w:cs="Times New Roman" w:eastAsia="Times New Roman" w:hAnsi="Times New Roman"/>
          <w:sz w:val="39"/>
          <w:szCs w:val="39"/>
          <w:color w:val="auto"/>
          <w:vertAlign w:val="subscript"/>
        </w:rPr>
      </w:pPr>
    </w:p>
    <w:p>
      <w:pPr>
        <w:ind w:left="940" w:right="120"/>
        <w:spacing w:after="0" w:line="241" w:lineRule="auto"/>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16.65 The NASDAQ Stock Exchange 02.19.2026 SELLL -57'084 16.74 The NASDAQ Stock Exchange 02.20.2026 SELLL -14'814 19.57 The NASDAQ Stock Exchange 02.20.2026 SELLL -2'044 19.46 The NASDAQ Stock Exchange 02.20.2026 SELLL -228'367 19.46 The NASDAQ Stock Exchange 02.20.2026 SELLL -1'850 19.71 The NASDAQ Stock Exchange 02.23.2026 SELLL -742 18.57 The NASDAQ Stock Exchange 02.23.2026 SELLL -88'976 18.57 The NASDAQ Stock Exchange 02.24.2026 SELLL -167'911 18.08 The NASDAQ Stock Exchange</w:t>
      </w:r>
    </w:p>
    <w:p>
      <w:pPr>
        <w:spacing w:after="0" w:line="2" w:lineRule="exact"/>
        <w:rPr>
          <w:rFonts w:ascii="Times New Roman" w:cs="Times New Roman" w:eastAsia="Times New Roman" w:hAnsi="Times New Roman"/>
          <w:sz w:val="39"/>
          <w:szCs w:val="39"/>
          <w:color w:val="auto"/>
          <w:vertAlign w:val="subscript"/>
        </w:rPr>
      </w:pPr>
    </w:p>
    <w:p>
      <w:pPr>
        <w:ind w:left="940" w:right="160" w:hanging="932"/>
        <w:spacing w:after="0" w:line="243" w:lineRule="auto"/>
        <w:tabs>
          <w:tab w:leader="none" w:pos="9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02.24.2026 SELLL -1'401 18.08 The NASDAQ Stock Exchange 02.24.2026 SELLL -95'361 18.49 The NASDAQ Stock Exchange 02.24.2026 SELLL -6'556 18.18 The NASDAQ Stock Exchange 02.24.2026 SELLL -27'870 18.08 The NASDAQ Stock Exchange 02.25.2026 SELLL -72'765 17.85 The NASDAQ Stock Exchange 02.25.2026 SELLL -438'271 17.85 The NASDAQ Stock Exchange 02.25.2026 SELLL -3'783 17.85 The NASDAQ Stock Exchange 02.25.2026 SELLL -2'513 17.92 The NASDAQ Stock Exchange 02.25.2026 SELLL -15'271 17.92 The NASDAQ Stock Exchange 02.26.2026 SELLL -100'402 18.33 The NASDAQ Stock Exchange 02.26.2026 SELLL -1'286 18.14 The NASDAQ Stock Exchange 02.26.2026 SELLL -154'148 18.14 The NASDAQ Stock Exchange 02.26.2026 SELLL -10'749 18.51 The NASDAQ Stock Exchange 02.26.2026 SELLL -1'345'000 18.06 The NASDAQ Stock Exchange 02.26.2026 SELLL -7'500 18.06 The NASDAQ Stock Exchange</w:t>
      </w:r>
    </w:p>
    <w:p>
      <w:pPr>
        <w:spacing w:after="0" w:line="16" w:lineRule="exact"/>
        <w:rPr>
          <w:rFonts w:ascii="Times New Roman" w:cs="Times New Roman" w:eastAsia="Times New Roman" w:hAnsi="Times New Roman"/>
          <w:sz w:val="21"/>
          <w:szCs w:val="21"/>
          <w:color w:val="auto"/>
        </w:rPr>
      </w:pPr>
    </w:p>
    <w:p>
      <w:pPr>
        <w:ind w:left="940" w:right="160"/>
        <w:spacing w:after="0" w:line="24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securities reported herein come from the assets of our institutional clients who are managed by the Reporting Person on a discretionary basis. Consequently, our clients have the right to receive dividends and any proceeds from the sale of the Issuer's securities, in proportion to their respective managed assets. The Reporting Person itself does</w:t>
      </w:r>
    </w:p>
    <w:p>
      <w:pPr>
        <w:spacing w:after="0" w:line="1" w:lineRule="exact"/>
        <w:rPr>
          <w:rFonts w:ascii="Times New Roman" w:cs="Times New Roman" w:eastAsia="Times New Roman" w:hAnsi="Times New Roman"/>
          <w:sz w:val="21"/>
          <w:szCs w:val="21"/>
          <w:color w:val="auto"/>
        </w:rPr>
      </w:pPr>
    </w:p>
    <w:p>
      <w:pPr>
        <w:ind w:left="940" w:right="2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have any direct economic interest in the dividends or sale proceeds from the securities of Five9 Inc., other than its entitlement to management fees and / or performance-based compensation, as agreed upon with its clients. The Reporting Person's role is limited to managing the investments in accordance with the investment objectives and strategies set forth by each of its institutional clients.</w:t>
      </w:r>
    </w:p>
    <w:p>
      <w:pPr>
        <w:spacing w:after="0" w:line="15"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right="120"/>
        <w:spacing w:after="0" w:line="235" w:lineRule="auto"/>
        <w:rPr>
          <w:sz w:val="20"/>
          <w:szCs w:val="20"/>
          <w:color w:val="auto"/>
        </w:rPr>
      </w:pPr>
      <w:r>
        <w:rPr>
          <w:rFonts w:ascii="Times New Roman" w:cs="Times New Roman" w:eastAsia="Times New Roman" w:hAnsi="Times New Roman"/>
          <w:sz w:val="22"/>
          <w:szCs w:val="22"/>
          <w:color w:val="auto"/>
        </w:rPr>
        <w:t>The Reporting Person's exposure to Five9 Inc. is solely through direct stock investments held by its managed institutional clients. There are no contracts, arrangements, understandings, or relationships with any third parties regarding the securities of Five9 Inc., other than those arising from the ordinary course of discretionary management of our client assets. The Reporting Person does not have any derivative positions, options, or other financial instruments related to the securities of the Issuer. Furthermore, there are no agreements or understandings that would influence the voting or disposition of these securities beyond the Reporting Person's discretionary investment authority as an asset manager.</w:t>
      </w:r>
    </w:p>
    <w:p>
      <w:pPr>
        <w:spacing w:after="0" w:line="2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11" w:right="399" w:bottom="0" w:gutter="0" w:footer="0" w:header="0"/>
        </w:sectPr>
      </w:pPr>
    </w:p>
    <w:bookmarkStart w:id="3" w:name="page4"/>
    <w:bookmarkEnd w:id="3"/>
    <w:p>
      <w:pPr>
        <w:ind w:left="2500"/>
        <w:spacing w:after="0"/>
        <w:rPr>
          <w:sz w:val="20"/>
          <w:szCs w:val="20"/>
          <w:color w:val="auto"/>
        </w:rPr>
      </w:pPr>
      <w:r>
        <w:rPr>
          <w:rFonts w:ascii="Times New Roman" w:cs="Times New Roman" w:eastAsia="Times New Roman" w:hAnsi="Times New Roman"/>
          <w:sz w:val="22"/>
          <w:szCs w:val="22"/>
          <w:color w:val="auto"/>
        </w:rPr>
        <w:t>PICTET ASSET MANAGEMENT SA</w:t>
      </w:r>
    </w:p>
    <w:p>
      <w:pPr>
        <w:spacing w:after="0" w:line="153" w:lineRule="exact"/>
        <w:rPr>
          <w:sz w:val="20"/>
          <w:szCs w:val="20"/>
          <w:color w:val="auto"/>
        </w:rPr>
      </w:pPr>
    </w:p>
    <w:p>
      <w:pPr>
        <w:ind w:left="4140"/>
        <w:spacing w:after="0"/>
        <w:tabs>
          <w:tab w:leader="none" w:pos="5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Karine Valtanen</w:t>
      </w:r>
    </w:p>
    <w:p>
      <w:pPr>
        <w:spacing w:after="0" w:line="4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1"/>
          <w:szCs w:val="21"/>
          <w:color w:val="auto"/>
        </w:rPr>
        <w:t>Name/Title: Karine Valtanen Global Head Of Compliance</w:t>
      </w:r>
    </w:p>
    <w:p>
      <w:pPr>
        <w:spacing w:after="0" w:line="56" w:lineRule="exact"/>
        <w:rPr>
          <w:sz w:val="20"/>
          <w:szCs w:val="20"/>
          <w:color w:val="auto"/>
        </w:rPr>
      </w:pPr>
    </w:p>
    <w:p>
      <w:pPr>
        <w:ind w:left="4140"/>
        <w:spacing w:after="0"/>
        <w:tabs>
          <w:tab w:leader="none" w:pos="5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02/27/2026</w:t>
      </w:r>
    </w:p>
    <w:sectPr>
      <w:pgSz w:w="11900" w:h="16838" w:orient="portrait"/>
      <w:cols w:equalWidth="0" w:num="1">
        <w:col w:w="9160"/>
      </w:cols>
      <w:pgMar w:left="1440" w:top="112"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6"/>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2026-02-27T09:08:24Z</dcterms:created>
  <dcterms:modified xsi:type="dcterms:W3CDTF">2026-02-27T09:08:24Z</dcterms:modified>
</cp:coreProperties>
</file>