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312" w:before="60" w:after="16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312" w:before="0" w:after="16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001-36383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Five9, Inc. </w:t>
      </w:r>
    </w:p>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046" w:type="dxa"/>
        <w:jc w:val="left"/>
        <w:tblInd w:w="0" w:type="dxa"/>
        <w:tblLayout w:type="fixed"/>
        <w:tblCellMar>
          <w:top w:w="28" w:type="dxa"/>
          <w:left w:w="28" w:type="dxa"/>
          <w:bottom w:w="28" w:type="dxa"/>
          <w:right w:w="28" w:type="dxa"/>
        </w:tblCellMar>
      </w:tblPr>
      <w:tblGrid>
        <w:gridCol w:w="825"/>
        <w:gridCol w:w="723"/>
        <w:gridCol w:w="732"/>
        <w:gridCol w:w="109"/>
        <w:gridCol w:w="109"/>
        <w:gridCol w:w="109"/>
        <w:gridCol w:w="419"/>
        <w:gridCol w:w="419"/>
        <w:gridCol w:w="601"/>
      </w:tblGrid>
      <w:tr>
        <w:trPr/>
        <w:tc>
          <w:tcPr>
            <w:tcW w:w="8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94-3394123</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3001 Bishop Drive, Suite 350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San Ramon, CA 94583 </w:t>
      </w:r>
    </w:p>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(925) 201-2000 </w:t>
      </w:r>
    </w:p>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w:t>
      </w:r>
    </w:p>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039" w:type="dxa"/>
        <w:jc w:val="center"/>
        <w:tblInd w:w="0" w:type="dxa"/>
        <w:tblLayout w:type="fixed"/>
        <w:tblCellMar>
          <w:top w:w="28" w:type="dxa"/>
          <w:left w:w="28" w:type="dxa"/>
          <w:bottom w:w="28" w:type="dxa"/>
          <w:right w:w="28" w:type="dxa"/>
        </w:tblCellMar>
      </w:tblPr>
      <w:tblGrid>
        <w:gridCol w:w="1126"/>
        <w:gridCol w:w="994"/>
        <w:gridCol w:w="1000"/>
        <w:gridCol w:w="484"/>
        <w:gridCol w:w="484"/>
        <w:gridCol w:w="486"/>
        <w:gridCol w:w="1014"/>
        <w:gridCol w:w="1014"/>
        <w:gridCol w:w="1437"/>
      </w:tblGrid>
      <w:tr>
        <w:trPr/>
        <w:tc>
          <w:tcPr>
            <w:tcW w:w="112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FIVN</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283"/>
        <w:ind w:left="0" w:right="0" w:firstLine="495"/>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64" w:before="120" w:after="283"/>
        <w:ind w:left="0" w:right="0" w:firstLine="495"/>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64" w:before="120" w:after="283"/>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042"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312" w:before="120" w:after="283"/>
        <w:ind w:left="0" w:right="0" w:firstLine="495"/>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312" w:before="120" w:after="283"/>
        <w:ind w:left="0" w:right="0" w:firstLine="495"/>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312" w:before="120" w:after="283"/>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As of October 31, 2025, there were 78,216,052 shares of the Registrant’s common stock, par value $0.001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00" w:after="200"/>
        <w:jc w:val="left"/>
        <w:rPr/>
      </w:pPr>
      <w:hyperlink w:anchor="ifff9b538b8624502b00db89bf85e771a_7">
        <w:r>
          <w:rPr>
            <w:rStyle w:val="InternetLink"/>
            <w:rFonts w:ascii="Times New Roman;serif" w:hAnsi="Times New Roman;serif"/>
            <w:b w:val="false"/>
            <w:color w:val="0000FF"/>
            <w:sz w:val="22"/>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45" w:before="12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312" w:before="18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14" w:type="dxa"/>
        <w:jc w:val="center"/>
        <w:tblInd w:w="0" w:type="dxa"/>
        <w:tblLayout w:type="fixed"/>
        <w:tblCellMar>
          <w:top w:w="28" w:type="dxa"/>
          <w:left w:w="28" w:type="dxa"/>
          <w:bottom w:w="28" w:type="dxa"/>
          <w:right w:w="28" w:type="dxa"/>
        </w:tblCellMar>
      </w:tblPr>
      <w:tblGrid>
        <w:gridCol w:w="2939"/>
        <w:gridCol w:w="2586"/>
        <w:gridCol w:w="2590"/>
        <w:gridCol w:w="109"/>
        <w:gridCol w:w="109"/>
        <w:gridCol w:w="109"/>
        <w:gridCol w:w="109"/>
        <w:gridCol w:w="109"/>
        <w:gridCol w:w="154"/>
      </w:tblGrid>
      <w:tr>
        <w:trPr/>
        <w:tc>
          <w:tcPr>
            <w:tcW w:w="2939"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10">
              <w:r>
                <w:rPr>
                  <w:rStyle w:val="InternetLink"/>
                  <w:rFonts w:ascii="Times New Roman;serif" w:hAnsi="Times New Roman;serif"/>
                  <w:b w:val="false"/>
                  <w:color w:val="0000FF"/>
                  <w:sz w:val="20"/>
                  <w:u w:val="single"/>
                </w:rPr>
                <w:t>SPECIAL NOTE REGARDING 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10">
              <w:r>
                <w:rPr>
                  <w:rStyle w:val="InternetLink"/>
                  <w:rFonts w:ascii="Times New Roman;serif" w:hAnsi="Times New Roman;serif"/>
                  <w:b w:val="false"/>
                  <w:color w:val="0000FF"/>
                  <w:sz w:val="20"/>
                  <w:u w:val="single"/>
                </w:rPr>
                <w:t>2</w:t>
              </w:r>
            </w:hyperlink>
          </w:p>
        </w:tc>
      </w:tr>
      <w:tr>
        <w:trPr/>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fff9b538b8624502b00db89bf85e771a_13">
              <w:r>
                <w:rPr>
                  <w:rStyle w:val="InternetLink"/>
                  <w:rFonts w:ascii="Times New Roman;serif" w:hAnsi="Times New Roman;serif"/>
                  <w:b w:val="false"/>
                  <w:color w:val="0000FF"/>
                  <w:sz w:val="20"/>
                  <w:u w:val="single"/>
                </w:rPr>
                <w:t>PART I. FINANCIAL INFORMATION</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16">
              <w:r>
                <w:rPr>
                  <w:rStyle w:val="InternetLink"/>
                  <w:rFonts w:ascii="Times New Roman;serif" w:hAnsi="Times New Roman;serif"/>
                  <w:b w:val="false"/>
                  <w:color w:val="0000FF"/>
                  <w:sz w:val="20"/>
                  <w:u w:val="single"/>
                </w:rPr>
                <w:t>ITEM 1.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16">
              <w:r>
                <w:rPr>
                  <w:rStyle w:val="InternetLink"/>
                  <w:rFonts w:ascii="Times New Roman;serif" w:hAnsi="Times New Roman;serif"/>
                  <w:b w:val="false"/>
                  <w:color w:val="0000FF"/>
                  <w:sz w:val="20"/>
                  <w:u w:val="single"/>
                </w:rPr>
                <w:t>4</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19">
              <w:r>
                <w:rPr>
                  <w:rStyle w:val="InternetLink"/>
                  <w:rFonts w:ascii="Times New Roman;serif" w:hAnsi="Times New Roman;serif"/>
                  <w:b w:val="false"/>
                  <w:color w:val="0000FF"/>
                  <w:sz w:val="20"/>
                  <w:u w:val="single"/>
                </w:rPr>
                <w:t>Condensed Consolidated Balance Sheets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19">
              <w:r>
                <w:rPr>
                  <w:rStyle w:val="InternetLink"/>
                  <w:rFonts w:ascii="Times New Roman;serif" w:hAnsi="Times New Roman;serif"/>
                  <w:b w:val="false"/>
                  <w:color w:val="0000FF"/>
                  <w:sz w:val="20"/>
                  <w:u w:val="single"/>
                </w:rPr>
                <w:t>4</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22">
              <w:r>
                <w:rPr>
                  <w:rStyle w:val="InternetLink"/>
                  <w:rFonts w:ascii="Times New Roman;serif" w:hAnsi="Times New Roman;serif"/>
                  <w:b w:val="false"/>
                  <w:color w:val="0000FF"/>
                  <w:sz w:val="20"/>
                  <w:u w:val="single"/>
                </w:rPr>
                <w:t>Condensed Consolidated Statements of Operations and Comprehensive Income (Loss)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22">
              <w:r>
                <w:rPr>
                  <w:rStyle w:val="InternetLink"/>
                  <w:rFonts w:ascii="Times New Roman;serif" w:hAnsi="Times New Roman;serif"/>
                  <w:b w:val="false"/>
                  <w:color w:val="0000FF"/>
                  <w:sz w:val="20"/>
                  <w:u w:val="single"/>
                </w:rPr>
                <w:t>5</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25">
              <w:r>
                <w:rPr>
                  <w:rStyle w:val="InternetLink"/>
                  <w:rFonts w:ascii="Times New Roman;serif" w:hAnsi="Times New Roman;serif"/>
                  <w:b w:val="false"/>
                  <w:color w:val="0000FF"/>
                  <w:sz w:val="20"/>
                  <w:u w:val="single"/>
                </w:rPr>
                <w:t>Condensed Consolidated Statements of Stockholders’ Equity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25">
              <w:r>
                <w:rPr>
                  <w:rStyle w:val="InternetLink"/>
                  <w:rFonts w:ascii="Times New Roman;serif" w:hAnsi="Times New Roman;serif"/>
                  <w:b w:val="false"/>
                  <w:color w:val="0000FF"/>
                  <w:sz w:val="20"/>
                  <w:u w:val="single"/>
                </w:rPr>
                <w:t>6</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28">
              <w:r>
                <w:rPr>
                  <w:rStyle w:val="InternetLink"/>
                  <w:rFonts w:ascii="Times New Roman;serif" w:hAnsi="Times New Roman;serif"/>
                  <w:b w:val="false"/>
                  <w:color w:val="0000FF"/>
                  <w:sz w:val="20"/>
                  <w:u w:val="single"/>
                </w:rPr>
                <w:t>Condensed Consolidated Statements of Cash Flows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28">
              <w:r>
                <w:rPr>
                  <w:rStyle w:val="InternetLink"/>
                  <w:rFonts w:ascii="Times New Roman;serif" w:hAnsi="Times New Roman;serif"/>
                  <w:b w:val="false"/>
                  <w:color w:val="0000FF"/>
                  <w:sz w:val="20"/>
                  <w:u w:val="single"/>
                </w:rPr>
                <w:t>8</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31">
              <w:r>
                <w:rPr>
                  <w:rStyle w:val="InternetLink"/>
                  <w:rFonts w:ascii="Times New Roman;serif" w:hAnsi="Times New Roman;serif"/>
                  <w:b w:val="false"/>
                  <w:color w:val="0000FF"/>
                  <w:sz w:val="20"/>
                  <w:u w:val="single"/>
                </w:rPr>
                <w:t>Notes to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31">
              <w:r>
                <w:rPr>
                  <w:rStyle w:val="InternetLink"/>
                  <w:rFonts w:ascii="Times New Roman;serif" w:hAnsi="Times New Roman;serif"/>
                  <w:b w:val="false"/>
                  <w:color w:val="0000FF"/>
                  <w:sz w:val="20"/>
                  <w:u w:val="single"/>
                </w:rPr>
                <w:t>9</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88">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88">
              <w:r>
                <w:rPr>
                  <w:rStyle w:val="InternetLink"/>
                  <w:rFonts w:ascii="Times New Roman;serif" w:hAnsi="Times New Roman;serif"/>
                  <w:b w:val="false"/>
                  <w:color w:val="0000FF"/>
                  <w:sz w:val="20"/>
                  <w:u w:val="single"/>
                </w:rPr>
                <w:t>30</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91">
              <w:r>
                <w:rPr>
                  <w:rStyle w:val="InternetLink"/>
                  <w:rFonts w:ascii="Times New Roman;serif" w:hAnsi="Times New Roman;serif"/>
                  <w:b w:val="false"/>
                  <w:color w:val="0000FF"/>
                  <w:sz w:val="20"/>
                  <w:u w:val="single"/>
                </w:rPr>
                <w:t>Overview</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91">
              <w:r>
                <w:rPr>
                  <w:rStyle w:val="InternetLink"/>
                  <w:rFonts w:ascii="Times New Roman;serif" w:hAnsi="Times New Roman;serif"/>
                  <w:b w:val="false"/>
                  <w:color w:val="0000FF"/>
                  <w:sz w:val="20"/>
                  <w:u w:val="single"/>
                </w:rPr>
                <w:t>30</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94">
              <w:r>
                <w:rPr>
                  <w:rStyle w:val="InternetLink"/>
                  <w:rFonts w:ascii="Times New Roman;serif" w:hAnsi="Times New Roman;serif"/>
                  <w:b w:val="false"/>
                  <w:color w:val="000080"/>
                  <w:sz w:val="20"/>
                  <w:u w:val="single"/>
                </w:rPr>
                <w:t xml:space="preserve">Key Operating and </w:t>
              </w:r>
            </w:hyperlink>
            <w:hyperlink w:anchor="ifff9b538b8624502b00db89bf85e771a_94">
              <w:r>
                <w:rPr>
                  <w:rStyle w:val="InternetLink"/>
                  <w:rFonts w:ascii="Times New Roman;serif" w:hAnsi="Times New Roman;serif"/>
                  <w:b w:val="false"/>
                  <w:color w:val="000080"/>
                  <w:sz w:val="20"/>
                  <w:u w:val="single"/>
                </w:rPr>
                <w:t xml:space="preserve">Non-GAAP </w:t>
              </w:r>
            </w:hyperlink>
            <w:hyperlink w:anchor="ifff9b538b8624502b00db89bf85e771a_94">
              <w:r>
                <w:rPr>
                  <w:rStyle w:val="InternetLink"/>
                  <w:rFonts w:ascii="Times New Roman;serif" w:hAnsi="Times New Roman;serif"/>
                  <w:b w:val="false"/>
                  <w:color w:val="000080"/>
                  <w:sz w:val="20"/>
                  <w:u w:val="single"/>
                </w:rPr>
                <w:t>Financial Performance Metrics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94">
              <w:r>
                <w:rPr>
                  <w:rStyle w:val="InternetLink"/>
                  <w:rFonts w:ascii="Times New Roman;serif" w:hAnsi="Times New Roman;serif"/>
                  <w:b w:val="false"/>
                  <w:color w:val="0000FF"/>
                  <w:sz w:val="20"/>
                  <w:u w:val="single"/>
                </w:rPr>
                <w:t>31</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97">
              <w:r>
                <w:rPr>
                  <w:rStyle w:val="InternetLink"/>
                  <w:rFonts w:ascii="Times New Roman;serif" w:hAnsi="Times New Roman;serif"/>
                  <w:b w:val="false"/>
                  <w:color w:val="0000FF"/>
                  <w:sz w:val="20"/>
                  <w:u w:val="single"/>
                </w:rPr>
                <w:t>Key Components of Our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97">
              <w:r>
                <w:rPr>
                  <w:rStyle w:val="InternetLink"/>
                  <w:rFonts w:ascii="Times New Roman;serif" w:hAnsi="Times New Roman;serif"/>
                  <w:b w:val="false"/>
                  <w:color w:val="0000FF"/>
                  <w:sz w:val="20"/>
                  <w:u w:val="single"/>
                </w:rPr>
                <w:t>33</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100">
              <w:r>
                <w:rPr>
                  <w:rStyle w:val="InternetLink"/>
                  <w:rFonts w:ascii="Times New Roman;serif" w:hAnsi="Times New Roman;serif"/>
                  <w:b w:val="false"/>
                  <w:color w:val="000080"/>
                  <w:sz w:val="20"/>
                  <w:u w:val="single"/>
                </w:rPr>
                <w:t xml:space="preserve">Results of Operations for the Three and </w:t>
              </w:r>
            </w:hyperlink>
            <w:hyperlink w:anchor="ifff9b538b8624502b00db89bf85e771a_100">
              <w:r>
                <w:rPr>
                  <w:rStyle w:val="InternetLink"/>
                  <w:rFonts w:ascii="Times New Roman;serif" w:hAnsi="Times New Roman;serif"/>
                  <w:b w:val="false"/>
                  <w:color w:val="000080"/>
                  <w:sz w:val="20"/>
                  <w:u w:val="single"/>
                </w:rPr>
                <w:t>Nine</w:t>
              </w:r>
            </w:hyperlink>
            <w:hyperlink w:anchor="ifff9b538b8624502b00db89bf85e771a_100">
              <w:r>
                <w:rPr>
                  <w:rStyle w:val="InternetLink"/>
                  <w:rFonts w:ascii="Times New Roman;serif" w:hAnsi="Times New Roman;serif"/>
                  <w:b w:val="false"/>
                  <w:color w:val="000080"/>
                  <w:sz w:val="20"/>
                  <w:u w:val="single"/>
                </w:rPr>
                <w:t xml:space="preserve"> Months Ended </w:t>
              </w:r>
            </w:hyperlink>
            <w:hyperlink w:anchor="ifff9b538b8624502b00db89bf85e771a_100">
              <w:r>
                <w:rPr>
                  <w:rStyle w:val="InternetLink"/>
                  <w:rFonts w:ascii="Times New Roman;serif" w:hAnsi="Times New Roman;serif"/>
                  <w:b w:val="false"/>
                  <w:color w:val="000080"/>
                  <w:sz w:val="20"/>
                  <w:u w:val="single"/>
                </w:rPr>
                <w:t>September</w:t>
              </w:r>
            </w:hyperlink>
            <w:hyperlink w:anchor="ifff9b538b8624502b00db89bf85e771a_100">
              <w:r>
                <w:rPr>
                  <w:rStyle w:val="InternetLink"/>
                  <w:rFonts w:ascii="Times New Roman;serif" w:hAnsi="Times New Roman;serif"/>
                  <w:b w:val="false"/>
                  <w:color w:val="000080"/>
                  <w:sz w:val="20"/>
                  <w:u w:val="single"/>
                </w:rPr>
                <w:t xml:space="preserve"> 30, 2025 and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100">
              <w:r>
                <w:rPr>
                  <w:rStyle w:val="InternetLink"/>
                  <w:rFonts w:ascii="Times New Roman;serif" w:hAnsi="Times New Roman;serif"/>
                  <w:b w:val="false"/>
                  <w:color w:val="0000FF"/>
                  <w:sz w:val="20"/>
                  <w:u w:val="single"/>
                </w:rPr>
                <w:t>34</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103">
              <w:r>
                <w:rPr>
                  <w:rStyle w:val="InternetLink"/>
                  <w:rFonts w:ascii="Times New Roman;serif" w:hAnsi="Times New Roman;serif"/>
                  <w:b w:val="false"/>
                  <w:color w:val="0000FF"/>
                  <w:sz w:val="20"/>
                  <w:u w:val="single"/>
                </w:rPr>
                <w:t>Liquidity and Capital Resources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103">
              <w:r>
                <w:rPr>
                  <w:rStyle w:val="InternetLink"/>
                  <w:rFonts w:ascii="Times New Roman;serif" w:hAnsi="Times New Roman;serif"/>
                  <w:b w:val="false"/>
                  <w:color w:val="0000FF"/>
                  <w:sz w:val="20"/>
                  <w:u w:val="single"/>
                </w:rPr>
                <w:t>38</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106">
              <w:r>
                <w:rPr>
                  <w:rStyle w:val="InternetLink"/>
                  <w:rFonts w:ascii="Times New Roman;serif" w:hAnsi="Times New Roman;serif"/>
                  <w:b w:val="false"/>
                  <w:color w:val="0000FF"/>
                  <w:sz w:val="20"/>
                  <w:u w:val="single"/>
                </w:rPr>
                <w:t>Critical Accounting Policies and Estimates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106">
              <w:r>
                <w:rPr>
                  <w:rStyle w:val="InternetLink"/>
                  <w:rFonts w:ascii="Times New Roman;serif" w:hAnsi="Times New Roman;serif"/>
                  <w:b w:val="false"/>
                  <w:color w:val="0000FF"/>
                  <w:sz w:val="20"/>
                  <w:u w:val="single"/>
                </w:rPr>
                <w:t>40</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109">
              <w:r>
                <w:rPr>
                  <w:rStyle w:val="InternetLink"/>
                  <w:rFonts w:ascii="Times New Roman;serif" w:hAnsi="Times New Roman;serif"/>
                  <w:b w:val="false"/>
                  <w:color w:val="0000FF"/>
                  <w:sz w:val="20"/>
                  <w:u w:val="single"/>
                </w:rPr>
                <w:t>Recent Accounting Pronouncements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109">
              <w:r>
                <w:rPr>
                  <w:rStyle w:val="InternetLink"/>
                  <w:rFonts w:ascii="Times New Roman;serif" w:hAnsi="Times New Roman;serif"/>
                  <w:b w:val="false"/>
                  <w:color w:val="0000FF"/>
                  <w:sz w:val="20"/>
                  <w:u w:val="single"/>
                </w:rPr>
                <w:t>40</w:t>
              </w:r>
            </w:hyperlink>
          </w:p>
        </w:tc>
      </w:tr>
      <w:tr>
        <w:trPr/>
        <w:tc>
          <w:tcPr>
            <w:tcW w:w="8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112">
              <w:r>
                <w:rPr>
                  <w:rStyle w:val="InternetLink"/>
                  <w:rFonts w:ascii="Times New Roman;serif" w:hAnsi="Times New Roman;serif"/>
                  <w:b w:val="false"/>
                  <w:color w:val="000080"/>
                  <w:sz w:val="20"/>
                  <w:u w:val="single"/>
                </w:rPr>
                <w:t>Contractual</w:t>
              </w:r>
            </w:hyperlink>
            <w:hyperlink w:anchor="ifff9b538b8624502b00db89bf85e771a_112">
              <w:r>
                <w:rPr>
                  <w:rStyle w:val="InternetLink"/>
                  <w:rFonts w:ascii="Times New Roman;serif" w:hAnsi="Times New Roman;serif"/>
                  <w:b w:val="false"/>
                  <w:color w:val="000080"/>
                  <w:sz w:val="20"/>
                  <w:u w:val="single"/>
                </w:rPr>
                <w:t xml:space="preserve"> and Other</w:t>
              </w:r>
            </w:hyperlink>
            <w:hyperlink w:anchor="ifff9b538b8624502b00db89bf85e771a_112">
              <w:r>
                <w:rPr>
                  <w:rStyle w:val="InternetLink"/>
                  <w:rFonts w:ascii="Times New Roman;serif" w:hAnsi="Times New Roman;serif"/>
                  <w:b w:val="false"/>
                  <w:color w:val="000080"/>
                  <w:sz w:val="20"/>
                  <w:u w:val="single"/>
                </w:rPr>
                <w:t xml:space="preserve"> Obligations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112">
              <w:r>
                <w:rPr>
                  <w:rStyle w:val="InternetLink"/>
                  <w:rFonts w:ascii="Times New Roman;serif" w:hAnsi="Times New Roman;serif"/>
                  <w:b w:val="false"/>
                  <w:color w:val="0000FF"/>
                  <w:sz w:val="20"/>
                  <w:u w:val="single"/>
                </w:rPr>
                <w:t>40</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115">
              <w:r>
                <w:rPr>
                  <w:rStyle w:val="InternetLink"/>
                  <w:rFonts w:ascii="Times New Roman;serif" w:hAnsi="Times New Roman;serif"/>
                  <w:b w:val="false"/>
                  <w:color w:val="0000FF"/>
                  <w:sz w:val="20"/>
                  <w:u w:val="single"/>
                </w:rPr>
                <w:t>ITEM 3. Quantitative and Qualitative Disclosure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115">
              <w:r>
                <w:rPr>
                  <w:rStyle w:val="InternetLink"/>
                  <w:rFonts w:ascii="Times New Roman;serif" w:hAnsi="Times New Roman;serif"/>
                  <w:b w:val="false"/>
                  <w:color w:val="0000FF"/>
                  <w:sz w:val="20"/>
                  <w:u w:val="single"/>
                </w:rPr>
                <w:t>43</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118">
              <w:r>
                <w:rPr>
                  <w:rStyle w:val="InternetLink"/>
                  <w:rFonts w:ascii="Times New Roman;serif" w:hAnsi="Times New Roman;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118">
              <w:r>
                <w:rPr>
                  <w:rStyle w:val="InternetLink"/>
                  <w:rFonts w:ascii="Times New Roman;serif" w:hAnsi="Times New Roman;serif"/>
                  <w:b w:val="false"/>
                  <w:color w:val="0000FF"/>
                  <w:sz w:val="20"/>
                  <w:u w:val="single"/>
                </w:rPr>
                <w:t>44</w:t>
              </w:r>
            </w:hyperlink>
          </w:p>
        </w:tc>
      </w:tr>
      <w:tr>
        <w:trPr/>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fff9b538b8624502b00db89bf85e771a_121">
              <w:r>
                <w:rPr>
                  <w:rStyle w:val="InternetLink"/>
                  <w:rFonts w:ascii="Times New Roman;serif" w:hAnsi="Times New Roman;serif"/>
                  <w:b w:val="false"/>
                  <w:color w:val="0000FF"/>
                  <w:sz w:val="20"/>
                  <w:u w:val="single"/>
                </w:rPr>
                <w:t>PART II. OTHER INFORMATION</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124">
              <w:r>
                <w:rPr>
                  <w:rStyle w:val="InternetLink"/>
                  <w:rFonts w:ascii="Times New Roman;serif" w:hAnsi="Times New Roman;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124">
              <w:r>
                <w:rPr>
                  <w:rStyle w:val="InternetLink"/>
                  <w:rFonts w:ascii="Times New Roman;serif" w:hAnsi="Times New Roman;serif"/>
                  <w:b w:val="false"/>
                  <w:color w:val="0000FF"/>
                  <w:sz w:val="20"/>
                  <w:u w:val="single"/>
                </w:rPr>
                <w:t>45</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127">
              <w:r>
                <w:rPr>
                  <w:rStyle w:val="InternetLink"/>
                  <w:rFonts w:ascii="Times New Roman;serif" w:hAnsi="Times New Roman;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127">
              <w:r>
                <w:rPr>
                  <w:rStyle w:val="InternetLink"/>
                  <w:rFonts w:ascii="Times New Roman;serif" w:hAnsi="Times New Roman;serif"/>
                  <w:b w:val="false"/>
                  <w:color w:val="0000FF"/>
                  <w:sz w:val="20"/>
                  <w:u w:val="single"/>
                </w:rPr>
                <w:t>45</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130">
              <w:r>
                <w:rPr>
                  <w:rStyle w:val="InternetLink"/>
                  <w:rFonts w:ascii="Times New Roman;serif" w:hAnsi="Times New Roman;serif"/>
                  <w:b w:val="false"/>
                  <w:color w:val="0000FF"/>
                  <w:sz w:val="20"/>
                  <w:u w:val="single"/>
                </w:rPr>
                <w:t>ITEM 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130">
              <w:r>
                <w:rPr>
                  <w:rStyle w:val="InternetLink"/>
                  <w:rFonts w:ascii="Times New Roman;serif" w:hAnsi="Times New Roman;serif"/>
                  <w:b w:val="false"/>
                  <w:color w:val="0000FF"/>
                  <w:sz w:val="20"/>
                  <w:u w:val="single"/>
                </w:rPr>
                <w:t>45</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133">
              <w:r>
                <w:rPr>
                  <w:rStyle w:val="InternetLink"/>
                  <w:rFonts w:ascii="Times New Roman;serif" w:hAnsi="Times New Roman;serif"/>
                  <w:b w:val="false"/>
                  <w:color w:val="0000FF"/>
                  <w:sz w:val="20"/>
                  <w:u w:val="single"/>
                </w:rPr>
                <w:t>ITEM 3. 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133">
              <w:r>
                <w:rPr>
                  <w:rStyle w:val="InternetLink"/>
                  <w:rFonts w:ascii="Times New Roman;serif" w:hAnsi="Times New Roman;serif"/>
                  <w:b w:val="false"/>
                  <w:color w:val="0000FF"/>
                  <w:sz w:val="20"/>
                  <w:u w:val="single"/>
                </w:rPr>
                <w:t>45</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136">
              <w:r>
                <w:rPr>
                  <w:rStyle w:val="InternetLink"/>
                  <w:rFonts w:ascii="Times New Roman;serif" w:hAnsi="Times New Roman;serif"/>
                  <w:b w:val="false"/>
                  <w:color w:val="0000FF"/>
                  <w:sz w:val="20"/>
                  <w:u w:val="single"/>
                </w:rPr>
                <w:t>ITEM 4. 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136">
              <w:r>
                <w:rPr>
                  <w:rStyle w:val="InternetLink"/>
                  <w:rFonts w:ascii="Times New Roman;serif" w:hAnsi="Times New Roman;serif"/>
                  <w:b w:val="false"/>
                  <w:color w:val="0000FF"/>
                  <w:sz w:val="20"/>
                  <w:u w:val="single"/>
                </w:rPr>
                <w:t>45</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139">
              <w:r>
                <w:rPr>
                  <w:rStyle w:val="InternetLink"/>
                  <w:rFonts w:ascii="Times New Roman;serif" w:hAnsi="Times New Roman;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139">
              <w:r>
                <w:rPr>
                  <w:rStyle w:val="InternetLink"/>
                  <w:rFonts w:ascii="Times New Roman;serif" w:hAnsi="Times New Roman;serif"/>
                  <w:b w:val="false"/>
                  <w:color w:val="0000FF"/>
                  <w:sz w:val="20"/>
                  <w:u w:val="single"/>
                </w:rPr>
                <w:t>45</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145">
              <w:r>
                <w:rPr>
                  <w:rStyle w:val="InternetLink"/>
                  <w:rFonts w:ascii="Times New Roman;serif" w:hAnsi="Times New Roman;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145">
              <w:r>
                <w:rPr>
                  <w:rStyle w:val="InternetLink"/>
                  <w:rFonts w:ascii="Times New Roman;serif" w:hAnsi="Times New Roman;serif"/>
                  <w:b w:val="false"/>
                  <w:color w:val="0000FF"/>
                  <w:sz w:val="20"/>
                  <w:u w:val="single"/>
                </w:rPr>
                <w:t>46</w:t>
              </w:r>
            </w:hyperlink>
          </w:p>
        </w:tc>
      </w:tr>
      <w:tr>
        <w:trPr/>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f9b538b8624502b00db89bf85e771a_148">
              <w:r>
                <w:rPr>
                  <w:rStyle w:val="InternetLink"/>
                  <w:rFonts w:ascii="Times New Roman;serif" w:hAnsi="Times New Roman;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f9b538b8624502b00db89bf85e771a_148">
              <w:r>
                <w:rPr>
                  <w:rStyle w:val="InternetLink"/>
                  <w:rFonts w:ascii="Times New Roman;serif" w:hAnsi="Times New Roman;serif"/>
                  <w:b w:val="false"/>
                  <w:color w:val="0000FF"/>
                  <w:sz w:val="20"/>
                  <w:u w:val="single"/>
                </w:rPr>
                <w:t>47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and Section 21E of the Securities Exchange Act of 1934, which involve substantial risks and uncertainties. These statements reflect the current views of our senior management with respect to future events, strategies and financial trends and performance. These forward-looking statements include statements with respect to our business, expenses, strategies, losses, growth plans, product and customer initiatives, market growth projections, and our industry, including those set forth under “Management’s Discussion and Analysis of Financial Condition and Results of Operations” and elsewhere in this Quarterly Report. Statements that include the words “expect,” “intend,” “plan,” “believe,” “project,” “forecast,” “estimate,” “may,” “should,” “anticipate” and similar statements of a future or forward-looking nature identify forward-looking statements for purposes of the federal securities laws or otherwise.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address matters that involve risks and uncertainties. Accordingly, there are or will be important factors that could cause our actual results to differ materially from those indicated in these statements. These factors include the information set forth under the caption "Risk Factors" set forth in Part 1, Item 1A, of our Annual Report on Form 10-K for the fiscal year ended December 31, 2024, which we encourage you to carefully read, and include the following:</w:t>
      </w:r>
    </w:p>
    <w:p>
      <w:pPr>
        <w:pStyle w:val="TextBody"/>
        <w:bidi w:val="0"/>
        <w:spacing w:lineRule="auto" w:line="276" w:before="40" w:after="283"/>
        <w:ind w:left="0" w:right="0" w:hanging="360"/>
        <w:jc w:val="both"/>
        <w:rPr/>
      </w:pPr>
      <w:r>
        <w:rPr>
          <w:color w:val="000000"/>
        </w:rPr>
        <w:t>•</w:t>
      </w:r>
      <w:r>
        <w:rPr>
          <w:rFonts w:ascii="Times New Roman;serif" w:hAnsi="Times New Roman;serif"/>
          <w:b w:val="false"/>
          <w:color w:val="000000"/>
          <w:sz w:val="20"/>
        </w:rPr>
        <w:t>adverse economic conditions, including the impact of macroeconomic challenges, global tariff increases and potential future increases and announcements regarding same, continued inflation, uncertainty regarding consumer spending, high interest rates, fluctuations in currency rates, the impact of the Russia-Ukraine conflict, the impact of the conflicts in the Middle East, and other factors, may continue to harm our business;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if we are unable to attract new customers or sell additional services and functionality to our existing customers, our revenue and revenue growth will be harmed;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if our existing customers terminate their subscriptions or reduce their subscriptions and related usage, or fail to grow subscriptions at the rate they have in the past or that we might expect, our revenues and gross margins will be harmed, and we will be required to spend more money to grow our customer base;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because a significant percentage of our revenue is derived from existing customers, downturns or upturns in new sales will not be immediately reflected in our operating results and may be difficult to discern;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if we fail to manage our technical operations infrastructure, our existing customers may experience service outages, our new customers may experience delays in the deployment of our solution and we could be subject to claims for credits or damages, among other things;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if we are unable to attract and retain highly skilled leaders and other employees, our business and results of operations may be harmed;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as AI solutions will likely perform an increasing proportion of contact center interactions, if we are unable to replace decreases in subscription revenue from licenses with revenue from the sale of additional AI solutions, our revenue, results of operations and business will be harmed;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further development of our AI solutions may not be successful and may result in reputational harm and our future operating results could be materially harmed;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AI technology and features incorporated into our solution include new and evolving technologies that may present both legal and business risks;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have established, and are continuing to increase, our network of technology solution distributors and resellers to sell our solution; our failure to effectively develop, manage, and maintain this network could materially harm our revenues;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our quarterly and annual results may fluctuate significantly, including as a result of the timing and success of new product and feature introductions by us, may not fully reflect the underlying performance of our business and may result in decreases in the price of our common stock; </w:t>
      </w:r>
    </w:p>
    <w:p>
      <w:pPr>
        <w:pStyle w:val="TextBody"/>
        <w:bidi w:val="0"/>
        <w:spacing w:lineRule="auto" w:line="268" w:before="40" w:after="283"/>
        <w:ind w:left="0" w:right="0" w:hanging="360"/>
        <w:jc w:val="both"/>
        <w:rPr/>
      </w:pPr>
      <w:r>
        <w:rPr>
          <w:color w:val="000000"/>
        </w:rPr>
        <w:t>•</w:t>
      </w:r>
      <w:r>
        <w:rPr>
          <w:rFonts w:ascii="Times New Roman;serif" w:hAnsi="Times New Roman;serif"/>
          <w:b w:val="false"/>
          <w:color w:val="000000"/>
          <w:sz w:val="20"/>
        </w:rPr>
        <w:t xml:space="preserve">our historical growth may not be indicative of our future growth, and even if we continue to grow rapidly, we may fail to manage our growth effectively;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failure to adequately retain and expand our sales force will impede our growth;</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the use of AI by our workforce may present risks to our business;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the contact center software solutions market is subject to rapid technological change, and we must develop and sell incremental and new solutions in order to maintain and grow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our growth depends in part on the success of our strategic relationships with third parties and our failure to successfully maintain, grow and manage these relationships could harm our business;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the markets in which we participate involve a high number of competitors that is continuing to increase, and if we do not compete effectively, our operating results could be harmed;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continue to expand our international operations, which exposes us to significant macroeconomic and other risks;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security breaches, cybersecurity incidents, and improper access to, use of, or disclosure of our data or our customers’ data, or other cyber-attacks on our systems, could result in litigation and regulatory risk, harm our reputation, our business or financial results;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we rely on third-party telecommunications and internet service providers to provide our customers and their customers with telecommunication services and connectivity to our cloud contact center software and any failure by these service providers to provide reliable services could cause us to lose customers and subject us to claims for credits or damages, among other things;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have a history of losses and we may be unable to achieve or sustain profitability;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our stock price has been volatile, may continue to be volatile and may decline, including due to factors beyond our control;</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may not be able to secure additional financing on favorable terms, or at all, to meet our future capital needs;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failure to comply with laws and regulations could harm our business and our reputation; and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we may not have sufficient cash to service our convertible senior notes and repay such notes, if required. </w:t>
      </w:r>
    </w:p>
    <w:p>
      <w:pPr>
        <w:pStyle w:val="TextBody"/>
        <w:bidi w:val="0"/>
        <w:spacing w:lineRule="auto" w:line="26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foregoing factors should not be construed as exhaustive and should be read together with the other cautionary statements included in this report. If one or more of these or other risks or uncertainties materialize, or if our underlying assumptions prove to be incorrect, our actual results may differ materially from what we anticipate. You should not place undue reliance on our forward-looking statements. Any forward-looking statements you read in this report reflect our views only as of the date of this report with respect to future events and are subject to these and other risks, uncertainties and assumptions relating to our operations, results of operations, growth strategy and liquidity. We undertake no obligation to update any forward-looking statements made in this report to reflect events or circumstances after the date of this report or to reflect new information or the occurrence of unanticipated events, except as required by law.</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312" w:before="12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6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pPr>
      <w:r>
        <w:rPr>
          <w:rFonts w:ascii="Times New Roman;serif" w:hAnsi="Times New Roman;serif"/>
          <w:b w:val="false"/>
          <w:color w:val="000000"/>
          <w:sz w:val="20"/>
        </w:rPr>
        <w:t>(In thousands, except per share data)</w:t>
      </w:r>
      <w:r>
        <w:rPr>
          <w:color w:val="000000"/>
        </w:rPr>
        <w:t xml:space="preserve"> </w:t>
      </w:r>
    </w:p>
    <w:tbl>
      <w:tblPr>
        <w:tblW w:w="8243" w:type="dxa"/>
        <w:jc w:val="center"/>
        <w:tblInd w:w="0" w:type="dxa"/>
        <w:tblLayout w:type="fixed"/>
        <w:tblCellMar>
          <w:top w:w="28" w:type="dxa"/>
          <w:left w:w="28" w:type="dxa"/>
          <w:bottom w:w="28" w:type="dxa"/>
          <w:right w:w="28" w:type="dxa"/>
        </w:tblCellMar>
      </w:tblPr>
      <w:tblGrid>
        <w:gridCol w:w="1631"/>
        <w:gridCol w:w="1430"/>
        <w:gridCol w:w="1439"/>
        <w:gridCol w:w="109"/>
        <w:gridCol w:w="109"/>
        <w:gridCol w:w="109"/>
        <w:gridCol w:w="257"/>
        <w:gridCol w:w="1145"/>
        <w:gridCol w:w="143"/>
        <w:gridCol w:w="109"/>
        <w:gridCol w:w="109"/>
        <w:gridCol w:w="109"/>
        <w:gridCol w:w="248"/>
        <w:gridCol w:w="1102"/>
        <w:gridCol w:w="194"/>
      </w:tblGrid>
      <w:tr>
        <w:trPr/>
        <w:tc>
          <w:tcPr>
            <w:tcW w:w="163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193,409 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362,546 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482,747 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643,410 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115,172 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49,590 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50,840 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85,181 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949,413 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1,248,568 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144,888 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38,880 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65,632 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366,253 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365,436 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 net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155,157 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1,768,405 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2,051,214 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80,568 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83,720 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79,173 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433,490 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205,748 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641,691 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senior notes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734,553 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731,855 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35,398 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993,119 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1,429,022 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1,172,401 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1,039,125 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(397,942)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(417,645)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775,286 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622,192 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1,768,405 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2,051,214 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AND COMPREHENSIVE INCOME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 share data)</w:t>
      </w:r>
    </w:p>
    <w:tbl>
      <w:tblPr>
        <w:tblW w:w="10205" w:type="dxa"/>
        <w:jc w:val="center"/>
        <w:tblInd w:w="0" w:type="dxa"/>
        <w:tblLayout w:type="fixed"/>
        <w:tblCellMar>
          <w:top w:w="28" w:type="dxa"/>
          <w:left w:w="28" w:type="dxa"/>
          <w:bottom w:w="28" w:type="dxa"/>
          <w:right w:w="28" w:type="dxa"/>
        </w:tblCellMar>
      </w:tblPr>
      <w:tblGrid>
        <w:gridCol w:w="1268"/>
        <w:gridCol w:w="973"/>
        <w:gridCol w:w="982"/>
        <w:gridCol w:w="109"/>
        <w:gridCol w:w="109"/>
        <w:gridCol w:w="109"/>
        <w:gridCol w:w="264"/>
        <w:gridCol w:w="995"/>
        <w:gridCol w:w="146"/>
        <w:gridCol w:w="109"/>
        <w:gridCol w:w="109"/>
        <w:gridCol w:w="109"/>
        <w:gridCol w:w="264"/>
        <w:gridCol w:w="995"/>
        <w:gridCol w:w="146"/>
        <w:gridCol w:w="109"/>
        <w:gridCol w:w="109"/>
        <w:gridCol w:w="109"/>
        <w:gridCol w:w="264"/>
        <w:gridCol w:w="995"/>
        <w:gridCol w:w="146"/>
        <w:gridCol w:w="109"/>
        <w:gridCol w:w="109"/>
        <w:gridCol w:w="109"/>
        <w:gridCol w:w="262"/>
        <w:gridCol w:w="984"/>
        <w:gridCol w:w="213"/>
      </w:tblGrid>
      <w:tr>
        <w:trPr/>
        <w:tc>
          <w:tcPr>
            <w:tcW w:w="12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285,832 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264,182 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848,806 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763,278 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382,390 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354,877 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157,280 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142,249 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466,416 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408,401 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42,482 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124,717 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71,657 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235,180 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238,056 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101,111 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141,237 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157,672 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457,362 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463,884 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(55,483)</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(23,906)</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(24,372)</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w:t>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computing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74,876 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74,192 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87,295 </w:t>
            </w:r>
          </w:p>
        </w:tc>
        <w:tc>
          <w:tcPr>
            <w:tcW w:w="1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74,876 </w:t>
            </w:r>
          </w:p>
        </w:tc>
        <w:tc>
          <w:tcPr>
            <w:tcW w:w="1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88,413 </w:t>
            </w:r>
          </w:p>
        </w:tc>
        <w:tc>
          <w:tcPr>
            <w:tcW w:w="1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74,192 </w:t>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(23,126)</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p>
      <w:pPr>
        <w:pStyle w:val="TextBody"/>
        <w:bidi w:val="0"/>
        <w:spacing w:before="0" w:after="0"/>
        <w:jc w:val="center"/>
        <w:rPr/>
      </w:pPr>
      <w:r>
        <w:rPr/>
      </w:r>
    </w:p>
    <w:p>
      <w:pPr>
        <w:pStyle w:val="TextBody"/>
        <w:bidi w:val="0"/>
        <w:spacing w:before="0" w:after="0"/>
        <w:jc w:val="center"/>
        <w:rPr/>
      </w:pPr>
      <w:r>
        <w:rPr/>
      </w:r>
    </w:p>
    <w:tbl>
      <w:tblPr>
        <w:tblW w:w="11854" w:type="dxa"/>
        <w:jc w:val="center"/>
        <w:tblInd w:w="0" w:type="dxa"/>
        <w:tblLayout w:type="fixed"/>
        <w:tblCellMar>
          <w:top w:w="28" w:type="dxa"/>
          <w:left w:w="28" w:type="dxa"/>
          <w:bottom w:w="28" w:type="dxa"/>
          <w:right w:w="28" w:type="dxa"/>
        </w:tblCellMar>
      </w:tblPr>
      <w:tblGrid>
        <w:gridCol w:w="726"/>
        <w:gridCol w:w="229"/>
        <w:gridCol w:w="231"/>
        <w:gridCol w:w="109"/>
        <w:gridCol w:w="109"/>
        <w:gridCol w:w="109"/>
        <w:gridCol w:w="109"/>
        <w:gridCol w:w="109"/>
        <w:gridCol w:w="126"/>
        <w:gridCol w:w="126"/>
        <w:gridCol w:w="331"/>
        <w:gridCol w:w="315"/>
        <w:gridCol w:w="127"/>
        <w:gridCol w:w="109"/>
        <w:gridCol w:w="109"/>
        <w:gridCol w:w="109"/>
        <w:gridCol w:w="231"/>
        <w:gridCol w:w="390"/>
        <w:gridCol w:w="130"/>
        <w:gridCol w:w="109"/>
        <w:gridCol w:w="109"/>
        <w:gridCol w:w="109"/>
        <w:gridCol w:w="196"/>
        <w:gridCol w:w="871"/>
        <w:gridCol w:w="109"/>
        <w:gridCol w:w="190"/>
        <w:gridCol w:w="190"/>
        <w:gridCol w:w="191"/>
        <w:gridCol w:w="1021"/>
        <w:gridCol w:w="109"/>
        <w:gridCol w:w="871"/>
        <w:gridCol w:w="109"/>
        <w:gridCol w:w="211"/>
        <w:gridCol w:w="601"/>
        <w:gridCol w:w="119"/>
        <w:gridCol w:w="109"/>
        <w:gridCol w:w="109"/>
        <w:gridCol w:w="109"/>
        <w:gridCol w:w="196"/>
        <w:gridCol w:w="751"/>
        <w:gridCol w:w="109"/>
        <w:gridCol w:w="109"/>
        <w:gridCol w:w="109"/>
        <w:gridCol w:w="109"/>
        <w:gridCol w:w="196"/>
        <w:gridCol w:w="736"/>
        <w:gridCol w:w="109"/>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Other Comprehensive Income (Loss)</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8" w:type="dxa"/>
            <w:gridSpan w:val="10"/>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02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(424,743)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75,208 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78,214 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(397,942)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p>
      <w:pPr>
        <w:pStyle w:val="TextBody"/>
        <w:bidi w:val="0"/>
        <w:spacing w:before="0" w:after="0"/>
        <w:jc w:val="center"/>
        <w:rPr/>
      </w:pPr>
      <w:r>
        <w:rPr/>
      </w:r>
    </w:p>
    <w:p>
      <w:pPr>
        <w:pStyle w:val="TextBody"/>
        <w:bidi w:val="0"/>
        <w:spacing w:before="0" w:after="0"/>
        <w:jc w:val="center"/>
        <w:rPr/>
      </w:pPr>
      <w:r>
        <w:rPr/>
      </w:r>
    </w:p>
    <w:tbl>
      <w:tblPr>
        <w:tblW w:w="11854" w:type="dxa"/>
        <w:jc w:val="center"/>
        <w:tblInd w:w="0" w:type="dxa"/>
        <w:tblLayout w:type="fixed"/>
        <w:tblCellMar>
          <w:top w:w="28" w:type="dxa"/>
          <w:left w:w="28" w:type="dxa"/>
          <w:bottom w:w="28" w:type="dxa"/>
          <w:right w:w="28" w:type="dxa"/>
        </w:tblCellMar>
      </w:tblPr>
      <w:tblGrid>
        <w:gridCol w:w="621"/>
        <w:gridCol w:w="282"/>
        <w:gridCol w:w="283"/>
        <w:gridCol w:w="109"/>
        <w:gridCol w:w="109"/>
        <w:gridCol w:w="109"/>
        <w:gridCol w:w="109"/>
        <w:gridCol w:w="109"/>
        <w:gridCol w:w="126"/>
        <w:gridCol w:w="126"/>
        <w:gridCol w:w="331"/>
        <w:gridCol w:w="315"/>
        <w:gridCol w:w="127"/>
        <w:gridCol w:w="109"/>
        <w:gridCol w:w="109"/>
        <w:gridCol w:w="109"/>
        <w:gridCol w:w="231"/>
        <w:gridCol w:w="390"/>
        <w:gridCol w:w="130"/>
        <w:gridCol w:w="109"/>
        <w:gridCol w:w="109"/>
        <w:gridCol w:w="109"/>
        <w:gridCol w:w="196"/>
        <w:gridCol w:w="871"/>
        <w:gridCol w:w="109"/>
        <w:gridCol w:w="190"/>
        <w:gridCol w:w="190"/>
        <w:gridCol w:w="191"/>
        <w:gridCol w:w="1021"/>
        <w:gridCol w:w="109"/>
        <w:gridCol w:w="871"/>
        <w:gridCol w:w="109"/>
        <w:gridCol w:w="211"/>
        <w:gridCol w:w="601"/>
        <w:gridCol w:w="119"/>
        <w:gridCol w:w="109"/>
        <w:gridCol w:w="109"/>
        <w:gridCol w:w="109"/>
        <w:gridCol w:w="196"/>
        <w:gridCol w:w="751"/>
        <w:gridCol w:w="109"/>
        <w:gridCol w:w="109"/>
        <w:gridCol w:w="109"/>
        <w:gridCol w:w="109"/>
        <w:gridCol w:w="196"/>
        <w:gridCol w:w="736"/>
        <w:gridCol w:w="109"/>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Other Comprehensive Income</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8" w:type="dxa"/>
            <w:gridSpan w:val="10"/>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02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(404,850)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new capped calls associated with the 2029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Partial termination of existing capped calls associated with the 2025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75,208 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78,214 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(397,942)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524"/>
        <w:gridCol w:w="2113"/>
        <w:gridCol w:w="2120"/>
        <w:gridCol w:w="109"/>
        <w:gridCol w:w="109"/>
        <w:gridCol w:w="109"/>
        <w:gridCol w:w="258"/>
        <w:gridCol w:w="971"/>
        <w:gridCol w:w="143"/>
        <w:gridCol w:w="109"/>
        <w:gridCol w:w="109"/>
        <w:gridCol w:w="109"/>
        <w:gridCol w:w="256"/>
        <w:gridCol w:w="961"/>
        <w:gridCol w:w="205"/>
      </w:tblGrid>
      <w:tr>
        <w:trPr/>
        <w:tc>
          <w:tcPr>
            <w:tcW w:w="2524"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6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6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(24,372)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44,911 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38,265 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Reduction in the carrying amount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63,568 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52,152 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discount on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(16,833)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114,443 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127,872 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discount and issuance costs on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charge of an 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charge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 - excluding tax adjustments from an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 - tax adjustments from an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(85,513)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(76,288)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142,641 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93,353 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(569,150)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(993,483)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114,406 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93,995 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of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622,026 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829,122 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(18,722)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(33,097)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Capitalization of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initial direct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to acquire Acqueon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(167,166)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settlement for acquisition of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119,153 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(284,741)</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2029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731,055 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capped call transactions associated with the 2029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(93,438)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a portion of 2025 convertible senior notes, net of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(304,485)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outstanding 2025 convertible senior notes at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(434,405)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received from partial termination of capped calls associated with the 2025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common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common stock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(430,549)</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339,398 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(168,755)</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148,010 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364,185 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144,842 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195,430 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292,852 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unpaid at period-end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Capitalization of leasehold improvements and furniture and fixtures through non-cash lease incentive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related transaction costs accrued at period-end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included in 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 to the Condensed Consolidated Balance Sheets -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362,546 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143,201 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364,185 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144,842 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 to the Condensed Consolidated Balance Sheets -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193,409 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290,959 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195,430 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292,852 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both"/>
        <w:rPr>
          <w:rFonts w:ascii="Times New Roman;serif" w:hAnsi="Times New Roman;serif"/>
          <w:b/>
          <w:color w:val="000000"/>
          <w:sz w:val="20"/>
        </w:rPr>
      </w:pPr>
      <w:r>
        <w:rPr>
          <w:rFonts w:ascii="Times New Roman;serif" w:hAnsi="Times New Roman;serif"/>
          <w:b/>
          <w:color w:val="000000"/>
          <w:sz w:val="20"/>
        </w:rPr>
        <w:t xml:space="preserve">1. Description of Business and Summary of Significant Accounting Policies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Five9, Inc. and its wholly-owned subsidiaries (the “Company”) is a provider of cloud software for contact centers. The Company was incorporated in Delaware in 2001 and is headquartered in San Ramon, California. In addition to the United States, the Company has offices in Europe, Asia and Australia, which primarily provide research, development, sales, marketing, and customer support services.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generally accepted accounting principles in the United States (“GAAP”) and applicable rules and regulations of the Securities and Exchange Commission (“SEC”) regarding interim financial reporting. Certain information and note disclosures normally included in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Company’s Annual Report on Form 10-K for the year ended December 31, 2024. In the opinion of management, the condensed consolidated financial statements reflect all adjustments, which are normal and recurring in nature, necessary for fair financial statement presentation. All intercompany transactions and balances have been eliminated in consolidation.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Use of Estimates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condensed consolidated financial statements in accordance with GAAP requires management to make estimates and assumptions that affect the reported amounts of assets and liabilities and disclosure of contingent assets and liabilities at the date of the condensed consolidated financial statements, including accompanying notes, and the reported amounts of revenue and expenses during the reporting period. The significant estimates made by management affect revenue and related reserves, as well as the fair value of assets acquired and liabilities assumed through business combinations and the fair value of performance-based restricted stock units ("PRSUs"). Management periodically evaluates such estimates and they are adjusted prospectively based upon such periodic evaluation. Actual results could differ from those estimates.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significant accounting policies previously disclosed in Part II, Item 8, of the Company's Annual Report on Form 10-K for the fiscal year ended December 31, 2024 as filed with the SEC on February 21, 2025.</w:t>
      </w:r>
    </w:p>
    <w:p>
      <w:pPr>
        <w:pStyle w:val="TextBody"/>
        <w:bidi w:val="0"/>
        <w:spacing w:lineRule="auto" w:line="288" w:before="180" w:after="283"/>
        <w:jc w:val="both"/>
        <w:rPr/>
      </w:pPr>
      <w:r>
        <w:rPr>
          <w:rFonts w:ascii="Times New Roman;serif" w:hAnsi="Times New Roman;serif"/>
          <w:b/>
          <w:color w:val="000000"/>
          <w:sz w:val="20"/>
        </w:rPr>
        <w:t>Recent Accounting Pronouncements Not Yet Effective</w:t>
      </w:r>
      <w:r>
        <w:rPr>
          <w:color w:val="EE2724"/>
        </w:rPr>
        <w:t xml:space="preserve"> </w:t>
      </w:r>
    </w:p>
    <w:p>
      <w:pPr>
        <w:pStyle w:val="TextBody"/>
        <w:bidi w:val="0"/>
        <w:spacing w:lineRule="auto" w:line="268" w:before="180" w:after="283"/>
        <w:ind w:left="0" w:right="0" w:firstLine="540"/>
        <w:jc w:val="both"/>
        <w:rPr/>
      </w:pPr>
      <w:r>
        <w:rPr>
          <w:rFonts w:ascii="Times New Roman;serif" w:hAnsi="Times New Roman;serif"/>
          <w:b w:val="false"/>
          <w:color w:val="000000"/>
          <w:sz w:val="20"/>
        </w:rPr>
        <w:t xml:space="preserve">In December 2023, the FASB issued ASU 2023-09, Income Taxes (Topic 740): </w:t>
      </w: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This ASU requires disclosure of specific categories in the effective tax rate reconciliation and additional information on income taxes paid. This ASU is effective for the Company’s fiscal years beginning after December 15, 2024. Early adoption is permitted and may be adopted on a prospective or retrospective basis. The Company has evaluated the impact of this ASU and does not expect it to have a material impact on its consolidated financial statements and related disclosures.</w:t>
      </w:r>
    </w:p>
    <w:p>
      <w:pPr>
        <w:pStyle w:val="TextBody"/>
        <w:bidi w:val="0"/>
        <w:spacing w:lineRule="auto" w:line="268" w:before="180" w:after="283"/>
        <w:ind w:left="0" w:right="0" w:firstLine="54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rPr>
        <w:t xml:space="preserve">, and in January 2025, the FASB issued ASU 2025-01, </w:t>
      </w:r>
      <w:r>
        <w:rPr>
          <w:rFonts w:ascii="Times New Roman;serif" w:hAnsi="Times New Roman;serif"/>
          <w:b w:val="false"/>
          <w:i/>
          <w:color w:val="000000"/>
          <w:sz w:val="20"/>
        </w:rPr>
        <w:t>Income Statement - Reporting Comprehensive Income - Expense Disaggregation Disclosures (Subtopic 220-40): Clarifying the Effective Date</w:t>
      </w:r>
      <w:r>
        <w:rPr>
          <w:rFonts w:ascii="Times New Roman;serif" w:hAnsi="Times New Roman;serif"/>
          <w:b w:val="false"/>
          <w:color w:val="000000"/>
          <w:sz w:val="20"/>
        </w:rPr>
        <w:t>, which clarified the effective date of ASU 2024-03. This ASU is intended to improve the decision-usefulness of expense information on public companies’ income statements through disaggregation of relevant expense captions in the notes to the financial statements. The guidance, as clarified by ASU 2025-01, is effective for annual reporting periods beginning after December 15, 2026, and interim periods within annual reporting periods beginning after December 15, 2027, with early adoption permitted. The Company is currently assessing the impact of this ASU on its consolidated financial statements and related disclosures.</w:t>
      </w:r>
    </w:p>
    <w:p>
      <w:pPr>
        <w:pStyle w:val="TextBody"/>
        <w:bidi w:val="0"/>
        <w:spacing w:lineRule="auto" w:line="268" w:before="180" w:after="283"/>
        <w:ind w:left="0" w:right="0" w:firstLine="540"/>
        <w:jc w:val="both"/>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 with Conversion and Other Options (Subtopic 470-20)</w:t>
      </w:r>
      <w:r>
        <w:rPr>
          <w:rFonts w:ascii="Times New Roman;serif" w:hAnsi="Times New Roman;serif"/>
          <w:b w:val="false"/>
          <w:color w:val="000000"/>
          <w:sz w:val="20"/>
        </w:rPr>
        <w:t xml:space="preserve">, which clarifies the requirements for determining whether certain settlements of convertible debt instruments should be accounted for as an induced conversion. The ASU is effective for annual and interim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reporting periods beginning after December 15, 2025. Early adoption is permitted for entities that have implemented ASU 2020-06, with the option to apply the guidance prospectively or retrospectively. The Company is currently assessing the impact of this ASU on its consolidated financial statements. </w:t>
      </w:r>
    </w:p>
    <w:p>
      <w:pPr>
        <w:pStyle w:val="TextBody"/>
        <w:bidi w:val="0"/>
        <w:spacing w:lineRule="auto" w:line="268" w:before="180" w:after="283"/>
        <w:ind w:left="0" w:right="0" w:firstLine="54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 xml:space="preserve">Financial Instruments - Credit Losses (Topic 326): Measurement of Credit Losses for Accounts Receivable and Contract Assets. </w:t>
      </w:r>
      <w:r>
        <w:rPr>
          <w:rFonts w:ascii="Times New Roman;serif" w:hAnsi="Times New Roman;serif"/>
          <w:b w:val="false"/>
          <w:color w:val="000000"/>
          <w:sz w:val="20"/>
        </w:rPr>
        <w:t xml:space="preserve">The ASU provides a practical expedient to assume that conditions as of the balance sheet date remain unchanged over the life of the asset when estimating expected credit losses for current accounts receivable and current contract assets arising from transactions accounted for under Topic 606. This guidance is effective for reporting periods beginning after December 15, 2025, with early adoption permitted. The Company is currently assessing the impact of this ASU on its consolidated financial statements and related disclosures. </w:t>
      </w:r>
    </w:p>
    <w:p>
      <w:pPr>
        <w:pStyle w:val="TextBody"/>
        <w:bidi w:val="0"/>
        <w:spacing w:lineRule="auto" w:line="268" w:before="180" w:after="283"/>
        <w:ind w:left="0" w:right="0" w:firstLine="540"/>
        <w:jc w:val="both"/>
        <w:rPr/>
      </w:pPr>
      <w:r>
        <w:rPr>
          <w:rFonts w:ascii="Times New Roman;serif" w:hAnsi="Times New Roman;serif"/>
          <w:b w:val="false"/>
          <w:color w:val="000000"/>
          <w:sz w:val="20"/>
        </w:rPr>
        <w:t>In September 2025, the FASB issued ASU 2025-06</w:t>
      </w:r>
      <w:r>
        <w:rPr>
          <w:rFonts w:ascii="Times New Roman;serif" w:hAnsi="Times New Roman;serif"/>
          <w:b w:val="false"/>
          <w:i/>
          <w:color w:val="000000"/>
          <w:sz w:val="20"/>
        </w:rPr>
        <w:t>, Intangibles - 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The amendments are intended to modernize the recognition and capitalization framework to reflect current software development practices, including iterative and agile methodologies, by removing references to development project stages. It requires that an entity capitalize software costs when both of the following occur: (1) management has authorized and committed to funding the software project and (2) it is probable that the project will be completed and the software will be used to perform the function intended. The amendments in ASU 2025-06 are effective for annual reporting periods beginning after December 15, 2027, and interim reporting periods within those annual reporting periods. Early adoption is permitted as of the beginning of an annual reporting period. The Company is currently assessing the impact of this ASU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2. Revenue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accounts receivable, net, deferred contract acquisition costs, net, contract assets and contract liabilities from contracts with customers (in thousands):</w:t>
      </w:r>
    </w:p>
    <w:tbl>
      <w:tblPr>
        <w:tblW w:w="10059" w:type="dxa"/>
        <w:jc w:val="left"/>
        <w:tblInd w:w="0" w:type="dxa"/>
        <w:tblLayout w:type="fixed"/>
        <w:tblCellMar>
          <w:top w:w="28" w:type="dxa"/>
          <w:left w:w="28" w:type="dxa"/>
          <w:bottom w:w="28" w:type="dxa"/>
          <w:right w:w="28" w:type="dxa"/>
        </w:tblCellMar>
      </w:tblPr>
      <w:tblGrid>
        <w:gridCol w:w="2284"/>
        <w:gridCol w:w="2009"/>
        <w:gridCol w:w="2022"/>
        <w:gridCol w:w="109"/>
        <w:gridCol w:w="109"/>
        <w:gridCol w:w="109"/>
        <w:gridCol w:w="291"/>
        <w:gridCol w:w="1093"/>
        <w:gridCol w:w="161"/>
        <w:gridCol w:w="109"/>
        <w:gridCol w:w="109"/>
        <w:gridCol w:w="109"/>
        <w:gridCol w:w="279"/>
        <w:gridCol w:w="1047"/>
        <w:gridCol w:w="219"/>
      </w:tblGrid>
      <w:tr>
        <w:trPr/>
        <w:tc>
          <w:tcPr>
            <w:tcW w:w="2284"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115,172 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155,157 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contract acquisition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253,702 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231,757 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 and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 (included in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Contract liabilities (deferred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(74,737)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(79,173)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contract liabilities (deferred revenue) (included in 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(73,255)</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(72,832)</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receives payments from customers based upon billing cycles. Invoice payment terms are usually 30 days or less. Accounts receivable are recorded when the right to consideration becomes unconditional.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Deferred contract acquisition costs are recorded when incurred and are amortized over an estimated customer benefit period of five years.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contract assets consist of unbilled amounts typically resulting from professional services where revenue is recognized in excess of total amounts billed to the customer. The Company’s contract liabilities consist of advance payments and billings in excess of revenue recognized.</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the three and nine months ended September 30, 2025, the Company recognized revenue of $5.8 million and $66.7 million related to its contract liabilities at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aggregate amount of the total transaction price allocated in contracts with original duration of greater than one year to the remaining performance obligations was $1,121.2 million. The Company expects to recognize revenue on approximately three-fourths of the remaining performance obligations over the next 24 months, with the balance recognized thereafter. The Company excludes amounts for remaining performance obligations that are part of contracts with an original expected duration of one year or less. Such remaining performance obligations represent unsatisfied or partially unsatisfied performance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3. Investments and Fair Value Measurements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Marketable Investments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marketable investments have been classified and accounted for as available-for-sale. The Company’s intent is that all marketable investments are available for use in its current operations, including marketable investments with maturity dates greater than one year from September 30, 2025. The Company’s short-term marketable investments as of September 30, 2025 and December 31, 2024 were as follows (in thousands):</w:t>
      </w:r>
    </w:p>
    <w:tbl>
      <w:tblPr>
        <w:tblW w:w="10205" w:type="dxa"/>
        <w:jc w:val="left"/>
        <w:tblInd w:w="0" w:type="dxa"/>
        <w:tblLayout w:type="fixed"/>
        <w:tblCellMar>
          <w:top w:w="28" w:type="dxa"/>
          <w:left w:w="28" w:type="dxa"/>
          <w:bottom w:w="28" w:type="dxa"/>
          <w:right w:w="28" w:type="dxa"/>
        </w:tblCellMar>
      </w:tblPr>
      <w:tblGrid>
        <w:gridCol w:w="1375"/>
        <w:gridCol w:w="1078"/>
        <w:gridCol w:w="1024"/>
        <w:gridCol w:w="109"/>
        <w:gridCol w:w="109"/>
        <w:gridCol w:w="109"/>
        <w:gridCol w:w="211"/>
        <w:gridCol w:w="826"/>
        <w:gridCol w:w="109"/>
        <w:gridCol w:w="109"/>
        <w:gridCol w:w="109"/>
        <w:gridCol w:w="109"/>
        <w:gridCol w:w="409"/>
        <w:gridCol w:w="907"/>
        <w:gridCol w:w="214"/>
        <w:gridCol w:w="109"/>
        <w:gridCol w:w="109"/>
        <w:gridCol w:w="109"/>
        <w:gridCol w:w="404"/>
        <w:gridCol w:w="936"/>
        <w:gridCol w:w="209"/>
        <w:gridCol w:w="109"/>
        <w:gridCol w:w="109"/>
        <w:gridCol w:w="109"/>
        <w:gridCol w:w="211"/>
        <w:gridCol w:w="826"/>
        <w:gridCol w:w="158"/>
      </w:tblGrid>
      <w:tr>
        <w:trPr/>
        <w:tc>
          <w:tcPr>
            <w:tcW w:w="13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Short-Term Marketable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482,747 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55" w:type="dxa"/>
            <w:gridSpan w:val="18"/>
            <w:tcBorders/>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55" w:type="dxa"/>
            <w:gridSpan w:val="18"/>
            <w:tcBorders/>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75"/>
        <w:gridCol w:w="1078"/>
        <w:gridCol w:w="1024"/>
        <w:gridCol w:w="109"/>
        <w:gridCol w:w="109"/>
        <w:gridCol w:w="109"/>
        <w:gridCol w:w="211"/>
        <w:gridCol w:w="826"/>
        <w:gridCol w:w="109"/>
        <w:gridCol w:w="109"/>
        <w:gridCol w:w="109"/>
        <w:gridCol w:w="109"/>
        <w:gridCol w:w="409"/>
        <w:gridCol w:w="907"/>
        <w:gridCol w:w="214"/>
        <w:gridCol w:w="109"/>
        <w:gridCol w:w="109"/>
        <w:gridCol w:w="109"/>
        <w:gridCol w:w="404"/>
        <w:gridCol w:w="936"/>
        <w:gridCol w:w="209"/>
        <w:gridCol w:w="109"/>
        <w:gridCol w:w="109"/>
        <w:gridCol w:w="109"/>
        <w:gridCol w:w="211"/>
        <w:gridCol w:w="826"/>
        <w:gridCol w:w="158"/>
      </w:tblGrid>
      <w:tr>
        <w:trPr/>
        <w:tc>
          <w:tcPr>
            <w:tcW w:w="13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Short-Term Marketable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643,410 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gross unrealized losses and the fair value for those marketable investments that were in an unrealized loss position for less than 12 months as of September 30, 2025 and December 31, 2024 (in thousands):</w:t>
      </w:r>
    </w:p>
    <w:tbl>
      <w:tblPr>
        <w:tblW w:w="10205" w:type="dxa"/>
        <w:jc w:val="left"/>
        <w:tblInd w:w="0" w:type="dxa"/>
        <w:tblLayout w:type="fixed"/>
        <w:tblCellMar>
          <w:top w:w="28" w:type="dxa"/>
          <w:left w:w="28" w:type="dxa"/>
          <w:bottom w:w="28" w:type="dxa"/>
          <w:right w:w="28" w:type="dxa"/>
        </w:tblCellMar>
      </w:tblPr>
      <w:tblGrid>
        <w:gridCol w:w="1255"/>
        <w:gridCol w:w="1102"/>
        <w:gridCol w:w="1110"/>
        <w:gridCol w:w="109"/>
        <w:gridCol w:w="109"/>
        <w:gridCol w:w="109"/>
        <w:gridCol w:w="403"/>
        <w:gridCol w:w="933"/>
        <w:gridCol w:w="209"/>
        <w:gridCol w:w="109"/>
        <w:gridCol w:w="109"/>
        <w:gridCol w:w="109"/>
        <w:gridCol w:w="211"/>
        <w:gridCol w:w="826"/>
        <w:gridCol w:w="109"/>
        <w:gridCol w:w="109"/>
        <w:gridCol w:w="109"/>
        <w:gridCol w:w="109"/>
        <w:gridCol w:w="403"/>
        <w:gridCol w:w="933"/>
        <w:gridCol w:w="209"/>
        <w:gridCol w:w="109"/>
        <w:gridCol w:w="109"/>
        <w:gridCol w:w="109"/>
        <w:gridCol w:w="211"/>
        <w:gridCol w:w="826"/>
        <w:gridCol w:w="157"/>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government-sponsored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185,419 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Although the Company had certain available-for-sale debt securities in an unrealized loss position as of September 30, 2025, no impairment loss was recorded since it did not intend to sell them, did not anticipate a need to sell them, and the decline in fair value was not due to any credit-related factors.</w:t>
      </w:r>
    </w:p>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amortized cost and fair value of the Company’s marketable investments by contractual maturity as of September 30, 2025 were as follows (in thousands):</w:t>
      </w:r>
    </w:p>
    <w:tbl>
      <w:tblPr>
        <w:tblW w:w="5754" w:type="dxa"/>
        <w:jc w:val="left"/>
        <w:tblInd w:w="0" w:type="dxa"/>
        <w:tblLayout w:type="fixed"/>
        <w:tblCellMar>
          <w:top w:w="28" w:type="dxa"/>
          <w:left w:w="28" w:type="dxa"/>
          <w:bottom w:w="28" w:type="dxa"/>
          <w:right w:w="28" w:type="dxa"/>
        </w:tblCellMar>
      </w:tblPr>
      <w:tblGrid>
        <w:gridCol w:w="1120"/>
        <w:gridCol w:w="981"/>
        <w:gridCol w:w="989"/>
        <w:gridCol w:w="211"/>
        <w:gridCol w:w="826"/>
        <w:gridCol w:w="109"/>
        <w:gridCol w:w="109"/>
        <w:gridCol w:w="109"/>
        <w:gridCol w:w="109"/>
        <w:gridCol w:w="211"/>
        <w:gridCol w:w="82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two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carries cash equivalents and marketable investments at fair value. Fair value is based on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Level 1</w:t>
      </w:r>
      <w:r>
        <w:rPr>
          <w:color w:val="000000"/>
        </w:rPr>
        <w:t xml:space="preserve"> — </w:t>
      </w:r>
      <w:r>
        <w:rPr>
          <w:rFonts w:ascii="Times New Roman;serif" w:hAnsi="Times New Roman;serif"/>
          <w:b w:val="false"/>
          <w:color w:val="000000"/>
          <w:sz w:val="20"/>
        </w:rPr>
        <w:t xml:space="preserve">Observable inputs, which include unadjusted quoted prices in active markets for identical assets or liabilities. </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Level 2</w:t>
      </w:r>
      <w:r>
        <w:rPr>
          <w:color w:val="000000"/>
        </w:rPr>
        <w:t xml:space="preserve"> — </w:t>
      </w:r>
      <w:r>
        <w:rPr>
          <w:rFonts w:ascii="Times New Roman;serif" w:hAnsi="Times New Roman;serif"/>
          <w:b w:val="false"/>
          <w:color w:val="000000"/>
          <w:sz w:val="20"/>
        </w:rPr>
        <w:t xml:space="preserve">Observable inputs other than Level 1 inputs, such as quoted prices in markets that are not active, or other inputs that are observable or can be corroborated by observable market data for substantially the full term of the assets or liabilities. </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Level 3</w:t>
      </w:r>
      <w:r>
        <w:rPr>
          <w:color w:val="000000"/>
        </w:rPr>
        <w:t xml:space="preserve"> — </w:t>
      </w:r>
      <w:r>
        <w:rPr>
          <w:rFonts w:ascii="Times New Roman;serif" w:hAnsi="Times New Roman;serif"/>
          <w:b w:val="false"/>
          <w:color w:val="000000"/>
          <w:sz w:val="20"/>
        </w:rPr>
        <w:t xml:space="preserve">Unobservable inputs that are supported by little or no market activity and that are based on management’s assumptions, including fair value measurements determined by using pricing models, discounted cash flow methodologies or similar techniques.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the fair value of its Level 1 financial instruments, which are traded in active markets, using quoted market prices for identical instruments.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Marketable investments classified within Level 2 of the fair value hierarchy are valued based on other observable inputs, including broker or dealer quotations or alternative pricing sources. When quoted prices in active markets for identical assets or liabilities are not available, the Company relies on non-binding quotes from its investment managers, which are based on proprietary valuation models of independent pricing services. These models generally use inputs such as observable market data, quoted market prices for similar instruments, historical pricing trends of a security as relative to its peers. To validate the fair value determination provided by its investment managers, the Company reviews the pricing movement in the context of overall market trends and trading information from its investment managers. The Company performs routine procedures such as comparing prices obtained from independent sources to ensure that appropriate fair values are recorded.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the Company’s assets measured at fair value by level within the fair value hierarchy (in thousands): </w:t>
      </w:r>
    </w:p>
    <w:tbl>
      <w:tblPr>
        <w:tblW w:w="9315" w:type="dxa"/>
        <w:jc w:val="left"/>
        <w:tblInd w:w="0" w:type="dxa"/>
        <w:tblLayout w:type="fixed"/>
        <w:tblCellMar>
          <w:top w:w="28" w:type="dxa"/>
          <w:left w:w="28" w:type="dxa"/>
          <w:bottom w:w="28" w:type="dxa"/>
          <w:right w:w="28" w:type="dxa"/>
        </w:tblCellMar>
      </w:tblPr>
      <w:tblGrid>
        <w:gridCol w:w="1490"/>
        <w:gridCol w:w="1312"/>
        <w:gridCol w:w="1323"/>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government sponsored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investments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government sponsored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9329" w:type="dxa"/>
        <w:jc w:val="center"/>
        <w:tblInd w:w="0" w:type="dxa"/>
        <w:tblLayout w:type="fixed"/>
        <w:tblCellMar>
          <w:top w:w="28" w:type="dxa"/>
          <w:left w:w="28" w:type="dxa"/>
          <w:bottom w:w="28" w:type="dxa"/>
          <w:right w:w="28" w:type="dxa"/>
        </w:tblCellMar>
      </w:tblPr>
      <w:tblGrid>
        <w:gridCol w:w="1494"/>
        <w:gridCol w:w="1314"/>
        <w:gridCol w:w="1331"/>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49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government-sponsored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Marketable investments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government-sponsored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issued $747.5 million aggregate principal amount of 1.00% convertible senior notes due 2029 (the "2029 convertible senior notes") in a private offering. In connection with the issuance of the 2029 convertible senior notes, the Company used part of the net proceeds from the issuance to repurchase approximately $313.1 million aggregate principal amount of its 0.50% convertible senior notes due 2025 (the "2025 convertible senior notes"). As of December 31, 2024, the estimated fair value of the outstanding 2025 convertible senior notes was $423.2 million. The 2025 convertible senior notes matured on June 1, 2025, and the Company settled its obligations with respect to the 2025 convertible senior notes in cash in connection therewith. As of September 30, 2025 and December 31, 2024, the estimated fair value of the outstanding 2029 convertible senior notes was $662.1 million and $674.8 million, respectively. The fair values were determined based on the quoted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price of the convertible senior notes in an inactive market on the last trading day of the reporting period and have been classified as Level 2 in the fair value hierarchy. See Note 6 for further information on the Company’s convertible senior notes.</w:t>
      </w:r>
    </w:p>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2022, the Company made a $2.0 million equity investment in a privately-held company that the Company does not have the ability to exercise significant influence over. The Company elected to utilize the measurement alternative for an equity security without a readily determinable fair value. Accordingly, this investment is accounted for at its cost minus impairment, if any, and is classified within Level 3. If the Company identifies observable price changes in orderly transactions for such investment or a similar investment, it will measure the investment at fair value as of the date that the observable transactions or events occurred. During 2024, the Company noted an indicator of impairment of this investment and recorded a $1.3 million impairment charge. The Company concluded that there was no further indicator of impairment of this investment as of September 30, 2025. </w:t>
      </w:r>
    </w:p>
    <w:p>
      <w:pPr>
        <w:pStyle w:val="TextBody"/>
        <w:bidi w:val="0"/>
        <w:spacing w:lineRule="auto" w:line="276"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Except for the equity investment described above, there were no assets or liabilities measured at fair value on a non-recurring basis as of September 30, 2025 and December 31, 2024.</w:t>
      </w:r>
    </w:p>
    <w:p>
      <w:pPr>
        <w:pStyle w:val="TextBody"/>
        <w:bidi w:val="0"/>
        <w:spacing w:lineRule="auto" w:line="276"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other financial instruments, including accounts receivable, accounts payable and other current liabilities, approximate their carrying value due to the relatively short maturity of those instruments. The carrying amounts of the Company’s operating and finance leases approximate their fair value, which is the present value of expected future cash payments based on assumptions about current interest rates and the creditworthiness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4. Financial Statement Components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consisted of the following (in thousands): </w:t>
      </w:r>
    </w:p>
    <w:tbl>
      <w:tblPr>
        <w:tblW w:w="7868" w:type="dxa"/>
        <w:jc w:val="left"/>
        <w:tblInd w:w="0" w:type="dxa"/>
        <w:tblLayout w:type="fixed"/>
        <w:tblCellMar>
          <w:top w:w="28" w:type="dxa"/>
          <w:left w:w="28" w:type="dxa"/>
          <w:bottom w:w="28" w:type="dxa"/>
          <w:right w:w="28" w:type="dxa"/>
        </w:tblCellMar>
      </w:tblPr>
      <w:tblGrid>
        <w:gridCol w:w="1490"/>
        <w:gridCol w:w="1308"/>
        <w:gridCol w:w="1327"/>
        <w:gridCol w:w="109"/>
        <w:gridCol w:w="109"/>
        <w:gridCol w:w="109"/>
        <w:gridCol w:w="284"/>
        <w:gridCol w:w="1114"/>
        <w:gridCol w:w="147"/>
        <w:gridCol w:w="109"/>
        <w:gridCol w:w="109"/>
        <w:gridCol w:w="109"/>
        <w:gridCol w:w="273"/>
        <w:gridCol w:w="1072"/>
        <w:gridCol w:w="199"/>
      </w:tblGrid>
      <w:tr>
        <w:trPr/>
        <w:tc>
          <w:tcPr>
            <w:tcW w:w="149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112,798 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162,902 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government 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193,409 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362,546 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Accounts receivable, net consisted of the following (in thousands):</w:t>
      </w:r>
      <w:r>
        <w:rPr>
          <w:color w:val="000000"/>
        </w:rPr>
        <w:t xml:space="preserve"> </w:t>
      </w:r>
    </w:p>
    <w:tbl>
      <w:tblPr>
        <w:tblW w:w="9457" w:type="dxa"/>
        <w:jc w:val="left"/>
        <w:tblInd w:w="0" w:type="dxa"/>
        <w:tblLayout w:type="fixed"/>
        <w:tblCellMar>
          <w:top w:w="28" w:type="dxa"/>
          <w:left w:w="28" w:type="dxa"/>
          <w:bottom w:w="28" w:type="dxa"/>
          <w:right w:w="28" w:type="dxa"/>
        </w:tblCellMar>
      </w:tblPr>
      <w:tblGrid>
        <w:gridCol w:w="2069"/>
        <w:gridCol w:w="1819"/>
        <w:gridCol w:w="1826"/>
        <w:gridCol w:w="109"/>
        <w:gridCol w:w="109"/>
        <w:gridCol w:w="109"/>
        <w:gridCol w:w="284"/>
        <w:gridCol w:w="1114"/>
        <w:gridCol w:w="147"/>
        <w:gridCol w:w="109"/>
        <w:gridCol w:w="109"/>
        <w:gridCol w:w="109"/>
        <w:gridCol w:w="273"/>
        <w:gridCol w:w="1072"/>
        <w:gridCol w:w="199"/>
      </w:tblGrid>
      <w:tr>
        <w:trPr/>
        <w:tc>
          <w:tcPr>
            <w:tcW w:w="2069"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117,064 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99,551 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trade accounts receivable, net of advance 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138,486 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115,172 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There was one customer that represented 15% of accounts receivable as of September 30, 2025. For each of the three and nine months ended September 30, 2025 and 2024, no single customer accounted for more than 10% of our total revenue.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consisted of the following (in thousands): </w:t>
      </w:r>
    </w:p>
    <w:tbl>
      <w:tblPr>
        <w:tblW w:w="7193" w:type="dxa"/>
        <w:jc w:val="left"/>
        <w:tblInd w:w="0" w:type="dxa"/>
        <w:tblLayout w:type="fixed"/>
        <w:tblCellMar>
          <w:top w:w="28" w:type="dxa"/>
          <w:left w:w="28" w:type="dxa"/>
          <w:bottom w:w="28" w:type="dxa"/>
          <w:right w:w="28" w:type="dxa"/>
        </w:tblCellMar>
      </w:tblPr>
      <w:tblGrid>
        <w:gridCol w:w="1250"/>
        <w:gridCol w:w="1096"/>
        <w:gridCol w:w="1104"/>
        <w:gridCol w:w="109"/>
        <w:gridCol w:w="109"/>
        <w:gridCol w:w="109"/>
        <w:gridCol w:w="313"/>
        <w:gridCol w:w="1070"/>
        <w:gridCol w:w="161"/>
        <w:gridCol w:w="109"/>
        <w:gridCol w:w="109"/>
        <w:gridCol w:w="109"/>
        <w:gridCol w:w="300"/>
        <w:gridCol w:w="1026"/>
        <w:gridCol w:w="219"/>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consisted of the following (in thousands): </w:t>
      </w:r>
    </w:p>
    <w:tbl>
      <w:tblPr>
        <w:tblW w:w="7432" w:type="dxa"/>
        <w:jc w:val="left"/>
        <w:tblInd w:w="0" w:type="dxa"/>
        <w:tblLayout w:type="fixed"/>
        <w:tblCellMar>
          <w:top w:w="28" w:type="dxa"/>
          <w:left w:w="28" w:type="dxa"/>
          <w:bottom w:w="28" w:type="dxa"/>
          <w:right w:w="28" w:type="dxa"/>
        </w:tblCellMar>
      </w:tblPr>
      <w:tblGrid>
        <w:gridCol w:w="1336"/>
        <w:gridCol w:w="1173"/>
        <w:gridCol w:w="1180"/>
        <w:gridCol w:w="109"/>
        <w:gridCol w:w="109"/>
        <w:gridCol w:w="109"/>
        <w:gridCol w:w="284"/>
        <w:gridCol w:w="1114"/>
        <w:gridCol w:w="147"/>
        <w:gridCol w:w="109"/>
        <w:gridCol w:w="109"/>
        <w:gridCol w:w="109"/>
        <w:gridCol w:w="273"/>
        <w:gridCol w:w="1072"/>
        <w:gridCol w:w="199"/>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network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173,671 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340,163 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301,329 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(175,858)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164,305 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144,888 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associated with property and equipment was $12.3 million and $33.9 million for the three and nine months ended September 30, 2025, respectively. Depreciation and amortization expense associated with property and equipment was $9.9 million and $29.8 million for the three and nine months ended September 30, 2024, respectively. During the three and nine months ended September 30, 2025, the Company recorded impairment charges of property and equipment in the amount of $0.0 million and $0.8 million, respectively.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consisted of the following (in thousands): </w:t>
      </w:r>
    </w:p>
    <w:tbl>
      <w:tblPr>
        <w:tblW w:w="7703" w:type="dxa"/>
        <w:jc w:val="left"/>
        <w:tblInd w:w="0" w:type="dxa"/>
        <w:tblLayout w:type="fixed"/>
        <w:tblCellMar>
          <w:top w:w="28" w:type="dxa"/>
          <w:left w:w="28" w:type="dxa"/>
          <w:bottom w:w="28" w:type="dxa"/>
          <w:right w:w="28" w:type="dxa"/>
        </w:tblCellMar>
      </w:tblPr>
      <w:tblGrid>
        <w:gridCol w:w="1431"/>
        <w:gridCol w:w="1257"/>
        <w:gridCol w:w="1272"/>
        <w:gridCol w:w="109"/>
        <w:gridCol w:w="109"/>
        <w:gridCol w:w="109"/>
        <w:gridCol w:w="313"/>
        <w:gridCol w:w="1070"/>
        <w:gridCol w:w="161"/>
        <w:gridCol w:w="109"/>
        <w:gridCol w:w="109"/>
        <w:gridCol w:w="109"/>
        <w:gridCol w:w="300"/>
        <w:gridCol w:w="1026"/>
        <w:gridCol w:w="219"/>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 in a privately-held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Accrued and other current liabilities consisted of the following (in thousands): </w:t>
      </w:r>
    </w:p>
    <w:tbl>
      <w:tblPr>
        <w:tblW w:w="6787" w:type="dxa"/>
        <w:jc w:val="left"/>
        <w:tblInd w:w="0" w:type="dxa"/>
        <w:tblLayout w:type="fixed"/>
        <w:tblCellMar>
          <w:top w:w="28" w:type="dxa"/>
          <w:left w:w="28" w:type="dxa"/>
          <w:bottom w:w="28" w:type="dxa"/>
          <w:right w:w="28" w:type="dxa"/>
        </w:tblCellMar>
      </w:tblPr>
      <w:tblGrid>
        <w:gridCol w:w="1103"/>
        <w:gridCol w:w="967"/>
        <w:gridCol w:w="974"/>
        <w:gridCol w:w="109"/>
        <w:gridCol w:w="109"/>
        <w:gridCol w:w="109"/>
        <w:gridCol w:w="313"/>
        <w:gridCol w:w="1070"/>
        <w:gridCol w:w="161"/>
        <w:gridCol w:w="109"/>
        <w:gridCol w:w="109"/>
        <w:gridCol w:w="109"/>
        <w:gridCol w:w="300"/>
        <w:gridCol w:w="1026"/>
        <w:gridCol w:w="219"/>
      </w:tblGrid>
      <w:tr>
        <w:trPr/>
        <w:tc>
          <w:tcPr>
            <w:tcW w:w="1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federal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80,568 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83,720 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Other long-term liabilities consisted of the following (in thousands): </w:t>
      </w:r>
    </w:p>
    <w:tbl>
      <w:tblPr>
        <w:tblW w:w="5651" w:type="dxa"/>
        <w:jc w:val="left"/>
        <w:tblInd w:w="0" w:type="dxa"/>
        <w:tblLayout w:type="fixed"/>
        <w:tblCellMar>
          <w:top w:w="28" w:type="dxa"/>
          <w:left w:w="28" w:type="dxa"/>
          <w:bottom w:w="28" w:type="dxa"/>
          <w:right w:w="28" w:type="dxa"/>
        </w:tblCellMar>
      </w:tblPr>
      <w:tblGrid>
        <w:gridCol w:w="811"/>
        <w:gridCol w:w="710"/>
        <w:gridCol w:w="714"/>
        <w:gridCol w:w="348"/>
        <w:gridCol w:w="1017"/>
        <w:gridCol w:w="180"/>
        <w:gridCol w:w="109"/>
        <w:gridCol w:w="109"/>
        <w:gridCol w:w="109"/>
        <w:gridCol w:w="332"/>
        <w:gridCol w:w="970"/>
        <w:gridCol w:w="242"/>
      </w:tblGrid>
      <w:tr>
        <w:trPr/>
        <w:tc>
          <w:tcPr>
            <w:tcW w:w="8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 liabilities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5. Goodwill and Intangible Assets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activity in the Company's goodwill and intangible asset balances during the nine months ended September 30, 2025 (in thousands): </w:t>
      </w:r>
    </w:p>
    <w:tbl>
      <w:tblPr>
        <w:tblW w:w="7132" w:type="dxa"/>
        <w:jc w:val="left"/>
        <w:tblInd w:w="0" w:type="dxa"/>
        <w:tblLayout w:type="fixed"/>
        <w:tblCellMar>
          <w:top w:w="28" w:type="dxa"/>
          <w:left w:w="28" w:type="dxa"/>
          <w:bottom w:w="28" w:type="dxa"/>
          <w:right w:w="28" w:type="dxa"/>
        </w:tblCellMar>
      </w:tblPr>
      <w:tblGrid>
        <w:gridCol w:w="1358"/>
        <w:gridCol w:w="1192"/>
        <w:gridCol w:w="1200"/>
        <w:gridCol w:w="109"/>
        <w:gridCol w:w="109"/>
        <w:gridCol w:w="109"/>
        <w:gridCol w:w="211"/>
        <w:gridCol w:w="826"/>
        <w:gridCol w:w="109"/>
        <w:gridCol w:w="109"/>
        <w:gridCol w:w="109"/>
        <w:gridCol w:w="109"/>
        <w:gridCol w:w="267"/>
        <w:gridCol w:w="914"/>
        <w:gridCol w:w="138"/>
        <w:gridCol w:w="109"/>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the period,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65,632 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Measurement period adjustment (Acqueon)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 of the period,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intangible assets were as follows (in thousands): </w:t>
      </w:r>
    </w:p>
    <w:tbl>
      <w:tblPr>
        <w:tblW w:w="11960" w:type="dxa"/>
        <w:jc w:val="left"/>
        <w:tblInd w:w="0" w:type="dxa"/>
        <w:tblLayout w:type="fixed"/>
        <w:tblCellMar>
          <w:top w:w="28" w:type="dxa"/>
          <w:left w:w="28" w:type="dxa"/>
          <w:bottom w:w="28" w:type="dxa"/>
          <w:right w:w="28" w:type="dxa"/>
        </w:tblCellMar>
      </w:tblPr>
      <w:tblGrid>
        <w:gridCol w:w="416"/>
        <w:gridCol w:w="287"/>
        <w:gridCol w:w="288"/>
        <w:gridCol w:w="109"/>
        <w:gridCol w:w="109"/>
        <w:gridCol w:w="109"/>
        <w:gridCol w:w="196"/>
        <w:gridCol w:w="736"/>
        <w:gridCol w:w="109"/>
        <w:gridCol w:w="109"/>
        <w:gridCol w:w="109"/>
        <w:gridCol w:w="109"/>
        <w:gridCol w:w="219"/>
        <w:gridCol w:w="739"/>
        <w:gridCol w:w="123"/>
        <w:gridCol w:w="109"/>
        <w:gridCol w:w="109"/>
        <w:gridCol w:w="109"/>
        <w:gridCol w:w="196"/>
        <w:gridCol w:w="646"/>
        <w:gridCol w:w="109"/>
        <w:gridCol w:w="109"/>
        <w:gridCol w:w="109"/>
        <w:gridCol w:w="109"/>
        <w:gridCol w:w="360"/>
        <w:gridCol w:w="360"/>
        <w:gridCol w:w="361"/>
        <w:gridCol w:w="109"/>
        <w:gridCol w:w="109"/>
        <w:gridCol w:w="109"/>
        <w:gridCol w:w="196"/>
        <w:gridCol w:w="736"/>
        <w:gridCol w:w="109"/>
        <w:gridCol w:w="109"/>
        <w:gridCol w:w="109"/>
        <w:gridCol w:w="109"/>
        <w:gridCol w:w="219"/>
        <w:gridCol w:w="739"/>
        <w:gridCol w:w="123"/>
        <w:gridCol w:w="109"/>
        <w:gridCol w:w="109"/>
        <w:gridCol w:w="109"/>
        <w:gridCol w:w="196"/>
        <w:gridCol w:w="646"/>
        <w:gridCol w:w="109"/>
        <w:gridCol w:w="109"/>
        <w:gridCol w:w="109"/>
        <w:gridCol w:w="109"/>
        <w:gridCol w:w="329"/>
        <w:gridCol w:w="329"/>
        <w:gridCol w:w="468"/>
      </w:tblGrid>
      <w:tr>
        <w:trPr/>
        <w:tc>
          <w:tcPr>
            <w:tcW w:w="4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Amortization period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Amortization period (Years)</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(60,055)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(51,230)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Acquired workforce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(65,730)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(54,702)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related to intangible assets was $3.5 million and $11.0 million for the three and nine months ended September 30, 2025, respectively. Amortization expense related to intangible assets was $3.2 million and $8.5 million for the three and nine months ended September 30, 2024, respectively.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expected future amortization expense for intangible assets was as follows (in thousands): </w:t>
      </w:r>
    </w:p>
    <w:tbl>
      <w:tblPr>
        <w:tblW w:w="4811" w:type="dxa"/>
        <w:jc w:val="left"/>
        <w:tblInd w:w="0" w:type="dxa"/>
        <w:tblLayout w:type="fixed"/>
        <w:tblCellMar>
          <w:top w:w="28" w:type="dxa"/>
          <w:left w:w="28" w:type="dxa"/>
          <w:bottom w:w="28" w:type="dxa"/>
          <w:right w:w="28" w:type="dxa"/>
        </w:tblCellMar>
      </w:tblPr>
      <w:tblGrid>
        <w:gridCol w:w="535"/>
        <w:gridCol w:w="471"/>
        <w:gridCol w:w="478"/>
        <w:gridCol w:w="109"/>
        <w:gridCol w:w="109"/>
        <w:gridCol w:w="109"/>
        <w:gridCol w:w="581"/>
        <w:gridCol w:w="1990"/>
        <w:gridCol w:w="429"/>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Expected Future Amortization Expense</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13,008 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8,612 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13,971 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54,604 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6. Debt </w:t>
      </w:r>
    </w:p>
    <w:p>
      <w:pPr>
        <w:pStyle w:val="TextBody"/>
        <w:bidi w:val="0"/>
        <w:spacing w:lineRule="auto" w:line="268" w:before="120" w:after="283"/>
        <w:jc w:val="both"/>
        <w:rPr>
          <w:rFonts w:ascii="Times New Roman;serif" w:hAnsi="Times New Roman;serif"/>
          <w:b/>
          <w:color w:val="000000"/>
          <w:sz w:val="20"/>
        </w:rPr>
      </w:pPr>
      <w:r>
        <w:rPr>
          <w:rFonts w:ascii="Times New Roman;serif" w:hAnsi="Times New Roman;serif"/>
          <w:b/>
          <w:color w:val="000000"/>
          <w:sz w:val="20"/>
        </w:rPr>
        <w:t xml:space="preserve">Repurchase Transaction </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2029 convertible senior notes on March 1, 2024, the Company used part of the net proceeds from the issuance to repurchase approximately $313.1 million aggregate principal amount of the outstanding 2025 convertible senior notes in privately-negotiated transactions for aggregate cash consideration of approximately $304.9 million (the “Repurchase Transaction”). </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Repurchase Transaction was accounted for as a debt extinguishment. The difference between the consideration used to extinguish the 2025 convertible senior notes and the carrying value of the 2025 convertible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both"/>
        <w:rPr/>
      </w:pPr>
      <w:r>
        <w:rPr>
          <w:rFonts w:ascii="Times New Roman;serif" w:hAnsi="Times New Roman;serif"/>
          <w:b w:val="false"/>
          <w:color w:val="000000"/>
          <w:sz w:val="20"/>
        </w:rPr>
        <w:t>senior notes (including unamortized debt discount and issuance costs) resulted in an extinguishment gain of approximately $6.6 million recorded in Other income (expense), net on the Company’s condensed consolidated statements of operations and comprehensive income (loss).</w:t>
      </w:r>
      <w:r>
        <w:rPr>
          <w:color w:val="000000"/>
        </w:rPr>
        <w:t xml:space="preserve"> </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Repurchase Transaction, the Company also entered into a partial termination agreement with each bank counterparty and unwound a corresponding portion of the previously purchased capped call instruments entered into in connection with the issuance of the 2025 convertible senior notes (the “2025 Capped Calls”). The Company received approximately $0.5 million in cash in connection with these partial terminations, representing the fair value at the date of settlement of the unwound 2025 Capped Calls. </w:t>
      </w:r>
    </w:p>
    <w:p>
      <w:pPr>
        <w:pStyle w:val="TextBody"/>
        <w:bidi w:val="0"/>
        <w:spacing w:lineRule="auto" w:line="268" w:before="120" w:after="283"/>
        <w:jc w:val="left"/>
        <w:rPr/>
      </w:pPr>
      <w:r>
        <w:rPr>
          <w:rFonts w:ascii="Times New Roman;serif" w:hAnsi="Times New Roman;serif"/>
          <w:b/>
          <w:color w:val="000000"/>
          <w:sz w:val="20"/>
        </w:rPr>
        <w:t>2029 Convertible Senior Notes and Related Capped Call Transactions</w:t>
      </w:r>
      <w:r>
        <w:rPr>
          <w:color w:val="000000"/>
        </w:rPr>
        <w:t xml:space="preserve">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2024, the Company issued $747.5 million aggregate principal amount of 2029 convertible senior notes in a private offering, which aggregate principal amount included the exercise in full of the initial purchasers’ option to purchase up to an additional $97.5 million principal amount of the 2029 convertible senior notes. The 2029 convertible senior notes mature on March 15, 2029 and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estimated debt issuance costs, were approximately $728.8 million.</w:t>
      </w:r>
    </w:p>
    <w:p>
      <w:pPr>
        <w:pStyle w:val="TextBody"/>
        <w:bidi w:val="0"/>
        <w:spacing w:lineRule="auto" w:line="268" w:before="120" w:after="283"/>
        <w:ind w:left="0" w:right="0" w:firstLine="540"/>
        <w:jc w:val="both"/>
        <w:rPr/>
      </w:pPr>
      <w:r>
        <w:rPr>
          <w:rFonts w:ascii="Times New Roman;serif" w:hAnsi="Times New Roman;serif"/>
          <w:b w:val="false"/>
          <w:color w:val="000000"/>
          <w:sz w:val="20"/>
        </w:rPr>
        <w:t>Each $1,000 principal amount of the 2029 convertible senior notes is initially convertible into 12.5918 shares of the Company’s common stock (the “2029 Conversion Option”), which is equivalent to an initial conversion price of approximately $79.42 per share of common stock, subject to adjustment upon the occurrence of specified events.</w:t>
      </w:r>
      <w:r>
        <w:rPr>
          <w:color w:val="000000"/>
        </w:rPr>
        <w:t xml:space="preserve"> </w:t>
      </w:r>
      <w:r>
        <w:rPr>
          <w:rFonts w:ascii="Times New Roman;serif" w:hAnsi="Times New Roman;serif"/>
          <w:b w:val="false"/>
          <w:color w:val="000000"/>
          <w:sz w:val="20"/>
        </w:rPr>
        <w:t xml:space="preserve">The initial conversion price represents a premium of approximately 30% to the $61.09 per share closing price of the Company’s common stock on The Nasdaq Global Market on February 27, 2024. There have been no changes to the initial conversion price of the 2029 convertible senior notes since issuance. The 2029 convertible senior notes are convertible, in multiples of $1,000 principal amount, at the option of the holders prior to the close of business on the business day immediately preceding December 15, 2028, only under the following circumstances: (1) during any calendar quarter commencing after the calendar quarter ending on June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“2029 Measurement Period”) in which the trading price (as defined in the 2029 Indenture governing the 2029 convertible senior notes) per $1,000 principal amount of the 2029 convertible senior notes for each trading day of the 2029 Measurement Period was less than 98% of the product of the last reported sale price of the Company’s common stock and the conversion rate in effect on each such trading day; (3) if the Company calls any or all of the 2029 convertible senior notes for redemption, at any time prior to the close of business on the second scheduled trading day immediately preceding the redemption date; or (4) upon the occurrence of specified corporate events. On or after December 15, 2028 until the close of business on the second scheduled trading day immediately preceding the maturity date, holders may convert all or any portion of their 2029 convertible senior notes, in multiples of $1,000 principal amount, at the option of the holder regardless of the foregoing circumstances.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Upon conversion, the Company will pay or deliver, as the case may be, cash, shares of the Company’s common stock or a combination of cash and shares of the Company’s common stock, at the Company’s election. If the Company undergoes a fundamental change (as defined in the indenture governing the 2029 convertible senior notes), subject to certain conditions, holders may require the Company to repurchase for cash all or any portion of their 2029 convertible senior notes, in principal amounts of $1,000 or a multiple thereof, at a fundamental change repurchase price equal to 100% of the principal amount of the 2029 convertible senior notes to be repurchased, plus accrued and unpaid interest, if any, to, but excluding, the fundamental change repurchase date. In addition, following certain corporate events or if the Company issues a notice of redemption, it will, under certain circumstances, increase the conversion rate for holders who elect to convert their notes in connection with such corporate event or during the relevant redemption period.</w:t>
      </w:r>
    </w:p>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closing market price of the Company's common stock of $24.20 per share on September 30, 2025, the last trading day during the three months ended September 30, 2025, was below $103.24 per share, which represents 130% of the initial conversion price of $79.42 per share. Additionally, the last reported sale price of the Company’s common stock for at least 20 trading days (whether or not consecutive) during a period of 30 consecutive trading days ending on, and including, the last trading day, September 30, 2025, was not greater than or equal to 130% of the initial conversion price. As such, during the three months ended September 30, 2025, the conditions allowing holders of the 2029 convertible senior notes to convert were not met. The 2029 convertible senior notes are therefore not convertible during the three months ending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ind w:left="0" w:right="0" w:firstLine="540"/>
        <w:jc w:val="both"/>
        <w:rPr/>
      </w:pPr>
      <w:r>
        <w:rPr>
          <w:rFonts w:ascii="Times New Roman;serif" w:hAnsi="Times New Roman;serif"/>
          <w:b w:val="false"/>
          <w:color w:val="000000"/>
          <w:sz w:val="20"/>
        </w:rPr>
        <w:t>The Company may not redeem the 2029 convertible senior notes prior to March 22, 2027. The Company may redeem for cash all or any portion of the 2029 convertible senior notes, at its option, on or after March 22, 2027 and prior to December 15, 2028, if the last reported sale price of its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2029 convertible senior notes to be redeemed, plus accrued and unpaid interest, if any, to, but excluding, the redemption date. However, the Company may not redeem less than all of the outstanding 2029 convertible senior notes unless at least $100.0 million aggregate principal amount of 2029 convertible senior notes are outstanding and not called for redemption at the time the redemption notice is sent. No sinking fund is provided for the 2029 convertible senior notes.</w:t>
      </w:r>
      <w:r>
        <w:rPr>
          <w:color w:val="000000"/>
        </w:rPr>
        <w:t xml:space="preserve">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2029 convertible senior notes are the Company’s senior unsecured obligations and rank senior in right of payment to any of the Company’s indebtedness that is expressly subordinated in right of payment to the 2029 convertible senior notes; equal in right of payment to any of the Company’s unsecured indebtedness that is not so subordinated (including the 2025 convertible senior notes); effectively junior in right of payment to any of the Company’s secured indebtedness to the extent of the value of the assets securing such indebtedness; and structurally junior to all indebtedness and other liabilities.</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2029 convertible senior notes was as follows (in thousands):</w:t>
      </w:r>
    </w:p>
    <w:tbl>
      <w:tblPr>
        <w:tblW w:w="6098" w:type="dxa"/>
        <w:jc w:val="left"/>
        <w:tblInd w:w="0" w:type="dxa"/>
        <w:tblLayout w:type="fixed"/>
        <w:tblCellMar>
          <w:top w:w="28" w:type="dxa"/>
          <w:left w:w="28" w:type="dxa"/>
          <w:bottom w:w="28" w:type="dxa"/>
          <w:right w:w="28" w:type="dxa"/>
        </w:tblCellMar>
      </w:tblPr>
      <w:tblGrid>
        <w:gridCol w:w="853"/>
        <w:gridCol w:w="748"/>
        <w:gridCol w:w="754"/>
        <w:gridCol w:w="109"/>
        <w:gridCol w:w="109"/>
        <w:gridCol w:w="109"/>
        <w:gridCol w:w="284"/>
        <w:gridCol w:w="1114"/>
        <w:gridCol w:w="147"/>
        <w:gridCol w:w="109"/>
        <w:gridCol w:w="109"/>
        <w:gridCol w:w="109"/>
        <w:gridCol w:w="273"/>
        <w:gridCol w:w="1072"/>
        <w:gridCol w:w="199"/>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747,500 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734,553 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731,855 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2029 convertible senior notes was as follows (in thousands):</w:t>
      </w:r>
    </w:p>
    <w:tbl>
      <w:tblPr>
        <w:tblW w:w="10128" w:type="dxa"/>
        <w:jc w:val="left"/>
        <w:tblInd w:w="0" w:type="dxa"/>
        <w:tblLayout w:type="fixed"/>
        <w:tblCellMar>
          <w:top w:w="28" w:type="dxa"/>
          <w:left w:w="28" w:type="dxa"/>
          <w:bottom w:w="28" w:type="dxa"/>
          <w:right w:w="28" w:type="dxa"/>
        </w:tblCellMar>
      </w:tblPr>
      <w:tblGrid>
        <w:gridCol w:w="939"/>
        <w:gridCol w:w="825"/>
        <w:gridCol w:w="831"/>
        <w:gridCol w:w="109"/>
        <w:gridCol w:w="109"/>
        <w:gridCol w:w="109"/>
        <w:gridCol w:w="348"/>
        <w:gridCol w:w="1017"/>
        <w:gridCol w:w="180"/>
        <w:gridCol w:w="109"/>
        <w:gridCol w:w="109"/>
        <w:gridCol w:w="109"/>
        <w:gridCol w:w="348"/>
        <w:gridCol w:w="1017"/>
        <w:gridCol w:w="180"/>
        <w:gridCol w:w="109"/>
        <w:gridCol w:w="109"/>
        <w:gridCol w:w="109"/>
        <w:gridCol w:w="348"/>
        <w:gridCol w:w="1017"/>
        <w:gridCol w:w="180"/>
        <w:gridCol w:w="109"/>
        <w:gridCol w:w="109"/>
        <w:gridCol w:w="109"/>
        <w:gridCol w:w="342"/>
        <w:gridCol w:w="999"/>
        <w:gridCol w:w="249"/>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debt issuance costs are amortized into interest expense over the term of the 2029 convertible senior notes at an effective interest rate of 1.49%.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2029 convertible senior notes, the Company entered into privately negotiated capped call transactions (each a “2029 Capped Call,” and collectively the "2029 Capped Calls") with certain financial institutions. The 2029 Capped Call has an initial strike price of approximately $79.42, subject to certain adjustments, which corresponds to the initial conversion price of the 2029 convertible senior notes. The 2029 Capped Calls have an initial cap price of $122.18 per share, subject to certain adjustments. The 2029 Capped Calls are expected to partially offset the potential dilution to the Company’s common stock upon any conversion of the 2029 convertible senior notes, with such offset subject to a cap based on the cap price. Each 2029 Capped Call covers, subject to anti-dilution adjustments, approximately 9.4 million shares of the Company’s common stock. The 2029 Capped Call is subject to adjustment upon the occurrence of specified extraordinary events affecting the Company, including merger events, tender offers, and announcement events. In addition, each 2029 Capped Call is subject to certain specified additional disruption events that may give rise to a termination of the 2029 Capped Calls, including nationalization, insolvency or delisting, changes in law, failures to deliver, insolvency filings, and hedging disruptions. For accounting purposes, each 2029 Capped Call is treated as a separate transaction from, and not part of the terms of the 2029 convertible senior notes. As these transactions meet certain accounting criteria, the 2029 Capped Calls are recorded in stockholders' equity and are not accounted for as derivatives. The 2029 Capped Calls will not be remeasured as long as they continue to meet the conditions for equity classification.</w:t>
      </w:r>
    </w:p>
    <w:p>
      <w:pPr>
        <w:pStyle w:val="TextBody"/>
        <w:bidi w:val="0"/>
        <w:spacing w:lineRule="auto" w:line="268" w:before="180" w:after="283"/>
        <w:jc w:val="left"/>
        <w:rPr>
          <w:rFonts w:ascii="Times New Roman;serif" w:hAnsi="Times New Roman;serif"/>
          <w:b/>
          <w:color w:val="000000"/>
          <w:sz w:val="20"/>
        </w:rPr>
      </w:pPr>
      <w:r>
        <w:rPr>
          <w:rFonts w:ascii="Times New Roman;serif" w:hAnsi="Times New Roman;serif"/>
          <w:b/>
          <w:color w:val="000000"/>
          <w:sz w:val="20"/>
        </w:rPr>
        <w:t xml:space="preserve">2025 Convertible Senior Notes and Related Capped Call Transactions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May and June 2020, the Company issued $747.5 million aggregate principal amount of 2025 convertible senior notes in a private offering, which aggregate principal amount included the exercise in full of the initial purchasers’ option to purchase up to an additional $97.5 million principal amount of the 2025 convertible senior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notes. The total net proceeds from the issuance of the 2025 convertible senior notes, after deducting initial purchasers' discounts and commissions and estimated debt issuance costs, were approximately $728.8 million.</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used part of the net proceeds from the issuance of the 2029 convertible senior notes to repurchase $313.1 million aggregate principal amount of the 2025 convertible senior notes in privately-negotiated transactions.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2025 convertible senior notes matured on June 1, 2025, and the Company settled its obligations with respect to the 2025 convertible senior notes in cash in connection therewith. Prior to maturity, the 2025 convertible senior notes bore interest at a fixed rate of 0.500% per annum, payable semiannually in arrears on June 1 and December 1 of each year. There were no changes to the 2025 convertible senior notes' initial conversion price of approximately $134.34 per share of common stock since the date of issuance.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net carrying amount of the 2025 convertible senior notes as of December 31, 2024 was $433.5 million. There were no 2025 convertible senior notes outstanding as of September 30, 2025. </w:t>
      </w:r>
    </w:p>
    <w:p>
      <w:pPr>
        <w:pStyle w:val="TextBody"/>
        <w:bidi w:val="0"/>
        <w:spacing w:lineRule="auto" w:line="276"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2025 convertible senior notes was as follows (in thousands):</w:t>
      </w:r>
    </w:p>
    <w:tbl>
      <w:tblPr>
        <w:tblW w:w="10128" w:type="dxa"/>
        <w:jc w:val="left"/>
        <w:tblInd w:w="0" w:type="dxa"/>
        <w:tblLayout w:type="fixed"/>
        <w:tblCellMar>
          <w:top w:w="28" w:type="dxa"/>
          <w:left w:w="28" w:type="dxa"/>
          <w:bottom w:w="28" w:type="dxa"/>
          <w:right w:w="28" w:type="dxa"/>
        </w:tblCellMar>
      </w:tblPr>
      <w:tblGrid>
        <w:gridCol w:w="939"/>
        <w:gridCol w:w="825"/>
        <w:gridCol w:w="831"/>
        <w:gridCol w:w="109"/>
        <w:gridCol w:w="109"/>
        <w:gridCol w:w="109"/>
        <w:gridCol w:w="449"/>
        <w:gridCol w:w="864"/>
        <w:gridCol w:w="232"/>
        <w:gridCol w:w="109"/>
        <w:gridCol w:w="109"/>
        <w:gridCol w:w="109"/>
        <w:gridCol w:w="348"/>
        <w:gridCol w:w="1017"/>
        <w:gridCol w:w="180"/>
        <w:gridCol w:w="109"/>
        <w:gridCol w:w="109"/>
        <w:gridCol w:w="109"/>
        <w:gridCol w:w="348"/>
        <w:gridCol w:w="1017"/>
        <w:gridCol w:w="180"/>
        <w:gridCol w:w="109"/>
        <w:gridCol w:w="109"/>
        <w:gridCol w:w="109"/>
        <w:gridCol w:w="342"/>
        <w:gridCol w:w="999"/>
        <w:gridCol w:w="249"/>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2025 convertible senior notes, the Company entered into privately negotiated capped call transactions (each a “2025 Capped Call,” and collectively the "2025 Capped Calls") with certain financial institutions. The 2025 Capped Calls each had an initial strike price of approximately $134.34, which corresponded to the initial conversion price of the 2025 convertible senior notes. In connection with the Repurchase Transaction, the Company unwound a portion of the 2025 Capped Calls. Refer to the Repurchase Transaction section above for further information. The remaining 2025 Capped Calls covered, subject to anti-dilution adjustments, approximately 3.2 million shares of the Company’s common stock. For accounting purposes, each 2025 Capped Call was a separate transaction from, and not part of the terms of the 2025 convertible senior notes. As these transactions met certain accounting criteria, the 2025 Capped Calls were recorded in stockholders' equity and were not accounted for as derivatives. Upon maturity, the outstanding 2025 Capped Calls associated with the 2025 convertible senior notes were settled with no consideration received since their strike prices were in excess of the Company's stock price at that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7. Stockholders’ Equity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Capital Structure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authorized to issue 450,000,000 shares of common stock with a par value of $0.001 per share. As of September 30, 2025 and December 31, 2024, the Company had 78,214,059 and 75,807,505 shares of common stock issued and outstanding, respectively.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authorized to designate and issue up to 5,000,000 shares of preferred stock with a par value of $0.001 per share in one or more series without stockholder approval and to fix the rights, preferences, privileges and restrictions thereof. As of September 30, 2025 and December 31, 2024, there were no shares of preferred stock issued and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Common Stock Reserved for Future Issuance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Shares of common stock reserved for future issuance related to outstanding equity awards and employee equity incentive plans as of September 30, 2025 were as follows (in thousands): </w:t>
      </w:r>
    </w:p>
    <w:tbl>
      <w:tblPr>
        <w:tblW w:w="5997" w:type="dxa"/>
        <w:jc w:val="left"/>
        <w:tblInd w:w="0" w:type="dxa"/>
        <w:tblLayout w:type="fixed"/>
        <w:tblCellMar>
          <w:top w:w="28" w:type="dxa"/>
          <w:left w:w="28" w:type="dxa"/>
          <w:bottom w:w="28" w:type="dxa"/>
          <w:right w:w="28" w:type="dxa"/>
        </w:tblCellMar>
      </w:tblPr>
      <w:tblGrid>
        <w:gridCol w:w="1478"/>
        <w:gridCol w:w="1299"/>
        <w:gridCol w:w="1303"/>
        <w:gridCol w:w="109"/>
        <w:gridCol w:w="109"/>
        <w:gridCol w:w="109"/>
        <w:gridCol w:w="465"/>
        <w:gridCol w:w="465"/>
        <w:gridCol w:w="660"/>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(including PRSUs)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grant under 2014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issuance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w:t>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reserved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24,085</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450"/>
        <w:jc w:val="left"/>
        <w:rPr>
          <w:rFonts w:ascii="Times New Roman;serif" w:hAnsi="Times New Roman;serif"/>
          <w:b/>
          <w:i/>
          <w:color w:val="000000"/>
          <w:sz w:val="20"/>
        </w:rPr>
      </w:pPr>
      <w:r>
        <w:rPr>
          <w:rFonts w:ascii="Times New Roman;serif" w:hAnsi="Times New Roman;serif"/>
          <w:b/>
          <w:i/>
          <w:color w:val="000000"/>
          <w:sz w:val="20"/>
        </w:rPr>
        <w:t xml:space="preserve">Stock Options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the Company’s stock option activity during the nine months ended September 30, 2025 is as follows (in thousands, except per share data): </w:t>
      </w:r>
    </w:p>
    <w:tbl>
      <w:tblPr>
        <w:tblW w:w="8354" w:type="dxa"/>
        <w:jc w:val="left"/>
        <w:tblInd w:w="0" w:type="dxa"/>
        <w:tblLayout w:type="fixed"/>
        <w:tblCellMar>
          <w:top w:w="28" w:type="dxa"/>
          <w:left w:w="28" w:type="dxa"/>
          <w:bottom w:w="28" w:type="dxa"/>
          <w:right w:w="28" w:type="dxa"/>
        </w:tblCellMar>
      </w:tblPr>
      <w:tblGrid>
        <w:gridCol w:w="1163"/>
        <w:gridCol w:w="1022"/>
        <w:gridCol w:w="1024"/>
        <w:gridCol w:w="109"/>
        <w:gridCol w:w="109"/>
        <w:gridCol w:w="109"/>
        <w:gridCol w:w="309"/>
        <w:gridCol w:w="309"/>
        <w:gridCol w:w="311"/>
        <w:gridCol w:w="109"/>
        <w:gridCol w:w="109"/>
        <w:gridCol w:w="109"/>
        <w:gridCol w:w="211"/>
        <w:gridCol w:w="616"/>
        <w:gridCol w:w="109"/>
        <w:gridCol w:w="109"/>
        <w:gridCol w:w="109"/>
        <w:gridCol w:w="109"/>
        <w:gridCol w:w="330"/>
        <w:gridCol w:w="330"/>
        <w:gridCol w:w="331"/>
        <w:gridCol w:w="109"/>
        <w:gridCol w:w="109"/>
        <w:gridCol w:w="109"/>
        <w:gridCol w:w="211"/>
        <w:gridCol w:w="61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Intrinsic</w:t>
              <w:br/>
              <w:t>Value</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Options granted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amounts are computed based on the difference between the exercise price of the stock options and the fair market value of the Company’s common stock of $24.20 per share as of September 30, 2025 for all in-the-money stock options outstanding.</w:t>
      </w:r>
    </w:p>
    <w:p>
      <w:pPr>
        <w:pStyle w:val="TextBody"/>
        <w:bidi w:val="0"/>
        <w:spacing w:lineRule="auto" w:line="288" w:before="240" w:after="283"/>
        <w:ind w:left="0" w:right="0" w:hanging="450"/>
        <w:jc w:val="left"/>
        <w:rPr>
          <w:rFonts w:ascii="Times New Roman;serif" w:hAnsi="Times New Roman;serif"/>
          <w:b/>
          <w:i/>
          <w:color w:val="000000"/>
          <w:sz w:val="20"/>
        </w:rPr>
      </w:pPr>
      <w:r>
        <w:rPr>
          <w:rFonts w:ascii="Times New Roman;serif" w:hAnsi="Times New Roman;serif"/>
          <w:b/>
          <w:i/>
          <w:color w:val="000000"/>
          <w:sz w:val="20"/>
        </w:rPr>
        <w:t>Restricted Stock Units (including PRSUs)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summary of the Company’s restricted stock unit ("RSU") activity, including PRSUs, during the nine months ended September 30, 2025 is as follows (in thousands, except per share data):     </w:t>
      </w:r>
    </w:p>
    <w:tbl>
      <w:tblPr>
        <w:tblW w:w="9247" w:type="dxa"/>
        <w:jc w:val="left"/>
        <w:tblInd w:w="0" w:type="dxa"/>
        <w:tblLayout w:type="fixed"/>
        <w:tblCellMar>
          <w:top w:w="28" w:type="dxa"/>
          <w:left w:w="28" w:type="dxa"/>
          <w:bottom w:w="28" w:type="dxa"/>
          <w:right w:w="28" w:type="dxa"/>
        </w:tblCellMar>
      </w:tblPr>
      <w:tblGrid>
        <w:gridCol w:w="1163"/>
        <w:gridCol w:w="1022"/>
        <w:gridCol w:w="1024"/>
        <w:gridCol w:w="109"/>
        <w:gridCol w:w="109"/>
        <w:gridCol w:w="109"/>
        <w:gridCol w:w="469"/>
        <w:gridCol w:w="469"/>
        <w:gridCol w:w="471"/>
        <w:gridCol w:w="109"/>
        <w:gridCol w:w="109"/>
        <w:gridCol w:w="109"/>
        <w:gridCol w:w="855"/>
        <w:gridCol w:w="2496"/>
        <w:gridCol w:w="62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RSUs granted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 and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 or 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495"/>
        <w:jc w:val="left"/>
        <w:rPr>
          <w:rFonts w:ascii="Times New Roman;serif" w:hAnsi="Times New Roman;serif"/>
          <w:b w:val="false"/>
          <w:color w:val="000000"/>
          <w:sz w:val="16"/>
        </w:rPr>
      </w:pPr>
      <w:r>
        <w:rPr>
          <w:rFonts w:ascii="Times New Roman;serif" w:hAnsi="Times New Roman;serif"/>
          <w:b w:val="false"/>
          <w:color w:val="000000"/>
          <w:sz w:val="16"/>
        </w:rPr>
        <w:t xml:space="preserve">(1) Includes 324,165 PRSUs granted during the nine months ended September 30, 2025.      </w:t>
      </w:r>
    </w:p>
    <w:p>
      <w:pPr>
        <w:pStyle w:val="TextBody"/>
        <w:bidi w:val="0"/>
        <w:spacing w:lineRule="auto" w:line="268" w:before="120" w:after="283"/>
        <w:ind w:left="0" w:right="0" w:firstLine="450"/>
        <w:jc w:val="both"/>
        <w:rPr/>
      </w:pPr>
      <w:r>
        <w:rPr>
          <w:rFonts w:ascii="Times New Roman;serif" w:hAnsi="Times New Roman;serif"/>
          <w:b w:val="false"/>
          <w:i/>
          <w:color w:val="000000"/>
          <w:sz w:val="20"/>
          <w:u w:val="single"/>
        </w:rPr>
        <w:t>PRSUs with Market Conditions</w:t>
      </w:r>
      <w:r>
        <w:rPr>
          <w:color w:val="000000"/>
        </w:rPr>
        <w:t xml:space="preserve"> </w:t>
      </w:r>
      <w:r>
        <w:rPr>
          <w:rFonts w:ascii="Times New Roman;serif" w:hAnsi="Times New Roman;serif"/>
          <w:b w:val="false"/>
          <w:color w:val="000000"/>
          <w:sz w:val="20"/>
        </w:rPr>
        <w:t xml:space="preserve">During the nine months ended September 30, 2025, the Company granted 324,165 market-based PRSUs with a grant date fair value of $15.0 million. The amount that may be earned pursuant to the market-based PRSUs ranges from 0% to 200% of the target number based on the Company’s relative total shareholder return (“RTSR”) performance during the 2025-2027 performance period as compared to the performance during such period of companies in the S&amp;P Software and Services Select Index on January 1, 2025. The 2025-2027 performance period contains three overlapping measurement periods—a one-year period (2025), a two-year period (2025–2026), and a three-year period (2025–2027). One-third of the total market-based PRSUs may be earned and settled in shares following the end of each measurement period based on RTSR performance and subject to continued employment through the payment date. If the Company’s absolute total shareholder return for any measurement period is negative, then no more than 100% of the target amount of market-based PRSUs for such period may be earned. If an executive's employment with the Company terminates before the end of the final one-year performance period due to death or disability, 100% (if due to death) or 50% (if due to disability)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unvested market-based PRSUs may be earned subject to ultimate RTSR performance in each remaining performance period. Upon a qualifying termination of employment in connection with a change in control of the Company, the unvested market-based PRSUs subject to the 2023-2025 performance period, the 2024-2026 performance period and the 2025-2027 performance period will vest on a double-trigger basis (i) at the target level for the uncompleted portions of the performance periods and (ii) at the actual level of performance measured through the date of the change in control of the Company, based on the price per share paid in such change in control. The fair value of the market-based PRSUs is determined on their grant date using a Monte Carlo Simulation model based upon assumptions presented below. The Company recognizes the fair value of the market-based PRSUs ratably over their requisite service period.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2025, the Company certified the performance results for the 2024 measurement period for the market-based PRSUs subject to the 2022-2024 performance period, the 2023-2025 performance period and the 2024-2026 performance period. The Company determined that its actual total shareholder return was (47.25)% for 2024. The Company's relative total shareholder return ranking for the market-based PRSUs subject to the 2022-2024 performance period was in the 3.7 percentile relative to companies in the S&amp;P Software &amp; Services Select Index on January 1, 2022, which resulted in a payout percentage of 0.00% of target for the 2024 measurement for such PRSUs. The Company's relative total shareholder return ranking for the market-based PRSUs subject to the 2023-2025 performance period was in the 2.9 percentile relative to companies in the S&amp;P Software &amp; Services Select Index on January 1, 2023, which resulted in a payout percentage of 0.00% of target for the 2024 measurement period for such PRSUs. The Company's relative total shareholder return ranking for the market-based PRSUs subject to the 2024-2026 performance period was in the 1.5 percentile relative to companies in the S&amp;P Software &amp; Services Select Index on January 1, 2024, which resulted in a payout percentage of 0.00% of target for the 2024 measurement period for such PRSUs.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Stock-Based Compensation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was as follows (in thousands): </w:t>
      </w:r>
    </w:p>
    <w:tbl>
      <w:tblPr>
        <w:tblW w:w="10205" w:type="dxa"/>
        <w:jc w:val="left"/>
        <w:tblInd w:w="0" w:type="dxa"/>
        <w:tblLayout w:type="fixed"/>
        <w:tblCellMar>
          <w:top w:w="28" w:type="dxa"/>
          <w:left w:w="28" w:type="dxa"/>
          <w:bottom w:w="28" w:type="dxa"/>
          <w:right w:w="28" w:type="dxa"/>
        </w:tblCellMar>
      </w:tblPr>
      <w:tblGrid>
        <w:gridCol w:w="1122"/>
        <w:gridCol w:w="969"/>
        <w:gridCol w:w="935"/>
        <w:gridCol w:w="109"/>
        <w:gridCol w:w="109"/>
        <w:gridCol w:w="109"/>
        <w:gridCol w:w="293"/>
        <w:gridCol w:w="1001"/>
        <w:gridCol w:w="150"/>
        <w:gridCol w:w="109"/>
        <w:gridCol w:w="109"/>
        <w:gridCol w:w="109"/>
        <w:gridCol w:w="293"/>
        <w:gridCol w:w="1001"/>
        <w:gridCol w:w="150"/>
        <w:gridCol w:w="109"/>
        <w:gridCol w:w="109"/>
        <w:gridCol w:w="109"/>
        <w:gridCol w:w="269"/>
        <w:gridCol w:w="1057"/>
        <w:gridCol w:w="139"/>
        <w:gridCol w:w="109"/>
        <w:gridCol w:w="109"/>
        <w:gridCol w:w="109"/>
        <w:gridCol w:w="267"/>
        <w:gridCol w:w="1048"/>
        <w:gridCol w:w="203"/>
      </w:tblGrid>
      <w:tr>
        <w:trPr/>
        <w:tc>
          <w:tcPr>
            <w:tcW w:w="112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127,872 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unrecognized stock-based compensation expense by award type and expected weighted-average recognition periods are summarized in the following table (in thousands, except years).</w:t>
      </w:r>
    </w:p>
    <w:tbl>
      <w:tblPr>
        <w:tblW w:w="9894" w:type="dxa"/>
        <w:jc w:val="left"/>
        <w:tblInd w:w="0" w:type="dxa"/>
        <w:tblLayout w:type="fixed"/>
        <w:tblCellMar>
          <w:top w:w="28" w:type="dxa"/>
          <w:left w:w="28" w:type="dxa"/>
          <w:bottom w:w="28" w:type="dxa"/>
          <w:right w:w="28" w:type="dxa"/>
        </w:tblCellMar>
      </w:tblPr>
      <w:tblGrid>
        <w:gridCol w:w="1506"/>
        <w:gridCol w:w="1321"/>
        <w:gridCol w:w="1328"/>
        <w:gridCol w:w="109"/>
        <w:gridCol w:w="109"/>
        <w:gridCol w:w="109"/>
        <w:gridCol w:w="286"/>
        <w:gridCol w:w="632"/>
        <w:gridCol w:w="147"/>
        <w:gridCol w:w="109"/>
        <w:gridCol w:w="109"/>
        <w:gridCol w:w="109"/>
        <w:gridCol w:w="268"/>
        <w:gridCol w:w="1049"/>
        <w:gridCol w:w="138"/>
        <w:gridCol w:w="109"/>
        <w:gridCol w:w="109"/>
        <w:gridCol w:w="109"/>
        <w:gridCol w:w="211"/>
        <w:gridCol w:w="721"/>
        <w:gridCol w:w="109"/>
        <w:gridCol w:w="109"/>
        <w:gridCol w:w="109"/>
        <w:gridCol w:w="109"/>
        <w:gridCol w:w="221"/>
        <w:gridCol w:w="488"/>
        <w:gridCol w:w="161"/>
      </w:tblGrid>
      <w:tr>
        <w:trPr/>
        <w:tc>
          <w:tcPr>
            <w:tcW w:w="150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RSU </w:t>
              <w:br/>
              <w:t>(excluding PRSUs)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ESPP</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247,832 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amortization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years</w:t>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weighted-average assumptions used to value PRSUs with market conditions granted during the periods presented were as follows: </w:t>
      </w:r>
    </w:p>
    <w:tbl>
      <w:tblPr>
        <w:tblW w:w="9859" w:type="dxa"/>
        <w:jc w:val="left"/>
        <w:tblInd w:w="0" w:type="dxa"/>
        <w:tblLayout w:type="fixed"/>
        <w:tblCellMar>
          <w:top w:w="28" w:type="dxa"/>
          <w:left w:w="28" w:type="dxa"/>
          <w:bottom w:w="28" w:type="dxa"/>
          <w:right w:w="28" w:type="dxa"/>
        </w:tblCellMar>
      </w:tblPr>
      <w:tblGrid>
        <w:gridCol w:w="776"/>
        <w:gridCol w:w="681"/>
        <w:gridCol w:w="687"/>
        <w:gridCol w:w="109"/>
        <w:gridCol w:w="109"/>
        <w:gridCol w:w="109"/>
        <w:gridCol w:w="344"/>
        <w:gridCol w:w="344"/>
        <w:gridCol w:w="857"/>
        <w:gridCol w:w="153"/>
        <w:gridCol w:w="153"/>
        <w:gridCol w:w="153"/>
        <w:gridCol w:w="514"/>
        <w:gridCol w:w="514"/>
        <w:gridCol w:w="516"/>
        <w:gridCol w:w="109"/>
        <w:gridCol w:w="109"/>
        <w:gridCol w:w="109"/>
        <w:gridCol w:w="344"/>
        <w:gridCol w:w="344"/>
        <w:gridCol w:w="857"/>
        <w:gridCol w:w="126"/>
        <w:gridCol w:w="126"/>
        <w:gridCol w:w="126"/>
        <w:gridCol w:w="323"/>
        <w:gridCol w:w="323"/>
        <w:gridCol w:w="944"/>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840" w:type="dxa"/>
            <w:gridSpan w:val="12"/>
            <w:tcBorders/>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rFonts w:ascii="Times New Roman;serif" w:hAnsi="Times New Roman;serif"/>
                <w:b/>
                <w:color w:val="000000"/>
                <w:sz w:val="16"/>
                <w:u w:val="single"/>
              </w:rPr>
            </w:pPr>
            <w:r>
              <w:rPr>
                <w:rFonts w:ascii="Times New Roman;serif" w:hAnsi="Times New Roman;serif"/>
                <w:b/>
                <w:color w:val="000000"/>
                <w:sz w:val="16"/>
                <w:u w:val="single"/>
              </w:rPr>
              <w:t>PRSUs (Market Conditions)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Dividend yield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Company has not paid, and does not anticipate paying, cash dividends on its shares of common stock. Accordingly, the expected dividend yield is zero.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8. Net Income (Loss) Per Share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Basic net income (loss) per share is calculated by dividing net income (loss) by the weighted average number of shares of common stock outstanding during the period, and excludes any dilutive effects of employee stock-based awards and potential shares upon conversion of the convertible senior notes. Diluted net income (loss) per share is computed giving effect to all potentially dilutive shares of common stock, including common stock issuable upon exercise of stock options, vesting of RSUs and PRSUs, and shares of common stock issuable upon conversion of convertible senior notes.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income (loss) per share (in thousands, except per share data):</w:t>
      </w:r>
    </w:p>
    <w:tbl>
      <w:tblPr>
        <w:tblW w:w="10205" w:type="dxa"/>
        <w:jc w:val="left"/>
        <w:tblInd w:w="0" w:type="dxa"/>
        <w:tblLayout w:type="fixed"/>
        <w:tblCellMar>
          <w:top w:w="28" w:type="dxa"/>
          <w:left w:w="28" w:type="dxa"/>
          <w:bottom w:w="28" w:type="dxa"/>
          <w:right w:w="28" w:type="dxa"/>
        </w:tblCellMar>
      </w:tblPr>
      <w:tblGrid>
        <w:gridCol w:w="1455"/>
        <w:gridCol w:w="1277"/>
        <w:gridCol w:w="1289"/>
        <w:gridCol w:w="253"/>
        <w:gridCol w:w="866"/>
        <w:gridCol w:w="130"/>
        <w:gridCol w:w="109"/>
        <w:gridCol w:w="109"/>
        <w:gridCol w:w="109"/>
        <w:gridCol w:w="257"/>
        <w:gridCol w:w="808"/>
        <w:gridCol w:w="132"/>
        <w:gridCol w:w="109"/>
        <w:gridCol w:w="109"/>
        <w:gridCol w:w="109"/>
        <w:gridCol w:w="253"/>
        <w:gridCol w:w="866"/>
        <w:gridCol w:w="130"/>
        <w:gridCol w:w="109"/>
        <w:gridCol w:w="109"/>
        <w:gridCol w:w="109"/>
        <w:gridCol w:w="216"/>
        <w:gridCol w:w="781"/>
        <w:gridCol w:w="511"/>
      </w:tblGrid>
      <w:tr>
        <w:trPr/>
        <w:tc>
          <w:tcPr>
            <w:tcW w:w="145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(24,372)</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basic and diluted net income (loss) per share:</w:t>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74,192 </w:t>
            </w:r>
          </w:p>
        </w:tc>
        <w:tc>
          <w:tcPr>
            <w:tcW w:w="51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74,192 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share:</w:t>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securities were excluded from the calculation of diluted net income (loss) per share because their effect would have been anti-dilutive (in thousands):</w:t>
      </w:r>
    </w:p>
    <w:tbl>
      <w:tblPr>
        <w:tblW w:w="10079" w:type="dxa"/>
        <w:jc w:val="left"/>
        <w:tblInd w:w="0" w:type="dxa"/>
        <w:tblLayout w:type="fixed"/>
        <w:tblCellMar>
          <w:top w:w="28" w:type="dxa"/>
          <w:left w:w="28" w:type="dxa"/>
          <w:bottom w:w="28" w:type="dxa"/>
          <w:right w:w="28" w:type="dxa"/>
        </w:tblCellMar>
      </w:tblPr>
      <w:tblGrid>
        <w:gridCol w:w="786"/>
        <w:gridCol w:w="691"/>
        <w:gridCol w:w="697"/>
        <w:gridCol w:w="109"/>
        <w:gridCol w:w="109"/>
        <w:gridCol w:w="109"/>
        <w:gridCol w:w="514"/>
        <w:gridCol w:w="514"/>
        <w:gridCol w:w="516"/>
        <w:gridCol w:w="178"/>
        <w:gridCol w:w="178"/>
        <w:gridCol w:w="178"/>
        <w:gridCol w:w="514"/>
        <w:gridCol w:w="514"/>
        <w:gridCol w:w="516"/>
        <w:gridCol w:w="109"/>
        <w:gridCol w:w="109"/>
        <w:gridCol w:w="109"/>
        <w:gridCol w:w="514"/>
        <w:gridCol w:w="514"/>
        <w:gridCol w:w="516"/>
        <w:gridCol w:w="165"/>
        <w:gridCol w:w="165"/>
        <w:gridCol w:w="165"/>
        <w:gridCol w:w="465"/>
        <w:gridCol w:w="465"/>
        <w:gridCol w:w="660"/>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RSUs (including PRSUs)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Convertible senior notes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12,646 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18,806 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17,229 </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used the if-converted method for calculating any potential dilutive effect of its convertible senior notes for the three and nine months ended September 30, 2025 and 2024. Under this method, the Company calculates diluted earnings per share under both the cash and share settlement assumptions to determine which is more dilutive. If share settlement is more dilutive, the Company calculates diluted earnings per share assuming that all of the convertible senior notes were converted solely into shares of common stock at the beginning of the reporting period. The potential impact upon the conversion of the convertible senior notes were included in the calculation of diluted net income per share for the three and nine months ended September 30, 2025 and were excluded in the calculation of diluted net loss per share for the three and nine months ended September 30, 2024 because the effect would have been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9. Income Taxes </w:t>
      </w:r>
    </w:p>
    <w:p>
      <w:pPr>
        <w:pStyle w:val="TextBody"/>
        <w:bidi w:val="0"/>
        <w:spacing w:lineRule="auto" w:line="26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for the three and nine months ended September 30, 2025 was approximately $0.6 million and $2.2 million, respectively. The (benefit from) provision for income taxes for the three and nine months ended September 30, 2024 was approximately $(3.9) million and $0.5 million, respectively.</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for the three and nine months ended September 30, 2025 and September 30, 2024 consisted primarily of U.S. state tax expense as a result of tax attribute utilization limitations, foreign current income tax expense as a result of income produced by the Company's intercompany cost-plus operating model, and a measurement period adjustment related to the deferred tax liabilities of Acqueon Inc. ("Acqueon"), acquired during 2024, to reduce the Company's 2024 benefit from the partial U.S. valuation allowance release, discussed below. The Company's projected U.S. income tax expense decreased as compared to prior quarters primarily due to the impact from H.R.1, the One Big Beautiful Bill Act, signed into law on July 4, 2025. The impact included immediate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expensing of domestic research and development expenditures under Section 174A and reinstatement of 100% bonus depreciation for certain assets. </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benefit from income taxes for the three months ended September 30, 2024 was primarily related to the Company's acquisition of Acqueon, which included a domestic net deferred tax liability balance of $4.8 million and provided the Company with a source of taxable income to release a portion of the consolidated domestic valuation allowance. The provision for income taxes for the nine months ended September 30, 2024 consisted primarily of U.S. federal and state expense as a result of Section 174 and tax attribute utilization limitations, and foreign current income tax expense as a result from income produced by the Company's intercompany operating model, which were partially offset by the benefit related to the Company's acquisition of Acqueon, discussed above.</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the provision for income taxes differed from the statutory amount primarily due to the U.S. valuation allowance maintained against the U.S. net deferred tax assets. For the three and nine months ended September 30, 2024, the provision for income taxes differed from the statutory amount primarily due to certain U.S. and foreign jurisdictions where a full valuation allowance was maintained against the net deferred tax assets.</w:t>
      </w:r>
    </w:p>
    <w:p>
      <w:pPr>
        <w:pStyle w:val="TextBody"/>
        <w:bidi w:val="0"/>
        <w:spacing w:lineRule="auto" w:line="276"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realization of tax benefits from deferred tax assets is dependent upon future levels of taxable income, of an appropriate character, to be recognized in the periods the items are expected to be deductible or taxable. Based on the weight of the available objective evidence, the Company does not believe it is more likely than not that the U.S. net deferred tax assets will be realizable. Accordingly, the Company has provided a full valuation allowance against such net deferred tax assets as of September 30, 2025 and December 31, 2024. The Company intends to maintain the valuation allowance until sufficient positive evidence exists to support a reversal of, or decrease in, the valuation allowance. During the three and nine months ended September 30, 2025, there were no material changes to the total amount of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10. Commitments and Contingencies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Commitments </w:t>
      </w:r>
    </w:p>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principal commitments consist of future payment obligations under its convertible senior notes, finance leases to finance data centers and other computer and networking equipment, operating leases for office facilities, cloud services and software and maintenance agreements, and agreements with third parties to provide co-location hosting and telecommunication services. These commitments as of December 31, 2024 are disclosed in the Company’s Annual Report on Form 10-K for the year ended December 31, 2024, and material updates to these commitments during the nine months ended September 30, 2025 are disclosed herein, including in this Note 10 and in Note 12.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Company’s commitments under various co-location hosting and telecommunication usage service agreements totaled $12.4 million for terms ranging up to approximately five years. These agreements require the Company to make payments over the service term in exchange for certain network services.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had outstanding cloud services and software and maintenance agreement commitments totaling $20.4 million, of which $2.8 million is expected to be purchased in the remainder of 2025, and the remaining $17.6 million is expected to be purchased in 2026. The Company entered into equipment finance lease arrangements that resulted in a $4.6 million additional reduction of its outstanding cloud services commitment. See Note 12 for more information.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(i) no 2025 convertible senior notes were outstanding since they matured on June 1, 2025 and the Company settled its obligations with respect to the 2025 convertible senior notes in cash in connection therewith, and (ii) $747.5 million of aggregate principal of the 2029 convertible senior notes was outstanding, which 2029 convertible senior notes have a maturity date of March 15, 2029. See Note 6 for more information concerning the convertible senior notes.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various legal and regulatory matters arising in the normal course of business. In management’s opinion, resolution of these matters is not expected to have a material impact on the Company’s consolidated results of operations, cash flows, or its financial position. However, due to the uncertain nature of legal matters, an unfavorable resolution of a matter could materially affect the Company’s future consolidated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operations, cash flows or financial position in a particular period. The Company expenses legal fees as incurred. The Company is currently party to the following action: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December 4, 2024, a purported holder of the Company’s securities filed a putative class action complaint against the Company, its Chief Executive Officer, and its then-current Chief Financial Officer in the United States District Court for the Northern District of California alleging violations of Section 10(b) and 20(a) of the Securities Exchange Act of 1934 and Rule 10b-5, promulgated thereunder, based on alleged false and/or misleading statements or omissions regarding the Company and its business and seeking unspecified damages on behalf of all persons and entities (subject to specified exceptions) that purchased or otherwise acquired the Company’s securities, including call options, from June 4, 2024, through the close of trading on August 8, 2024. On February 3, 2025, Lucid Alternative Fund, LP moved to be appointed lead plaintiff of this action pursuant to the Private Securities Litigation Reform Act of 1995. On March 18, 2025, the court appointed Lucid Alternative Fund, LP as lead plaintiff and approved lead plaintiff’s selection of lead counsel. Per the court’s subsequent order on March 27, 2025, Lucid Alternative Fund, LP filed an amended complaint on May 30, 2025. The Company filed a motion to dismiss the amended complaint on July 29, 2025. The Company cannot predict the duration or outcome of this lawsuit at this time. As a result, the Company is unable to estimate the reasonably possible loss or range of reasonably possible losses arising from this lawsuit. The Company intends to vigorously defend this lawsuit.</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March 18, 2025, a related shareholder derivative action was filed in the United States District Court for the Northern District of California on behalf of nominal defendant Five9, Inc. and against its directors and certain of its officers seeking to assert claims for breach of fiduciary duty, unjust enrichment, abuse of control, gross mismanagement, and waste of corporate assets, and for contribution under Sections 10(b) and 21D of the Securities Exchange Act of 1934. The Company was served with the complaint on March 20, 2025. On April 4, 2025, the parties to the derivative action jointly filed a stipulation with the court to stay the derivative action until the resolution of the motion to dismiss in the securities action, as well as any subsequent motion to dismiss any further amended complaint in the securities action. On April 8, 2025, the court approved the stay stipulation.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Indemnification Agreements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enters into agreements of varying scope and terms pursuant to which it agrees to indemnify customers, vendors, lessors, business partners and other parties with respect to certain matters, including losses arising out of breach of such agreements, including breach of security, services to be provided by the Company or from intellectual property infringement claims made by third parties. The Company has received indemnification demands, and will likely continue to receive demands, from customers regarding its intellectual property indemnification obligations under these contracts. In addition, the Company has entered into indemnification agreements with its directors, officers and certain employees that requires it, among other things, to indemnify them against certain liabilities that may arise by reason of their status or service as directors, officers or employees. There are no claims that the Company is aware of that could have a material effect on the consolidated balance sheets, consolidated statements of operations and comprehensive income (loss), or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11. Segment and Geographical Information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single operating and reportable segment and manages its business activities on a consolidated basis. The Company’s single segment provides its solution through a SaaS business model. The Company generates subscription revenue from its Intelligent CX Platform, and also generates usage-based telephony revenue. The Company charges its customers monthly subscription fees for access to its solution, primarily based on the number of licenses. The Company’s AI solutions are sold to its customers on a consumption or capacity basis. The Company’s reliable, secure, and scalable Intelligent CX Platform, powered by Five9 Genius AI, delivers a comprehensive suite of easy-to-use applications that enable the breadth of customer service, sales, and marketing related functions. The Company’s chief operating decision maker (“CODM”) is its chief executive officer. The Company’s CODM reviews financial information presented on a consolidated basis for purposes of assessing financial performance and making operating decisions on how to allocate resources based on net income (loss) that is also reported on its consolidated statements of operations and comprehensive income (loss) as consolidated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income (loss). The measure of segment assets is reported on its consolidated balance sheets as total consolidated assets. </w:t>
      </w:r>
    </w:p>
    <w:p>
      <w:pPr>
        <w:pStyle w:val="TextBody"/>
        <w:bidi w:val="0"/>
        <w:spacing w:lineRule="auto" w:line="26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Revenue by Geographic Areas</w:t>
      </w:r>
    </w:p>
    <w:p>
      <w:pPr>
        <w:pStyle w:val="TextBody"/>
        <w:bidi w:val="0"/>
        <w:spacing w:lineRule="auto" w:line="26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revenues by geographic region based on customer billing address (in thousands): </w:t>
      </w:r>
    </w:p>
    <w:tbl>
      <w:tblPr>
        <w:tblW w:w="8777" w:type="dxa"/>
        <w:jc w:val="left"/>
        <w:tblInd w:w="0" w:type="dxa"/>
        <w:tblLayout w:type="fixed"/>
        <w:tblCellMar>
          <w:top w:w="28" w:type="dxa"/>
          <w:left w:w="28" w:type="dxa"/>
          <w:bottom w:w="28" w:type="dxa"/>
          <w:right w:w="28" w:type="dxa"/>
        </w:tblCellMar>
      </w:tblPr>
      <w:tblGrid>
        <w:gridCol w:w="452"/>
        <w:gridCol w:w="395"/>
        <w:gridCol w:w="398"/>
        <w:gridCol w:w="109"/>
        <w:gridCol w:w="109"/>
        <w:gridCol w:w="109"/>
        <w:gridCol w:w="284"/>
        <w:gridCol w:w="1114"/>
        <w:gridCol w:w="147"/>
        <w:gridCol w:w="109"/>
        <w:gridCol w:w="109"/>
        <w:gridCol w:w="109"/>
        <w:gridCol w:w="284"/>
        <w:gridCol w:w="1114"/>
        <w:gridCol w:w="147"/>
        <w:gridCol w:w="109"/>
        <w:gridCol w:w="109"/>
        <w:gridCol w:w="109"/>
        <w:gridCol w:w="284"/>
        <w:gridCol w:w="1114"/>
        <w:gridCol w:w="147"/>
        <w:gridCol w:w="109"/>
        <w:gridCol w:w="109"/>
        <w:gridCol w:w="109"/>
        <w:gridCol w:w="281"/>
        <w:gridCol w:w="1103"/>
        <w:gridCol w:w="205"/>
      </w:tblGrid>
      <w:tr>
        <w:trPr/>
        <w:tc>
          <w:tcPr>
            <w:tcW w:w="4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253,795 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235,274 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752,241 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679,066 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96,565 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285,832 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264,182 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848,806 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763,278 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Long-Lived Assets, Net by Geographic Areas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total property and equipment, net in the respective locations (in thousands): </w:t>
      </w:r>
    </w:p>
    <w:tbl>
      <w:tblPr>
        <w:tblW w:w="6157" w:type="dxa"/>
        <w:jc w:val="left"/>
        <w:tblInd w:w="0" w:type="dxa"/>
        <w:tblLayout w:type="fixed"/>
        <w:tblCellMar>
          <w:top w:w="28" w:type="dxa"/>
          <w:left w:w="28" w:type="dxa"/>
          <w:bottom w:w="28" w:type="dxa"/>
          <w:right w:w="28" w:type="dxa"/>
        </w:tblCellMar>
      </w:tblPr>
      <w:tblGrid>
        <w:gridCol w:w="876"/>
        <w:gridCol w:w="767"/>
        <w:gridCol w:w="771"/>
        <w:gridCol w:w="109"/>
        <w:gridCol w:w="109"/>
        <w:gridCol w:w="109"/>
        <w:gridCol w:w="284"/>
        <w:gridCol w:w="1114"/>
        <w:gridCol w:w="147"/>
        <w:gridCol w:w="109"/>
        <w:gridCol w:w="109"/>
        <w:gridCol w:w="109"/>
        <w:gridCol w:w="273"/>
        <w:gridCol w:w="1072"/>
        <w:gridCol w:w="199"/>
      </w:tblGrid>
      <w:tr>
        <w:trPr/>
        <w:tc>
          <w:tcPr>
            <w:tcW w:w="87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151,524 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136,382 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144,888 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Total purchases of property and equipment for the nine months ended September 30, 2025 and 2024 are disclosed in the Company’s Consolidated Statements of Cash Flows. </w:t>
      </w:r>
    </w:p>
    <w:p>
      <w:pPr>
        <w:pStyle w:val="TextBody"/>
        <w:bidi w:val="0"/>
        <w:spacing w:lineRule="auto" w:line="26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Segment Information - Consolidated Statement of Operations</w:t>
      </w:r>
    </w:p>
    <w:tbl>
      <w:tblPr>
        <w:tblW w:w="10205" w:type="dxa"/>
        <w:jc w:val="left"/>
        <w:tblInd w:w="0" w:type="dxa"/>
        <w:tblLayout w:type="fixed"/>
        <w:tblCellMar>
          <w:top w:w="28" w:type="dxa"/>
          <w:left w:w="28" w:type="dxa"/>
          <w:bottom w:w="28" w:type="dxa"/>
          <w:right w:w="28" w:type="dxa"/>
        </w:tblCellMar>
      </w:tblPr>
      <w:tblGrid>
        <w:gridCol w:w="1098"/>
        <w:gridCol w:w="794"/>
        <w:gridCol w:w="803"/>
        <w:gridCol w:w="109"/>
        <w:gridCol w:w="109"/>
        <w:gridCol w:w="109"/>
        <w:gridCol w:w="257"/>
        <w:gridCol w:w="1009"/>
        <w:gridCol w:w="133"/>
        <w:gridCol w:w="109"/>
        <w:gridCol w:w="109"/>
        <w:gridCol w:w="109"/>
        <w:gridCol w:w="257"/>
        <w:gridCol w:w="1009"/>
        <w:gridCol w:w="133"/>
        <w:gridCol w:w="109"/>
        <w:gridCol w:w="109"/>
        <w:gridCol w:w="109"/>
        <w:gridCol w:w="257"/>
        <w:gridCol w:w="1009"/>
        <w:gridCol w:w="133"/>
        <w:gridCol w:w="109"/>
        <w:gridCol w:w="109"/>
        <w:gridCol w:w="109"/>
        <w:gridCol w:w="257"/>
        <w:gridCol w:w="1009"/>
        <w:gridCol w:w="133"/>
        <w:gridCol w:w="109"/>
        <w:gridCol w:w="497"/>
      </w:tblGrid>
      <w:tr>
        <w:trPr/>
        <w:tc>
          <w:tcPr>
            <w:tcW w:w="109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285,832 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264,182 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848,806 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763,278 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cost of revenue</w:t>
            </w:r>
            <w:r>
              <w:rPr>
                <w:rFonts w:ascii="Times New Roman;serif" w:hAnsi="Times New Roman;serif"/>
                <w:b w:val="false"/>
                <w:color w:val="000000"/>
                <w:sz w:val="13"/>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(316,023)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(297,384)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research and development</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sales and marketing</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(198,275)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(193,213)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general and administrative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(138,408)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(148,945)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(24,372)</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68" w:before="12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Adjusted cost of revenue includes cost of revenue in accordance with GAAP, adjusted for depreciation and amortization, stock-based compensation, acquisition and related transaction costs and one-time integration costs, lease amortization for finance leases, and costs related to reduction in force plans. </w:t>
      </w:r>
    </w:p>
    <w:p>
      <w:pPr>
        <w:pStyle w:val="TextBody"/>
        <w:bidi w:val="0"/>
        <w:spacing w:lineRule="auto" w:line="268" w:before="120" w:after="283"/>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Adjusted research and development includes research and development in accordance with GAAP, adjusted for depreciation and amortization, stock-based compensation, exit costs related to the closure and relocation of the Company’s Russian operations, acquisition and related transaction costs and one-time integration costs, lease amortization for finance leases, and costs related to reduction in force plans. </w:t>
      </w:r>
    </w:p>
    <w:p>
      <w:pPr>
        <w:pStyle w:val="TextBody"/>
        <w:bidi w:val="0"/>
        <w:spacing w:lineRule="auto" w:line="268" w:before="120" w:after="283"/>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 xml:space="preserve">Adjusted sales and marketing includes sales and marketing expense in accordance with GAAP, adjusted for depreciation and amortization, stock-based compensation, and costs related to reduction in force plans. </w:t>
      </w:r>
    </w:p>
    <w:p>
      <w:pPr>
        <w:pStyle w:val="TextBody"/>
        <w:bidi w:val="0"/>
        <w:spacing w:lineRule="auto" w:line="268" w:before="120" w:after="283"/>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 xml:space="preserve">Adjusted general and administrative included general and administrative expense in accordance with GAAP, adjusted for depreciation and amortization, stock-based compensation, exit costs related to the closure and relocation of the Company’s Russian operations, acquisition and related transaction costs and one-time integration costs, one-time expenses related to strategic consulting services for operational review,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cost-reduction and productivity initiatives, legal fees related to the securities class action, costs related to reduction in force plans, and office closure lease termination costs. </w:t>
      </w:r>
    </w:p>
    <w:p>
      <w:pPr>
        <w:pStyle w:val="TextBody"/>
        <w:bidi w:val="0"/>
        <w:spacing w:lineRule="auto" w:line="268" w:before="120" w:after="283"/>
        <w:jc w:val="both"/>
        <w:rPr/>
      </w:pPr>
      <w:r>
        <w:rPr>
          <w:rFonts w:ascii="Times New Roman;serif" w:hAnsi="Times New Roman;serif"/>
          <w:b w:val="false"/>
          <w:color w:val="000000"/>
          <w:sz w:val="10"/>
        </w:rPr>
        <w:t xml:space="preserve">(5) </w:t>
      </w:r>
      <w:r>
        <w:rPr>
          <w:rFonts w:ascii="Times New Roman;serif" w:hAnsi="Times New Roman;serif"/>
          <w:b w:val="false"/>
          <w:color w:val="000000"/>
          <w:sz w:val="16"/>
        </w:rPr>
        <w:t xml:space="preserve">Other segment items included in segment net income (loss) includes stock-based compensation, exit costs related to the closure and relocation of our Russian operations, acquisition and related transaction costs and one-time integration costs, lease amortization for finance leases, one-time expenses related to strategic consulting services for operational review, other cost-reduction and productivity initiatives, legal fees related to the securities class action, costs related to reduction in force plans, and office closure lease termination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12. Leases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leases for offices, data centers and computer and networking equipment that expire at various dates through 2031. The Company’s leases have remaining terms of one to seven years, some of the leases include a Company option to extend the leases for up to one to five years, and some of the leases include the option to terminate the leases upon 30-days' notice. The Company does not separate lease and non-lease components for real estate operating leases.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the Company’s leases do not provide an implicit rate, the net present value of future minimum lease payments is determined using the Company’s incremental borrowing rate. Operating leases with a duration of 12 months or less are excluded from right-of-use assets and operating lease liabilities, and related lease payments are generally recognized on a straight-line basis over the lease term and variable lease payments are recognized as incurred.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additional three-year equipment finance lease agreements and recognized $3.9 million right of use assets during the nine months ended September 30, 2025, which were reported within Finance lease right-of-use assets and are being depreciated on a straight-line basis over the lease term. As a result, the Company also recognized short-term lease liabilities of $1.3 million within Finance lease liabilities and long-term lease liabilities of $2.6 million within Finance lease liabilities - less current portion during these periods.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expenses were as follows (in thousands):</w:t>
      </w:r>
    </w:p>
    <w:tbl>
      <w:tblPr>
        <w:tblW w:w="10205" w:type="dxa"/>
        <w:jc w:val="left"/>
        <w:tblInd w:w="0" w:type="dxa"/>
        <w:tblLayout w:type="fixed"/>
        <w:tblCellMar>
          <w:top w:w="28" w:type="dxa"/>
          <w:left w:w="28" w:type="dxa"/>
          <w:bottom w:w="28" w:type="dxa"/>
          <w:right w:w="28" w:type="dxa"/>
        </w:tblCellMar>
      </w:tblPr>
      <w:tblGrid>
        <w:gridCol w:w="1026"/>
        <w:gridCol w:w="887"/>
        <w:gridCol w:w="894"/>
        <w:gridCol w:w="109"/>
        <w:gridCol w:w="109"/>
        <w:gridCol w:w="109"/>
        <w:gridCol w:w="339"/>
        <w:gridCol w:w="993"/>
        <w:gridCol w:w="175"/>
        <w:gridCol w:w="109"/>
        <w:gridCol w:w="109"/>
        <w:gridCol w:w="109"/>
        <w:gridCol w:w="339"/>
        <w:gridCol w:w="993"/>
        <w:gridCol w:w="175"/>
        <w:gridCol w:w="109"/>
        <w:gridCol w:w="109"/>
        <w:gridCol w:w="109"/>
        <w:gridCol w:w="339"/>
        <w:gridCol w:w="993"/>
        <w:gridCol w:w="175"/>
        <w:gridCol w:w="109"/>
        <w:gridCol w:w="109"/>
        <w:gridCol w:w="109"/>
        <w:gridCol w:w="303"/>
        <w:gridCol w:w="1036"/>
        <w:gridCol w:w="230"/>
      </w:tblGrid>
      <w:tr>
        <w:trPr/>
        <w:tc>
          <w:tcPr>
            <w:tcW w:w="10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 (in thousands):</w:t>
      </w:r>
    </w:p>
    <w:tbl>
      <w:tblPr>
        <w:tblW w:w="10205" w:type="dxa"/>
        <w:jc w:val="left"/>
        <w:tblInd w:w="0" w:type="dxa"/>
        <w:tblLayout w:type="fixed"/>
        <w:tblCellMar>
          <w:top w:w="28" w:type="dxa"/>
          <w:left w:w="28" w:type="dxa"/>
          <w:bottom w:w="28" w:type="dxa"/>
          <w:right w:w="28" w:type="dxa"/>
        </w:tblCellMar>
      </w:tblPr>
      <w:tblGrid>
        <w:gridCol w:w="1347"/>
        <w:gridCol w:w="1181"/>
        <w:gridCol w:w="1187"/>
        <w:gridCol w:w="109"/>
        <w:gridCol w:w="109"/>
        <w:gridCol w:w="109"/>
        <w:gridCol w:w="271"/>
        <w:gridCol w:w="860"/>
        <w:gridCol w:w="139"/>
        <w:gridCol w:w="109"/>
        <w:gridCol w:w="109"/>
        <w:gridCol w:w="109"/>
        <w:gridCol w:w="271"/>
        <w:gridCol w:w="860"/>
        <w:gridCol w:w="139"/>
        <w:gridCol w:w="109"/>
        <w:gridCol w:w="109"/>
        <w:gridCol w:w="109"/>
        <w:gridCol w:w="254"/>
        <w:gridCol w:w="933"/>
        <w:gridCol w:w="131"/>
        <w:gridCol w:w="109"/>
        <w:gridCol w:w="109"/>
        <w:gridCol w:w="109"/>
        <w:gridCol w:w="268"/>
        <w:gridCol w:w="852"/>
        <w:gridCol w:w="204"/>
      </w:tblGrid>
      <w:tr>
        <w:trPr/>
        <w:tc>
          <w:tcPr>
            <w:tcW w:w="134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used in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used in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obtained in exchange for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was as follows (in thousands):</w:t>
      </w:r>
    </w:p>
    <w:tbl>
      <w:tblPr>
        <w:tblW w:w="7853" w:type="dxa"/>
        <w:jc w:val="left"/>
        <w:tblInd w:w="0" w:type="dxa"/>
        <w:tblLayout w:type="fixed"/>
        <w:tblCellMar>
          <w:top w:w="28" w:type="dxa"/>
          <w:left w:w="28" w:type="dxa"/>
          <w:bottom w:w="28" w:type="dxa"/>
          <w:right w:w="28" w:type="dxa"/>
        </w:tblCellMar>
      </w:tblPr>
      <w:tblGrid>
        <w:gridCol w:w="1486"/>
        <w:gridCol w:w="1307"/>
        <w:gridCol w:w="1317"/>
        <w:gridCol w:w="109"/>
        <w:gridCol w:w="109"/>
        <w:gridCol w:w="109"/>
        <w:gridCol w:w="313"/>
        <w:gridCol w:w="1070"/>
        <w:gridCol w:w="161"/>
        <w:gridCol w:w="109"/>
        <w:gridCol w:w="109"/>
        <w:gridCol w:w="109"/>
        <w:gridCol w:w="300"/>
        <w:gridCol w:w="1026"/>
        <w:gridCol w:w="219"/>
      </w:tblGrid>
      <w:tr>
        <w:trP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48,329 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(21,708)</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Weighted average remaining terms were as follows (in years):</w:t>
      </w:r>
    </w:p>
    <w:tbl>
      <w:tblPr>
        <w:tblW w:w="6741" w:type="dxa"/>
        <w:jc w:val="left"/>
        <w:tblInd w:w="0" w:type="dxa"/>
        <w:tblLayout w:type="fixed"/>
        <w:tblCellMar>
          <w:top w:w="28" w:type="dxa"/>
          <w:left w:w="28" w:type="dxa"/>
          <w:bottom w:w="28" w:type="dxa"/>
          <w:right w:w="28" w:type="dxa"/>
        </w:tblCellMar>
      </w:tblPr>
      <w:tblGrid>
        <w:gridCol w:w="1086"/>
        <w:gridCol w:w="953"/>
        <w:gridCol w:w="960"/>
        <w:gridCol w:w="109"/>
        <w:gridCol w:w="109"/>
        <w:gridCol w:w="109"/>
        <w:gridCol w:w="514"/>
        <w:gridCol w:w="514"/>
        <w:gridCol w:w="516"/>
        <w:gridCol w:w="109"/>
        <w:gridCol w:w="109"/>
        <w:gridCol w:w="109"/>
        <w:gridCol w:w="452"/>
        <w:gridCol w:w="452"/>
        <w:gridCol w:w="640"/>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rates were as follows:</w:t>
      </w:r>
    </w:p>
    <w:tbl>
      <w:tblPr>
        <w:tblW w:w="6174" w:type="dxa"/>
        <w:jc w:val="left"/>
        <w:tblInd w:w="0" w:type="dxa"/>
        <w:tblLayout w:type="fixed"/>
        <w:tblCellMar>
          <w:top w:w="28" w:type="dxa"/>
          <w:left w:w="28" w:type="dxa"/>
          <w:bottom w:w="28" w:type="dxa"/>
          <w:right w:w="28" w:type="dxa"/>
        </w:tblCellMar>
      </w:tblPr>
      <w:tblGrid>
        <w:gridCol w:w="881"/>
        <w:gridCol w:w="773"/>
        <w:gridCol w:w="776"/>
        <w:gridCol w:w="109"/>
        <w:gridCol w:w="109"/>
        <w:gridCol w:w="109"/>
        <w:gridCol w:w="344"/>
        <w:gridCol w:w="344"/>
        <w:gridCol w:w="857"/>
        <w:gridCol w:w="109"/>
        <w:gridCol w:w="109"/>
        <w:gridCol w:w="109"/>
        <w:gridCol w:w="314"/>
        <w:gridCol w:w="314"/>
        <w:gridCol w:w="917"/>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Maturities of lease liabilities were as follows (in thousands):</w:t>
      </w:r>
    </w:p>
    <w:tbl>
      <w:tblPr>
        <w:tblW w:w="6647" w:type="dxa"/>
        <w:jc w:val="left"/>
        <w:tblInd w:w="0" w:type="dxa"/>
        <w:tblLayout w:type="fixed"/>
        <w:tblCellMar>
          <w:top w:w="28" w:type="dxa"/>
          <w:left w:w="28" w:type="dxa"/>
          <w:bottom w:w="28" w:type="dxa"/>
          <w:right w:w="28" w:type="dxa"/>
        </w:tblCellMar>
      </w:tblPr>
      <w:tblGrid>
        <w:gridCol w:w="1150"/>
        <w:gridCol w:w="1013"/>
        <w:gridCol w:w="1017"/>
        <w:gridCol w:w="109"/>
        <w:gridCol w:w="109"/>
        <w:gridCol w:w="109"/>
        <w:gridCol w:w="276"/>
        <w:gridCol w:w="946"/>
        <w:gridCol w:w="143"/>
        <w:gridCol w:w="109"/>
        <w:gridCol w:w="109"/>
        <w:gridCol w:w="109"/>
        <w:gridCol w:w="240"/>
        <w:gridCol w:w="821"/>
        <w:gridCol w:w="124"/>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both"/>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312" w:before="180" w:after="283"/>
        <w:jc w:val="left"/>
        <w:rPr>
          <w:rFonts w:ascii="Times New Roman;serif" w:hAnsi="Times New Roman;serif"/>
          <w:b/>
          <w:color w:val="000000"/>
          <w:sz w:val="20"/>
        </w:rPr>
      </w:pPr>
      <w:r>
        <w:rPr>
          <w:rFonts w:ascii="Times New Roman;serif" w:hAnsi="Times New Roman;serif"/>
          <w:b/>
          <w:color w:val="000000"/>
          <w:sz w:val="20"/>
        </w:rPr>
        <w:t xml:space="preserve">13. Acquisition </w:t>
      </w:r>
    </w:p>
    <w:p>
      <w:pPr>
        <w:pStyle w:val="TextBody"/>
        <w:bidi w:val="0"/>
        <w:spacing w:lineRule="auto" w:line="276" w:before="18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Acqueon </w:t>
      </w:r>
    </w:p>
    <w:p>
      <w:pPr>
        <w:pStyle w:val="TextBody"/>
        <w:bidi w:val="0"/>
        <w:spacing w:lineRule="auto" w:line="276"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27, 2024, the Company acquired all of the issued and outstanding shares of capital stock of Acqueon for total consideration of approximately $173.8 million. This acquisition, which was accounted for as a business combination, is intended to build on the pre-existing partnership between the companies, and to extend the Company's AI-powered CX platform by adding omnichannel proactive customer engagement to expand the Company's outbound capabilities. </w:t>
      </w:r>
    </w:p>
    <w:p>
      <w:pPr>
        <w:pStyle w:val="TextBody"/>
        <w:bidi w:val="0"/>
        <w:spacing w:lineRule="auto" w:line="276"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excess of the purchase price over identifiable intangible assets and net tangible assets in the amount of $139.0 million was allocated to goodwill, which is not deductible for tax purposes. The fair values assigned to assets acquired and liabilities assumed are based on management’s best estimates and assumptions as of the acquisition date and are considered final. The Company recorded adjustments of less than $0.1 million and $0.8 million within the one year from acquisition date measurement period for 2024 and for the nine months ended September 30, 2025, respectively. </w:t>
      </w:r>
    </w:p>
    <w:p>
      <w:pPr>
        <w:pStyle w:val="TextBody"/>
        <w:bidi w:val="0"/>
        <w:spacing w:lineRule="auto" w:line="276"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final allocation of the purchase price at the acquisition date (in thousands):</w:t>
      </w:r>
    </w:p>
    <w:tbl>
      <w:tblPr>
        <w:tblW w:w="3351" w:type="dxa"/>
        <w:jc w:val="left"/>
        <w:tblInd w:w="0" w:type="dxa"/>
        <w:tblLayout w:type="fixed"/>
        <w:tblCellMar>
          <w:top w:w="28" w:type="dxa"/>
          <w:left w:w="28" w:type="dxa"/>
          <w:bottom w:w="28" w:type="dxa"/>
          <w:right w:w="28" w:type="dxa"/>
        </w:tblCellMar>
      </w:tblPr>
      <w:tblGrid>
        <w:gridCol w:w="780"/>
        <w:gridCol w:w="684"/>
        <w:gridCol w:w="696"/>
        <w:gridCol w:w="211"/>
        <w:gridCol w:w="826"/>
        <w:gridCol w:w="154"/>
      </w:tblGrid>
      <w:tr>
        <w:trPr/>
        <w:tc>
          <w:tcPr>
            <w:tcW w:w="7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Tangible assets acquired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relationships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acquired technology, customer relationships, and trademarks will be amortized on a straight-line basis over their estimated useful lives of eight years, five years, and three years, respectively. The Company used the income approach to estimate the fair value of intangible assets acquired.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acquisition, the Company incurred total acquisition-related transaction costs of $7.9 million during 2024, and incurred no additional costs during the nine months ended September 30, 2025, that have been expensed as incurred and included in general and administrative expenses in the consolidated statements of operations and comprehensive income (loss). </w:t>
      </w:r>
    </w:p>
    <w:p>
      <w:pPr>
        <w:pStyle w:val="TextBody"/>
        <w:bidi w:val="0"/>
        <w:spacing w:lineRule="auto" w:line="26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of this acquisition are included in the accompanying consolidated statements of operations and comprehensive income (loss) from the date of acquisition and are not material to the Company's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14. Restructurings </w:t>
      </w:r>
    </w:p>
    <w:p>
      <w:pPr>
        <w:pStyle w:val="TextBody"/>
        <w:bidi w:val="0"/>
        <w:spacing w:lineRule="auto" w:line="26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20, 2024, the Company announced a reduction in force plan (the “2024 Plan”) as part of its broader efforts to drive balanced, profitable growth, further supporting its positive, long-term outlook and focus on increasing stockholder value. The 2024 Plan reduced the Company’s global full-time employees by approximately 6%. For the year ended December 31, 2024, the Company incurred a total of $9.6 million in restructuring costs under the 2024 Plan, primarily consisting of notice period payments, severance payments, employee benefits and related costs, all of which are cash expenditures, of which $2.1 million was recorded in cost of revenue, $1.9 million was recorded in research and development expenses, $4.4 million was recorded in sales and marketing expenses, and $1.2 million was recorded in general and administrative expenses on the consolidated statements of operations and comprehensive income (loss). As of September 30, 2025, $9.4 million had been paid and the remaining $0.2 million was recorded within accrued and other current liabilities in the consolidated balance sheets and is expected to be mostly paid in the remainder of 2025. Other than as set forth herein, the Company does not expect to incur any additional costs under the 2024 Plan.</w:t>
      </w:r>
    </w:p>
    <w:p>
      <w:pPr>
        <w:pStyle w:val="TextBody"/>
        <w:bidi w:val="0"/>
        <w:spacing w:lineRule="auto" w:line="26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31, 2025, the Board of Directors of the Company approved a reduction in force plan (the “2025 Plan”) as part of its broader efforts to prioritize investments in key strategic areas, including artificial intelligence, as well as to drive profitable growth in supporting its positive, long-term outlook and increasing stockholder value. On April 3, 2025, the Company commenced execution of the 2025 Plan, which resulted in the reduction of the Company’s global full-time employees by approximately 4%. During the three months ended September 30, 2025, the Company incurred a total of $0.1 million in restructuring costs under the 2025 Plan, consisting of notice period payments, which was recorded in sales and marketing expenses. During the nine months ended September 30, 2025, the Company incurred a total of $7.9 million in restructuring costs under the 2025 Plan, primarily consisting of notice period payments, severance payments, employee benefits and related costs, all of which are cash expenditures, of which $1.6 million was recorded in cost of revenue, $1.9 million was recorded in research and development expenses, $3.4 million was recorded in sales and marketing expenses, and $1.0 million was recorded in general and administrative expenses on the consolidated statements of operations and comprehensive income (loss). As of September 30, 2025, $7.7 million had been paid and the remaining $0.2 million was recorded within accrued and other current liabilities in the consolidated balance sheets and is expected to be mostly paid in the remainder of 2025. During the nine months ended September 30, 2025, the Company also incurred an additional $2.1 million in stock-based compensation costs related to the 2025 Plan due to additional vesting of share-based awards, of which $0.3 million was recorded in cost of revenue, $0.5 million was recorded in research and development expenses, $1.1 million was recorded in sales and marketing expenses, and $0.2 million was recorded in general and administrative expenses on the consolidated statements of operations and comprehensive income (loss). Other than as set forth herein, the Company does not expect to incur any additional costs under the 2025 Plan.</w:t>
      </w:r>
    </w:p>
    <w:p>
      <w:pPr>
        <w:pStyle w:val="TextBody"/>
        <w:bidi w:val="0"/>
        <w:spacing w:before="120" w:after="12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15. Subsequent Event</w:t>
      </w:r>
      <w:r>
        <w:rPr>
          <w:color w:val="000000"/>
        </w:rPr>
        <w:t xml:space="preserve">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October 29, 2025, the Board of Directors of the Company authorized a share repurchase program for the repurchase of shares of the Company’s common stock, in an aggregate amount of up to $150.0 million (the “2025 Share Repurchase Program”). As part of the 2025 Share Repurchase Program, the Company intends to enter into a $50.0 million accelerated share repurchase plan.</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Repurchases under the 2025 Share Repurchase Program will be made pursuant to open market purchases, solicited or unsolicited privately negotiated transactions, accelerated share repurchase transactions, including pursuant to 10b5-1 plans, and in compliance with applicable securities laws and other requirements. The 2025 Share Repurchase Program will be funded using the Company's cash on hand and future cash flow generation.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manner, price, and amount of repurchases under the 2025 Share Repurchase Program is subject to the discretion of the Company’s management. The Company is not obligated to acquire a specified number of shares under the 2025 Share Repurchase Program, which may be suspended, modified, or terminated at any time, without prior notice. The 2025 Share Repurchase Program terminates on December 31, 2027. </w:t>
      </w:r>
    </w:p>
    <w:p>
      <w:pPr>
        <w:pStyle w:val="TextBody"/>
        <w:bidi w:val="0"/>
        <w:spacing w:before="0" w:after="0"/>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ind w:left="0" w:right="0" w:firstLine="45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312" w:before="240" w:after="283"/>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2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 xml:space="preserve">You should read the following discussion in conjunction with the condensed consolidated financial statements and notes thereto included elsewhere in this Quarterly Report on Form 10-Q and our Annual Report on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0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are a leading provider of intelligent cloud contact centers with more than 3,000 customers. We believe we achieved this leadership position through our expertise and technology, which has empowered us to help organizations of all sizes transition from legacy on-premises contact center systems to our cloud solution. Our solution, comprised of our Intelligent CX Platform and applications, allows simultaneous management and optimization of customer interactions across voice, chat, email, web, social media and mobile channels, either directly or through our APIs. Our Intelligent CX Platform, powered by Five9 Genius AI, matches each customer interaction with an appropriate agent resource and delivers relevant customer data to the agent in real-time through integrations with adjacent enterprise applications, such as CRM software, to optimize the customer experience and improve agent productivity. Unlike legacy on-premises contact center systems, our solution requires minimal up-front investment, can be rapidly deployed and adjusted depending on our customer’s requirements.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Since founding our business in 2001, we have focused exclusively on delivering cloud contact center software. We initially targeted smaller contact center opportunities with our telesales team and, over time, invested in expanding the breadth and depth of the functionality of our cloud platform to meet the evolving requirements of our customers. In 2009, we made a strategic decision to expand our market opportunity to include larger contact centers. This decision drove further investments in research and development and the establishment of our field sales team to meet the requirements of these larger contact centers. We believe this shift has helped us diversify our customer base, while significantly enhancing our opportunity for future revenue growth. In 2018, we started including AI enhancements to our platform, and AI is now embedded throughout our platform. To complement these efforts, we have also focused on building customer awareness and driving adoption of our solution through marketing activities, which include internet advertising, digital marketing campaigns, social media, trade shows, industry events, telemarketing and out of home campaigns.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provide our solution through a software-as-a-service, or SaaS, business model. We generate subscription revenue from our Intelligent CX Platform, and also generate usage-based telephony revenue. We charge our customers monthly subscription fees for access to our Intelligent CX Platform, primarily based on the number of licenses, as well as on a consumption or capacity basis for our AI solutions. Our customers generally purchase both subscriptions and related telephony usage from us. However, a growing number of our customers subscribe to our platform but purchase telephony usage directly from wholesale telecommunications service providers. We offer monthly, annual and multiple-year contracts to our customers, generally with 30 days’ notice required for limited reductions in the number of licenses or the level of consumption or capacity. Increases in the number of licenses or the level of consumption or capacity can be provisioned almost immediately. Subscription fees are generally billed monthly in advance, while related usage fees are billed in arrears. For each of the three and nine months ended September 30, 2025, subscription and related usage fees accounted for 93% of our revenue. For each of the three and nine months ended September 30, 2024, subscription and related usage fees accounted for 92% of our revenue. The remainder was comprised of professional services revenue from the implementation and optimization of our solution.</w:t>
      </w:r>
    </w:p>
    <w:p>
      <w:pPr>
        <w:pStyle w:val="TextBody"/>
        <w:bidi w:val="0"/>
        <w:spacing w:lineRule="auto" w:line="312" w:before="120" w:after="283"/>
        <w:jc w:val="left"/>
        <w:rPr>
          <w:rFonts w:ascii="Times New Roman;serif" w:hAnsi="Times New Roman;serif"/>
          <w:b/>
          <w:color w:val="000000"/>
          <w:sz w:val="20"/>
        </w:rPr>
      </w:pPr>
      <w:r>
        <w:rPr>
          <w:rFonts w:ascii="Times New Roman;serif" w:hAnsi="Times New Roman;serif"/>
          <w:b/>
          <w:color w:val="000000"/>
          <w:sz w:val="20"/>
        </w:rPr>
        <w:t xml:space="preserve">Macroeconomic Factors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risks and exposures, including continued macroeconomic challenges, the impact of global tariff increases and potential future increases and announcements regarding same, the Russia-Ukraine conflict and the conflicts in the Middle East. While the implications of macroeconomic challenges, and global and regional conflicts on our business, results of operations and overall financial position remain uncertain over the long term, we expect that macroeconomic challenges will continue to have an adverse impact on our revenue in future periods.</w:t>
      </w:r>
    </w:p>
    <w:p>
      <w:pPr>
        <w:pStyle w:val="TextBody"/>
        <w:bidi w:val="0"/>
        <w:spacing w:lineRule="auto" w:line="312" w:before="120" w:after="283"/>
        <w:jc w:val="both"/>
        <w:rPr/>
      </w:pPr>
      <w:r>
        <w:rPr>
          <w:rFonts w:ascii="Times New Roman;serif" w:hAnsi="Times New Roman;serif"/>
          <w:b/>
          <w:color w:val="000000"/>
          <w:sz w:val="20"/>
        </w:rPr>
        <w:t>Reduction in Force Plans</w:t>
      </w:r>
      <w:r>
        <w:rPr>
          <w:color w:val="000000"/>
        </w:rPr>
        <w:t xml:space="preserve">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2024, we announced a reduction in force plan, or the 2024 Plan, as part of our broader efforts to drive balanced, profitable growth, further supporting our positive, long-term outlook and focus on increasing stockholder value. The 2024 Plan reduced our global full-time employees by approximately 6%. For the year ended December 31, 2024, we incurred a total of $9.6 million in restructuring costs under the 2024 Plan, primarily consisting of notice period payments, severance payments, employee benefits and related costs, all of which were cash expenditures, of which $2.1 million was recorded in cost of revenue, $1.9 million was recorded in research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development expenses, $4.4 million was recorded in sales and marketing expenses, and $1.2 million was recorded in general and administrative expenses. We do not expect to incur any additional costs under the 2024 Plan. </w:t>
      </w:r>
    </w:p>
    <w:p>
      <w:pPr>
        <w:pStyle w:val="TextBody"/>
        <w:bidi w:val="0"/>
        <w:spacing w:lineRule="auto" w:line="26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31, 2025, our Board of Directors approved a reduction in force plan, or the 2025 Plan, as part of our broader efforts to prioritize investments in key strategic areas, including artificial intelligence, as well as to drive profitable growth in supporting our positive, long-term outlook and increasing stockholder value. On April 3, 2025, we commenced execution of the 2025 Plan, which resulted in the reduction of our global full-time employees by approximately 4%. During the nine months ended September 30, 2025, we incurred a total of $7.9 million in restructuring costs under the 2025 Plan, primarily consisting of notice period payments, severance payments, employee benefits and related costs, all of which are cash expenditures, of which $1.6 million was recorded in cost of revenue, $1.9 million was recorded in research and development expenses, $3.4 million was recorded in sales and marketing expenses, and $1.0 million was recorded in general and administrative expenses on the consolidated statements of operations and comprehensive income (loss). During the nine months ended September 30, 2025, we also incurred an additional $2.1 million in stock-based compensation costs related to the 2025 Plan due to additional vesting of share-based awards, of which $0.3 million was recorded in cost of revenue, $0.5 million was recorded in research and development expenses, $1.1 million was recorded in sales and marketing expenses, and $0.2 million was recorded in general and administrative expenses on the consolidated statements of operations and comprehensive income (loss). We do not expect to incur any additional costs under the 2025 Plan.</w:t>
      </w:r>
    </w:p>
    <w:p>
      <w:pPr>
        <w:pStyle w:val="TextBody"/>
        <w:bidi w:val="0"/>
        <w:spacing w:lineRule="auto" w:line="312" w:before="180" w:after="283"/>
        <w:jc w:val="left"/>
        <w:rPr>
          <w:rFonts w:ascii="Times New Roman;serif" w:hAnsi="Times New Roman;serif"/>
          <w:b/>
          <w:color w:val="000000"/>
          <w:sz w:val="20"/>
        </w:rPr>
      </w:pPr>
      <w:r>
        <w:rPr>
          <w:rFonts w:ascii="Times New Roman;serif" w:hAnsi="Times New Roman;serif"/>
          <w:b/>
          <w:color w:val="000000"/>
          <w:sz w:val="20"/>
        </w:rPr>
        <w:t>Key GAAP Operating Results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revenue increased to $285.8 million and $848.8 million for the three and nine months ended September 30, 2025 from $264.2 million and $763.3 million for the three and nine months ended September 30, 2024. Revenue growth was primarily attributable to our larger customers, driven by an increase in our sales and marketing activities and our improved brand awareness. For each of the three and nine months ended September 30, 2025 and 2024, no single customer accounted for more than 10% of our total revenue. As of September 30, 2025, we had over 3,000 customers across multiple industries with a wide range of license sizes. We had net income of $18.0 million and $19.7 million in the three and nine months ended September 30, 2025, compared to net losses of $4.5 million and $24.4 million in the three and nine months ended September 30, 2024.</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continued to make significant expenditures and investments, including in sales and marketing, research and development, infrastructure and investments in complementary businesses, technologies and intellectual property rights. We primarily evaluate the success of our business based on revenue growth and the efficiency and effectiveness of our investments. The growth of our business and our future success depend on many factors, including our ability to continue to expand our base of larger customers, grow revenue from our existing customers, innovate and expand internationally. While these areas represent significant opportunities for us, they also pose risks and challenges that we must successfully address, including the impact of continued macroeconomic challenges, the impact of global tariff increases and potential future increases and announcements regarding same, the Russia-Ukraine conflict and the conflicts in the Middle East, in order to successfully grow our business and improve our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Key Operating and Non-GAAP Financial Performance Metrics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Annual Dollar-Based Retention Rate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believe that our Annual Dollar-Based Retention Rate provides insight into our ability to retain and grow revenue from our customers, and is a measure of the long-term value of our customer relationships. Our Annual Dollar-Based Retention Rate is calculated by dividing our Retained Net Revenue by our Retention Base Net Revenue on a monthly basis, which we then average using the rates for the trailing twelve months for the period presented. We define Retention Base Net Revenue as recurring net revenue from all customers in the comparable prior year period, and we define Retained Net Revenue as recurring net revenue from that same group of customers in the current period. We define recurring net revenue as net subscription and related usage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our Annual Dollar-Based Retention Rate based on Net Revenue for the periods presented: </w:t>
      </w:r>
    </w:p>
    <w:tbl>
      <w:tblPr>
        <w:tblW w:w="7162" w:type="dxa"/>
        <w:jc w:val="left"/>
        <w:tblInd w:w="0" w:type="dxa"/>
        <w:tblLayout w:type="fixed"/>
        <w:tblCellMar>
          <w:top w:w="28" w:type="dxa"/>
          <w:left w:w="28" w:type="dxa"/>
          <w:bottom w:w="28" w:type="dxa"/>
          <w:right w:w="28" w:type="dxa"/>
        </w:tblCellMar>
      </w:tblPr>
      <w:tblGrid>
        <w:gridCol w:w="1142"/>
        <w:gridCol w:w="1001"/>
        <w:gridCol w:w="1006"/>
        <w:gridCol w:w="109"/>
        <w:gridCol w:w="109"/>
        <w:gridCol w:w="109"/>
        <w:gridCol w:w="514"/>
        <w:gridCol w:w="514"/>
        <w:gridCol w:w="516"/>
        <w:gridCol w:w="184"/>
        <w:gridCol w:w="184"/>
        <w:gridCol w:w="184"/>
        <w:gridCol w:w="465"/>
        <w:gridCol w:w="465"/>
        <w:gridCol w:w="660"/>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Annual Dollar-Based Retention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r>
    </w:tbl>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Dollar-Based Retention Rate decreased year-over-year, reflecting a combination of factors, including continued macroeconomic headwinds, as well as year-over-year challenges related to a single large new customer ramping significantly throughout 2024 and seasonal increases being stronger in the second half of 2024, offset in part by ongoing momentum in AI and expansions of larger existing customers.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Adjusted EBITDA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from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Adjusted EBITDA should not be considered in isolation from, or as a substitute for, financial information prepared in accordance with U.S. GAAP, and our calculation of adjusted EBITDA may differ from that of other companies in our industry. We compensate for the inherent limitations associated with using adjusted EBITDA through disclosure of these limitations, presentation of our financial statements in accordance with U.S. GAAP and reconciliation of adjusted EBITDA to the most directly comparable U.S. GAAP measure, net income (loss). We calculate adjusted EBITDA as net income (loss) before (1) depreciation and amortization, (2) stock-based compensation, (3) interest expense, (4) gain on early extinguishment of debt, (5) interest income and other, (6) exit costs related to the closure and relocation of our Russian operations, (7) acquisition and related transaction costs and one-time integration costs, (8) lease amortization for finance leases, (9) costs related to reduction in force plans, (10) one-time expenses related to strategic consulting services for operational review, (11) other cost-reduction and productivity initiatives, (12) legal fees related to the securities class action, (13) office closure lease termination costs, (14) provision for (benefit from) income taxes, and (15) other items that do not directly affect what we consider to be our core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a reconciliation of net income (loss) to adjusted EBITDA for the periods presented (in thousands): </w:t>
      </w:r>
    </w:p>
    <w:tbl>
      <w:tblPr>
        <w:tblW w:w="10205" w:type="dxa"/>
        <w:jc w:val="left"/>
        <w:tblInd w:w="0" w:type="dxa"/>
        <w:tblLayout w:type="fixed"/>
        <w:tblCellMar>
          <w:top w:w="28" w:type="dxa"/>
          <w:left w:w="28" w:type="dxa"/>
          <w:bottom w:w="28" w:type="dxa"/>
          <w:right w:w="28" w:type="dxa"/>
        </w:tblCellMar>
      </w:tblPr>
      <w:tblGrid>
        <w:gridCol w:w="1459"/>
        <w:gridCol w:w="1106"/>
        <w:gridCol w:w="1092"/>
        <w:gridCol w:w="109"/>
        <w:gridCol w:w="109"/>
        <w:gridCol w:w="109"/>
        <w:gridCol w:w="263"/>
        <w:gridCol w:w="868"/>
        <w:gridCol w:w="146"/>
        <w:gridCol w:w="109"/>
        <w:gridCol w:w="109"/>
        <w:gridCol w:w="109"/>
        <w:gridCol w:w="263"/>
        <w:gridCol w:w="868"/>
        <w:gridCol w:w="146"/>
        <w:gridCol w:w="109"/>
        <w:gridCol w:w="109"/>
        <w:gridCol w:w="109"/>
        <w:gridCol w:w="248"/>
        <w:gridCol w:w="932"/>
        <w:gridCol w:w="137"/>
        <w:gridCol w:w="109"/>
        <w:gridCol w:w="109"/>
        <w:gridCol w:w="109"/>
        <w:gridCol w:w="246"/>
        <w:gridCol w:w="924"/>
        <w:gridCol w:w="199"/>
      </w:tblGrid>
      <w:tr>
        <w:trPr/>
        <w:tc>
          <w:tcPr>
            <w:tcW w:w="145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17,973 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(4,479)</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19,703 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(24,372)</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Depreciation and amortization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44,911 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Stock-based compensation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39,556 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114,443 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127,872 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Interest income and 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(23,880)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(35,503)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Exit costs related to closure and relocation of Russian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related transaction costs and one-time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amortization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Costs related to reduction in force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One-time expenses related to strategic consulting services for operational review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cost-reduction and productivity initiatives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Legal fees related to the securities class 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 closure lease termination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71,720 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52,360 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192,372 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131,726 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(1)Depreciation and amortization expenses included in our results of operations for the periods presented are as follows (in thousands): </w:t>
      </w:r>
    </w:p>
    <w:tbl>
      <w:tblPr>
        <w:tblW w:w="10127" w:type="dxa"/>
        <w:jc w:val="left"/>
        <w:tblInd w:w="0" w:type="dxa"/>
        <w:tblLayout w:type="fixed"/>
        <w:tblCellMar>
          <w:top w:w="28" w:type="dxa"/>
          <w:left w:w="28" w:type="dxa"/>
          <w:bottom w:w="28" w:type="dxa"/>
          <w:right w:w="28" w:type="dxa"/>
        </w:tblCellMar>
      </w:tblPr>
      <w:tblGrid>
        <w:gridCol w:w="940"/>
        <w:gridCol w:w="825"/>
        <w:gridCol w:w="830"/>
        <w:gridCol w:w="109"/>
        <w:gridCol w:w="109"/>
        <w:gridCol w:w="109"/>
        <w:gridCol w:w="318"/>
        <w:gridCol w:w="1050"/>
        <w:gridCol w:w="177"/>
        <w:gridCol w:w="109"/>
        <w:gridCol w:w="109"/>
        <w:gridCol w:w="109"/>
        <w:gridCol w:w="318"/>
        <w:gridCol w:w="1050"/>
        <w:gridCol w:w="177"/>
        <w:gridCol w:w="109"/>
        <w:gridCol w:w="109"/>
        <w:gridCol w:w="109"/>
        <w:gridCol w:w="318"/>
        <w:gridCol w:w="1050"/>
        <w:gridCol w:w="177"/>
        <w:gridCol w:w="109"/>
        <w:gridCol w:w="109"/>
        <w:gridCol w:w="109"/>
        <w:gridCol w:w="313"/>
        <w:gridCol w:w="1031"/>
        <w:gridCol w:w="245"/>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37,371 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30,448 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Total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15,772 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44,911 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38,265 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(2)See Note 7 to the condensed consolidated financial statements for stock-based compensation expense included in our results of operations for the periods presented.</w:t>
      </w:r>
    </w:p>
    <w:p>
      <w:pPr>
        <w:pStyle w:val="TextBody"/>
        <w:bidi w:val="0"/>
        <w:spacing w:lineRule="auto" w:line="25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(3)Non-GAAP adjustments do not have a material impact on our worldwide income tax provision due to the tax treatment of the non-GAAP adjustments reported, and our domestic valuation allowance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Key Components of Our 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consists of subscription and related usage as well as professional services. We consider our subscription and related usage to be recurring revenue. We charge our customers monthly subscription fees for access to our Intelligent CX Platform, primarily based on the number of licenses, as well as on a consumption or capacity basis for our AI solutions. We offer monthly, annual and multiple-year contracts to our customers, generally with 30 days’ notice required for limited reductions in the number of licenses or the level of consumption or capacity. Increases in the number of licenses or the level of consumption or capacity can be provisioned almost immediately. Subscription fees are generally billed monthly in advance, while usage fees are billed in arrears. Subscription fees are recognized on a straight-line basis over the applicable term, which is predominantly the monthly contractual billing period. Support activities include technical assistance for our solution and upgrades and enhancements on a when and if available basis, which are not billed separately. Usage fees are billed in arrears based on customer-specific per minute rate plans and are recognized as actual usage occurs.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generate professional services revenue from assisting customers in implementing our solution and optimizing its use. These services include application configuration, system integration and education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training services. Professional services are primarily billed on a fixed-fee basis and are typically performed by us directly. However, our customers can choose to perform these services themselves, use one of our certified professional service providers, or engage their own third-party service providers to perform such services. Professional services are recognized as the services are performed using the proportional performance method, with performance measured based on labor hours, provided all other criteria for revenue recognition are met.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While the implications of macroeconomic events on our business, results of operations and overall financial position remain uncertain over the long term, we expect that macroeconomic challenges will continue to have an adverse impact on our revenue in future periods. For example, despite increases in up-sells and cross-sells, our installed base business, which contributes a significant portion of our annual revenue growth, continues to experience macroeconomic challenges.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cost of revenue consists primarily of personnel costs, including stock-based compensation, fees that we pay to telecommunications providers for usage, Universal Service Fund, or USF, contributions and other regulatory costs, depreciation and related expenses of our servers and equipment, costs to build out and maintain co-location data centers, costs of public cloud-based data centers, cost of third party software that we resell, allocated office and facility costs, amortization of acquired technology, amortization of internal-use software development costs and lease amortization for finance leases. Cost of revenue can fluctuate based on a number of factors, including the fees we pay to telecommunications providers, which vary depending on our customers’ usage of our Intelligent CX Platform, the timing of capital expenditures and related depreciation charges and changes in headcount. We expect to continue investing in professional services, public cloud, cloud operations, customer support and network infrastructure to maintain high quality and availability of services, which we believe will result in absolute dollar increases in cost of revenue but percentage of revenue declines in the long-term through economies of scale.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classify our operating expenses as research and development, sales and marketing, and general and administrative expenses. </w:t>
      </w:r>
    </w:p>
    <w:p>
      <w:pPr>
        <w:pStyle w:val="TextBody"/>
        <w:bidi w:val="0"/>
        <w:spacing w:lineRule="auto" w:line="268" w:before="120" w:after="283"/>
        <w:ind w:left="0" w:right="0" w:firstLine="495"/>
        <w:jc w:val="both"/>
        <w:rPr/>
      </w:pPr>
      <w:r>
        <w:rPr>
          <w:rFonts w:ascii="Times New Roman;serif" w:hAnsi="Times New Roman;serif"/>
          <w:b w:val="false"/>
          <w:i/>
          <w:color w:val="000000"/>
          <w:sz w:val="20"/>
        </w:rPr>
        <w:t>Research and Development</w:t>
      </w:r>
      <w:r>
        <w:rPr>
          <w:rFonts w:ascii="Times New Roman;serif" w:hAnsi="Times New Roman;serif"/>
          <w:b w:val="false"/>
          <w:color w:val="000000"/>
          <w:sz w:val="20"/>
        </w:rPr>
        <w:t>.    Our research and development expenses consist primarily of salary and related expenses, including stock-based compensation, for personnel related to the development of new products, improvements and expanded features for our services, as well as quality assurance, testing, product management and allocated overhead. We expense research and development expenses as they are incurred except for internal use software development costs that qualify for capitalization. We believe that continued investment in our solution is important for our future growth, and we expect our research and development expenses to increase in absolute dollars and fluctuate as a percentage of revenue in the near and longer term.</w:t>
      </w:r>
    </w:p>
    <w:p>
      <w:pPr>
        <w:pStyle w:val="TextBody"/>
        <w:bidi w:val="0"/>
        <w:spacing w:lineRule="auto" w:line="268" w:before="120" w:after="283"/>
        <w:ind w:left="0" w:right="0" w:firstLine="495"/>
        <w:jc w:val="both"/>
        <w:rPr/>
      </w:pPr>
      <w:r>
        <w:rPr>
          <w:rFonts w:ascii="Times New Roman;serif" w:hAnsi="Times New Roman;serif"/>
          <w:b w:val="false"/>
          <w:i/>
          <w:color w:val="000000"/>
          <w:sz w:val="20"/>
        </w:rPr>
        <w:t>Sales and Marketing</w:t>
      </w:r>
      <w:r>
        <w:rPr>
          <w:rFonts w:ascii="Times New Roman;serif" w:hAnsi="Times New Roman;serif"/>
          <w:b w:val="false"/>
          <w:color w:val="000000"/>
          <w:sz w:val="20"/>
        </w:rPr>
        <w:t>.    Sales and marketing expenses consist primarily of salaries and related expenses, including stock-based compensation, for personnel in sales and marketing, amortization of deferred contract acquisition costs, as well as advertising, marketing, corporate communications, travel costs and allocated overhead. We believe it is important to continue investing in sales and marketing to continue to generate revenue growth, and we expect sales and marketing expenses to increase in absolute dollars and fluctuate as a percentage of revenue in the near and longer term as we continue to support our growth initiatives.</w:t>
      </w:r>
    </w:p>
    <w:p>
      <w:pPr>
        <w:pStyle w:val="TextBody"/>
        <w:bidi w:val="0"/>
        <w:spacing w:lineRule="auto" w:line="268" w:before="120" w:after="283"/>
        <w:ind w:left="0" w:right="0" w:firstLine="495"/>
        <w:jc w:val="both"/>
        <w:rPr/>
      </w:pPr>
      <w:r>
        <w:rPr>
          <w:rFonts w:ascii="Times New Roman;serif" w:hAnsi="Times New Roman;serif"/>
          <w:b w:val="false"/>
          <w:i/>
          <w:color w:val="000000"/>
          <w:sz w:val="20"/>
        </w:rPr>
        <w:t>General and Administrative. </w:t>
      </w:r>
      <w:r>
        <w:rPr>
          <w:color w:val="000000"/>
        </w:rPr>
        <w:t>   </w:t>
      </w:r>
      <w:r>
        <w:rPr>
          <w:rFonts w:ascii="Times New Roman;serif" w:hAnsi="Times New Roman;serif"/>
          <w:b w:val="false"/>
          <w:color w:val="000000"/>
          <w:sz w:val="20"/>
        </w:rPr>
        <w:t>General and administrative expenses consist primarily of salary and related expenses, including stock-based compensation, for management, finance and accounting, legal, information systems and human resources personnel, professional fees, compliance costs, other corporate expenses and allocated overhead. We expect that general and administrative expenses will fluctuate in absolute dollars and as a percentage of revenue in the near term, but to increase in absolute dollars and decline as a percentage of revenue in the longer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for the Three and Nine Months Ended September 30, 2025 and 2024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condensed consolidated statements of operations and comprehensive income (loss) set forth in this Quarterly Report on Form 10-Q, the following table sets forth our operating results as a percentage of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periods indicated: </w:t>
      </w:r>
    </w:p>
    <w:tbl>
      <w:tblPr>
        <w:tblW w:w="10205" w:type="dxa"/>
        <w:jc w:val="left"/>
        <w:tblInd w:w="0" w:type="dxa"/>
        <w:tblLayout w:type="fixed"/>
        <w:tblCellMar>
          <w:top w:w="28" w:type="dxa"/>
          <w:left w:w="28" w:type="dxa"/>
          <w:bottom w:w="28" w:type="dxa"/>
          <w:right w:w="28" w:type="dxa"/>
        </w:tblCellMar>
      </w:tblPr>
      <w:tblGrid>
        <w:gridCol w:w="1168"/>
        <w:gridCol w:w="940"/>
        <w:gridCol w:w="940"/>
        <w:gridCol w:w="109"/>
        <w:gridCol w:w="109"/>
        <w:gridCol w:w="109"/>
        <w:gridCol w:w="328"/>
        <w:gridCol w:w="324"/>
        <w:gridCol w:w="767"/>
        <w:gridCol w:w="131"/>
        <w:gridCol w:w="131"/>
        <w:gridCol w:w="131"/>
        <w:gridCol w:w="328"/>
        <w:gridCol w:w="324"/>
        <w:gridCol w:w="767"/>
        <w:gridCol w:w="109"/>
        <w:gridCol w:w="109"/>
        <w:gridCol w:w="109"/>
        <w:gridCol w:w="328"/>
        <w:gridCol w:w="324"/>
        <w:gridCol w:w="767"/>
        <w:gridCol w:w="124"/>
        <w:gridCol w:w="124"/>
        <w:gridCol w:w="124"/>
        <w:gridCol w:w="313"/>
        <w:gridCol w:w="306"/>
        <w:gridCol w:w="862"/>
      </w:tblGrid>
      <w:tr>
        <w:trPr/>
        <w:tc>
          <w:tcPr>
            <w:tcW w:w="11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tbl>
      <w:tblPr>
        <w:tblW w:w="10820"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52"/>
        <w:gridCol w:w="152"/>
        <w:gridCol w:w="357"/>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5"/>
        <w:gridCol w:w="166"/>
        <w:gridCol w:w="41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revenue for the three and nine months ended September 30, 2025 compared to the same periods of 2024 was primarily attributable to our larger customers, driven by our sales and marketing activities, and our improved brand awareness.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tbl>
      <w:tblPr>
        <w:tblW w:w="10989" w:type="dxa"/>
        <w:jc w:val="left"/>
        <w:tblInd w:w="0" w:type="dxa"/>
        <w:tblLayout w:type="fixed"/>
        <w:tblCellMar>
          <w:top w:w="28" w:type="dxa"/>
          <w:left w:w="28" w:type="dxa"/>
          <w:bottom w:w="28" w:type="dxa"/>
          <w:right w:w="28" w:type="dxa"/>
        </w:tblCellMar>
      </w:tblPr>
      <w:tblGrid>
        <w:gridCol w:w="305"/>
        <w:gridCol w:w="215"/>
        <w:gridCol w:w="216"/>
        <w:gridCol w:w="109"/>
        <w:gridCol w:w="109"/>
        <w:gridCol w:w="109"/>
        <w:gridCol w:w="196"/>
        <w:gridCol w:w="736"/>
        <w:gridCol w:w="256"/>
        <w:gridCol w:w="109"/>
        <w:gridCol w:w="109"/>
        <w:gridCol w:w="109"/>
        <w:gridCol w:w="196"/>
        <w:gridCol w:w="736"/>
        <w:gridCol w:w="256"/>
        <w:gridCol w:w="109"/>
        <w:gridCol w:w="109"/>
        <w:gridCol w:w="109"/>
        <w:gridCol w:w="196"/>
        <w:gridCol w:w="556"/>
        <w:gridCol w:w="109"/>
        <w:gridCol w:w="109"/>
        <w:gridCol w:w="109"/>
        <w:gridCol w:w="109"/>
        <w:gridCol w:w="152"/>
        <w:gridCol w:w="152"/>
        <w:gridCol w:w="357"/>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48"/>
        <w:gridCol w:w="148"/>
        <w:gridCol w:w="410"/>
      </w:tblGrid>
      <w:tr>
        <w:trPr/>
        <w:tc>
          <w:tcPr>
            <w:tcW w:w="30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cost of revenue for the three months ended September 30, 2025 compared to the same period of 2024 was primarily due to a $4.8 million increase in third-party costs driven by increased customer activities, a $2.3 million increase in amortization of capitalized internal-use software development costs, a $1.2 million increase in lease amortization of finance leases, a $1.1 million increase in depreciation, data center and public cloud costs to support our growing capacity needs, a $0.6 million increase in usage and carrier costs due to increased volume, and a $0.3 million increase in amortization of intangibles in connection with the acquisition of Acqueon in August 2024, offset in part by a $3.3 million decrease in personnel-related costs primarily driven by a decrease in stock-based compensation costs, and by a $0.5 million decrease in office, facilities and related costs. </w:t>
      </w:r>
    </w:p>
    <w:p>
      <w:pPr>
        <w:pStyle w:val="TextBody"/>
        <w:bidi w:val="0"/>
        <w:spacing w:lineRule="auto" w:line="26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cost of revenue for the nine months ended September 30, 2025 compared to the same period of 2024 was primarily due to a $10.9 million increase in third-party costs driven by increased customer activities,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$4.3 million increase in amortization of capitalized internal-use software development costs, a $4.2 million increase in lease amortization of finance leases, a $4.2 million increase in depreciation, data center and public cloud costs to support our growing capacity needs, a $2.5 million increase in amortization of intangibles in connection with the acquisition of Acqueon in August 2024, a $2.2 million increase in USF contributions and other federal telecommunication service fees due to increased customer usage, a $1.6 million increase in usage and carrier costs due to increased volume, offset in part by a $1.6 million decrease in personnel-related costs primarily driven by a decrease in stock-based compensation costs, and by a $0.9 million decrease in office, facilities and related costs.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Gross Profit </w:t>
      </w:r>
    </w:p>
    <w:tbl>
      <w:tblPr>
        <w:tblW w:w="10506" w:type="dxa"/>
        <w:jc w:val="left"/>
        <w:tblInd w:w="0" w:type="dxa"/>
        <w:tblLayout w:type="fixed"/>
        <w:tblCellMar>
          <w:top w:w="28" w:type="dxa"/>
          <w:left w:w="28" w:type="dxa"/>
          <w:bottom w:w="28" w:type="dxa"/>
          <w:right w:w="28" w:type="dxa"/>
        </w:tblCellMar>
      </w:tblPr>
      <w:tblGrid>
        <w:gridCol w:w="358"/>
        <w:gridCol w:w="200"/>
        <w:gridCol w:w="178"/>
        <w:gridCol w:w="109"/>
        <w:gridCol w:w="109"/>
        <w:gridCol w:w="109"/>
        <w:gridCol w:w="196"/>
        <w:gridCol w:w="736"/>
        <w:gridCol w:w="256"/>
        <w:gridCol w:w="109"/>
        <w:gridCol w:w="109"/>
        <w:gridCol w:w="109"/>
        <w:gridCol w:w="196"/>
        <w:gridCol w:w="736"/>
        <w:gridCol w:w="256"/>
        <w:gridCol w:w="109"/>
        <w:gridCol w:w="109"/>
        <w:gridCol w:w="109"/>
        <w:gridCol w:w="196"/>
        <w:gridCol w:w="646"/>
        <w:gridCol w:w="109"/>
        <w:gridCol w:w="109"/>
        <w:gridCol w:w="109"/>
        <w:gridCol w:w="109"/>
        <w:gridCol w:w="165"/>
        <w:gridCol w:w="166"/>
        <w:gridCol w:w="357"/>
        <w:gridCol w:w="109"/>
        <w:gridCol w:w="109"/>
        <w:gridCol w:w="109"/>
        <w:gridCol w:w="290"/>
        <w:gridCol w:w="290"/>
        <w:gridCol w:w="291"/>
        <w:gridCol w:w="109"/>
        <w:gridCol w:w="109"/>
        <w:gridCol w:w="109"/>
        <w:gridCol w:w="290"/>
        <w:gridCol w:w="290"/>
        <w:gridCol w:w="291"/>
        <w:gridCol w:w="109"/>
        <w:gridCol w:w="109"/>
        <w:gridCol w:w="109"/>
        <w:gridCol w:w="229"/>
        <w:gridCol w:w="229"/>
        <w:gridCol w:w="233"/>
        <w:gridCol w:w="109"/>
        <w:gridCol w:w="109"/>
        <w:gridCol w:w="109"/>
        <w:gridCol w:w="206"/>
        <w:gridCol w:w="206"/>
        <w:gridCol w:w="294"/>
      </w:tblGrid>
      <w:tr>
        <w:trPr/>
        <w:tc>
          <w:tcPr>
            <w:tcW w:w="35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$466,416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$408,401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$58,015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gross profit for the three and nine months ended September 30, 2025 compared to the same periods of 2024 was primarily due to increases in subscription and related revenues. We expect gross margin to increase in the long-term with long-term revenue growth outpacing continued investments in professional services, public cloud, cloud operations, customer support and network infrastructure.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w:t>
      </w:r>
    </w:p>
    <w:tbl>
      <w:tblPr>
        <w:tblW w:w="10346"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412"/>
        <w:gridCol w:w="371"/>
        <w:gridCol w:w="230"/>
        <w:gridCol w:w="109"/>
        <w:gridCol w:w="109"/>
        <w:gridCol w:w="109"/>
        <w:gridCol w:w="196"/>
        <w:gridCol w:w="646"/>
        <w:gridCol w:w="256"/>
        <w:gridCol w:w="109"/>
        <w:gridCol w:w="109"/>
        <w:gridCol w:w="109"/>
        <w:gridCol w:w="196"/>
        <w:gridCol w:w="571"/>
        <w:gridCol w:w="109"/>
        <w:gridCol w:w="109"/>
        <w:gridCol w:w="109"/>
        <w:gridCol w:w="109"/>
        <w:gridCol w:w="173"/>
        <w:gridCol w:w="173"/>
        <w:gridCol w:w="357"/>
        <w:gridCol w:w="109"/>
        <w:gridCol w:w="109"/>
        <w:gridCol w:w="109"/>
        <w:gridCol w:w="290"/>
        <w:gridCol w:w="290"/>
        <w:gridCol w:w="291"/>
        <w:gridCol w:w="109"/>
        <w:gridCol w:w="109"/>
        <w:gridCol w:w="109"/>
        <w:gridCol w:w="290"/>
        <w:gridCol w:w="290"/>
        <w:gridCol w:w="291"/>
        <w:gridCol w:w="109"/>
        <w:gridCol w:w="109"/>
        <w:gridCol w:w="109"/>
        <w:gridCol w:w="220"/>
        <w:gridCol w:w="220"/>
        <w:gridCol w:w="221"/>
        <w:gridCol w:w="109"/>
        <w:gridCol w:w="109"/>
        <w:gridCol w:w="109"/>
        <w:gridCol w:w="206"/>
        <w:gridCol w:w="206"/>
        <w:gridCol w:w="29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$116,230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$124,717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research and development expenses for the three months ended September 30, 2025 compared to the same period of 2024 was primarily due to a $4.1 million increase in research and development costs (excluding stock-based compensation costs) that qualified for capitalization, which resulted in a corresponding decrease in research and development costs, a $1.9 million decrease in personnel-related costs primarily driven by a decrease in stock-based compensation costs, and a $0.4 million decrease in staff augmentation costs. </w:t>
      </w:r>
    </w:p>
    <w:p>
      <w:pPr>
        <w:pStyle w:val="TextBody"/>
        <w:bidi w:val="0"/>
        <w:spacing w:lineRule="auto" w:line="26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research and development expenses for the nine months ended September 30, 2025 compared to the same period of 2024 was primarily due to a $13.9 million increase in research and development costs (excluding stock-based compensation costs) that qualified for capitalization, which resulted in a corresponding decrease in research and development costs, offset in part by a $5.4 million increase in personnel-related costs primarily driven by increased headcount and higher salaries, reduced in part by a decrease in stock-based compensation costs.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and Marketing</w:t>
      </w:r>
    </w:p>
    <w:tbl>
      <w:tblPr>
        <w:tblW w:w="10205" w:type="dxa"/>
        <w:jc w:val="left"/>
        <w:tblInd w:w="0" w:type="dxa"/>
        <w:tblLayout w:type="fixed"/>
        <w:tblCellMar>
          <w:top w:w="28" w:type="dxa"/>
          <w:left w:w="28" w:type="dxa"/>
          <w:bottom w:w="28" w:type="dxa"/>
          <w:right w:w="28" w:type="dxa"/>
        </w:tblCellMar>
      </w:tblPr>
      <w:tblGrid>
        <w:gridCol w:w="267"/>
        <w:gridCol w:w="234"/>
        <w:gridCol w:w="236"/>
        <w:gridCol w:w="109"/>
        <w:gridCol w:w="109"/>
        <w:gridCol w:w="109"/>
        <w:gridCol w:w="196"/>
        <w:gridCol w:w="646"/>
        <w:gridCol w:w="256"/>
        <w:gridCol w:w="109"/>
        <w:gridCol w:w="109"/>
        <w:gridCol w:w="109"/>
        <w:gridCol w:w="196"/>
        <w:gridCol w:w="646"/>
        <w:gridCol w:w="256"/>
        <w:gridCol w:w="109"/>
        <w:gridCol w:w="109"/>
        <w:gridCol w:w="109"/>
        <w:gridCol w:w="196"/>
        <w:gridCol w:w="571"/>
        <w:gridCol w:w="109"/>
        <w:gridCol w:w="109"/>
        <w:gridCol w:w="109"/>
        <w:gridCol w:w="109"/>
        <w:gridCol w:w="152"/>
        <w:gridCol w:w="152"/>
        <w:gridCol w:w="357"/>
        <w:gridCol w:w="109"/>
        <w:gridCol w:w="109"/>
        <w:gridCol w:w="109"/>
        <w:gridCol w:w="290"/>
        <w:gridCol w:w="290"/>
        <w:gridCol w:w="291"/>
        <w:gridCol w:w="109"/>
        <w:gridCol w:w="109"/>
        <w:gridCol w:w="109"/>
        <w:gridCol w:w="290"/>
        <w:gridCol w:w="290"/>
        <w:gridCol w:w="291"/>
        <w:gridCol w:w="109"/>
        <w:gridCol w:w="109"/>
        <w:gridCol w:w="109"/>
        <w:gridCol w:w="220"/>
        <w:gridCol w:w="220"/>
        <w:gridCol w:w="221"/>
        <w:gridCol w:w="109"/>
        <w:gridCol w:w="109"/>
        <w:gridCol w:w="109"/>
        <w:gridCol w:w="206"/>
        <w:gridCol w:w="206"/>
        <w:gridCol w:w="304"/>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$235,180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$238,056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sales and marketing expenses for the three months ended September 30, 2025 compared to the same period of 2024 was primarily due to a $9.7 million decrease in personnel-related costs mainly due to decreased headcount as a result of the 2024 and 2025 Plans and from a decrease in stock-based compensation costs, and by a $0.4 million decrease in travel costs as a result of reduced business travel, offset in part by a $4.1 million increase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of deferred contract acquisition costs driven by the growth in sales and bookings of our solution. The remaining decrease was due to a decline in overall marketing spend during the period.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sales and marketing expenses for the nine months ended September 30, 2025 compared to the same period of 2024 was primarily due to a $12.7 million decrease in personnel-related costs mainly due to decreased headcount as a result of the 2024 and 2025 Plans and from a decrease in stock-based compensation costs, and by a $1.0 million decrease in travel costs as a result of reduced business travel, offset in part by a $10.2 million increase in amortization of deferred contract acquisition costs driven by the growth in sales and bookings of our solution. The remaining offset was due to an increase in overall marketing spend during the period.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w:t>
      </w:r>
    </w:p>
    <w:tbl>
      <w:tblPr>
        <w:tblW w:w="10479"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196"/>
        <w:gridCol w:w="646"/>
        <w:gridCol w:w="256"/>
        <w:gridCol w:w="109"/>
        <w:gridCol w:w="109"/>
        <w:gridCol w:w="109"/>
        <w:gridCol w:w="196"/>
        <w:gridCol w:w="646"/>
        <w:gridCol w:w="256"/>
        <w:gridCol w:w="109"/>
        <w:gridCol w:w="109"/>
        <w:gridCol w:w="109"/>
        <w:gridCol w:w="196"/>
        <w:gridCol w:w="571"/>
        <w:gridCol w:w="109"/>
        <w:gridCol w:w="109"/>
        <w:gridCol w:w="109"/>
        <w:gridCol w:w="109"/>
        <w:gridCol w:w="152"/>
        <w:gridCol w:w="152"/>
        <w:gridCol w:w="357"/>
        <w:gridCol w:w="109"/>
        <w:gridCol w:w="109"/>
        <w:gridCol w:w="109"/>
        <w:gridCol w:w="290"/>
        <w:gridCol w:w="290"/>
        <w:gridCol w:w="291"/>
        <w:gridCol w:w="109"/>
        <w:gridCol w:w="109"/>
        <w:gridCol w:w="109"/>
        <w:gridCol w:w="290"/>
        <w:gridCol w:w="290"/>
        <w:gridCol w:w="291"/>
        <w:gridCol w:w="109"/>
        <w:gridCol w:w="109"/>
        <w:gridCol w:w="109"/>
        <w:gridCol w:w="220"/>
        <w:gridCol w:w="220"/>
        <w:gridCol w:w="221"/>
        <w:gridCol w:w="109"/>
        <w:gridCol w:w="109"/>
        <w:gridCol w:w="109"/>
        <w:gridCol w:w="206"/>
        <w:gridCol w:w="206"/>
        <w:gridCol w:w="294"/>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$105,952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general and administrative expenses for the three months ended September 30, 2025 compared to the same period of 2024 was primarily due to a $1.1 million decrease in office, facilities and related costs, and a $0.4 million decrease in personnel-related costs.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general and administrative expenses for the nine months ended September 30, 2025 compared to the same period of 2024 was primarily due to a $2.9 million increase in personnel-related costs, a $1.8 million increase in hosted software costs, and a $0.7 million increase in professional costs mainly associated with strategic consulting services, offset in part by a $0.3 million decrease in office, facilities and related costs.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Other Income (Expense), Net </w:t>
      </w:r>
    </w:p>
    <w:tbl>
      <w:tblPr>
        <w:tblW w:w="11540" w:type="dxa"/>
        <w:jc w:val="left"/>
        <w:tblInd w:w="0" w:type="dxa"/>
        <w:tblLayout w:type="fixed"/>
        <w:tblCellMar>
          <w:top w:w="28" w:type="dxa"/>
          <w:left w:w="28" w:type="dxa"/>
          <w:bottom w:w="28" w:type="dxa"/>
          <w:right w:w="28" w:type="dxa"/>
        </w:tblCellMar>
      </w:tblPr>
      <w:tblGrid>
        <w:gridCol w:w="456"/>
        <w:gridCol w:w="401"/>
        <w:gridCol w:w="344"/>
        <w:gridCol w:w="109"/>
        <w:gridCol w:w="109"/>
        <w:gridCol w:w="109"/>
        <w:gridCol w:w="196"/>
        <w:gridCol w:w="571"/>
        <w:gridCol w:w="256"/>
        <w:gridCol w:w="109"/>
        <w:gridCol w:w="109"/>
        <w:gridCol w:w="109"/>
        <w:gridCol w:w="196"/>
        <w:gridCol w:w="571"/>
        <w:gridCol w:w="256"/>
        <w:gridCol w:w="109"/>
        <w:gridCol w:w="109"/>
        <w:gridCol w:w="109"/>
        <w:gridCol w:w="196"/>
        <w:gridCol w:w="571"/>
        <w:gridCol w:w="109"/>
        <w:gridCol w:w="109"/>
        <w:gridCol w:w="109"/>
        <w:gridCol w:w="109"/>
        <w:gridCol w:w="203"/>
        <w:gridCol w:w="203"/>
        <w:gridCol w:w="357"/>
        <w:gridCol w:w="109"/>
        <w:gridCol w:w="109"/>
        <w:gridCol w:w="109"/>
        <w:gridCol w:w="196"/>
        <w:gridCol w:w="661"/>
        <w:gridCol w:w="256"/>
        <w:gridCol w:w="109"/>
        <w:gridCol w:w="109"/>
        <w:gridCol w:w="109"/>
        <w:gridCol w:w="196"/>
        <w:gridCol w:w="661"/>
        <w:gridCol w:w="256"/>
        <w:gridCol w:w="109"/>
        <w:gridCol w:w="109"/>
        <w:gridCol w:w="109"/>
        <w:gridCol w:w="196"/>
        <w:gridCol w:w="661"/>
        <w:gridCol w:w="109"/>
        <w:gridCol w:w="109"/>
        <w:gridCol w:w="109"/>
        <w:gridCol w:w="109"/>
        <w:gridCol w:w="218"/>
        <w:gridCol w:w="218"/>
        <w:gridCol w:w="410"/>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2"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in interest expense for the three months ended September 30, 2025 compared to the same period of 2024 was primarily due to the maturity of the 2025 convertible senior notes on June 1, 2025, offset in part by the issuance of the 2029 convertible senior notes in March 2024. The increase in interest expense for the nine months ended September 30, 2025 compared to the same period of 2024 was primarily due to the issuance of the 2029 convertible senior notes in March 2024, offset in part by the maturity of the 2025 convertible senior notes on June 1, 2025.</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2029 convertible senior notes, we used part of the net proceeds from the issuance to repurchase approximately $313.1 million aggregate principal amount of our then outstanding 2025 convertible senior notes in privately-negotiated transactions for aggregate cash consideration of approximately $304.9 million. The repurchase transaction was accounted for as a debt extinguishment. The difference between the consideration used to extinguish the 2025 convertible senior notes and the carrying value of the 2025 convertible senior notes (including unamortized debt discount and issuance cost) resulted in an extinguishment gain of approximately $6.6 million. See Note 6 to the condensed consolidated financial statements for further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interest income and other for the three months ended September 30, 2025 compared to the same period of 2024 was primarily due to the $434.4 million of cash paid in connection with the maturity of the 2025 convertible senior notes resulting in lower investible balances, and from lower interest rates. The decrease in interest income and other for the nine months ended September 30, 2025 compared to the same period of 2024 was primarily due to the cash paid in connection with the maturity of the 2025 convertible senior notes resulting in lower investible balances, from lower interest rates, and from an increase in foreign currency transaction losses.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To date, we have financed our operations primarily through sales of our solution, net proceeds from our equity and debt financings, including the issuance of convertible senior notes in March 2024, May and June 2020 and May 2018, and lease facilities. As of September 30, 2025, we had $743.7 million in working capital, which included $193.4 million in cash and cash equivalents and $482.7 million in marketable investments. Our 2025 convertible senior notes matured on June 1, 2025, and we settled our obligations with respect to the 2025 convertible senior notes through a cash payment of $434.4 million in connection therewith. Our intent is that all marketable investments are available for use in our current operations, including marketable investments with maturity dates greater than one year from September 30, 2025.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March 2024, we issued $747.5 million aggregate principal amount of our 2029 convertible senior notes in a private offering. The 2029 convertible senior notes mature on March 15, 2029 and are our senior unsecured 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estimated debt issuance costs, were approximately $728.8 million. In connection with the issuance of the 2029 convertible senior notes, we used part of the net proceeds from the issuance to repurchase approximately $313.1 million aggregate principal amount of our then outstanding 2025 convertible senior notes in privately-negotiated transactions for aggregate cash consideration of approximately $304.9 million. In connection with the issuance of the 2029 convertible senior notes, we also entered into privately negotiated capped call transactions with certain financial institutions. We believe our existing cash and cash equivalents will be sufficient to meet our working capital and capital expenditure needs for at least the next 12 months.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plan to continue to finance our operations in the future primarily through sales of our solution, net proceeds from equity and debt financings, and lease facilities. Our future capital requirements will depend on many factors including our growth rate, continuing market acceptance of our solution, the strength of the global economy, customer retention, growth within our installed base, our ability to gain new customers, the timing and extent of spending to support research and development efforts, the outcome of any pending or future litigation or other claims by third parties or governmental entities, the expansion of sales and marketing activities and personnel, the introduction of new and enhanced offerings, expenses incurred in expanding our operations internationally, and the effect of the length and severity of the continued macroeconomic challenges, the impact of global tariff increases and potential future increases and announcements regarding same, the Russia-Ukraine conflict, and the conflicts in the Middle East, on these or other factors. We may also acquire or invest in complementary businesses, technologies and intellectual property rights, such as our acquisitions of Aceyus in August 2023 and Acqueon in August 2024, which may increase our use of cash and future capital requirements, both to pay acquisition costs and to support our combined operations. We may raise additional capital through equity or debt financings at any time to fund these or other requirements. However, we may not be able to raise additional capital through equity or debt financings when needed on terms acceptable to us or at all, depending on our financial performance and condition, economic and market conditions, the trading price of our common stock, and other factors, including the length and severity of the current challenging macroeconomic environment and fluctuations in the financial markets, including due to the impact of global tariff increases and potential future increases and announcements regarding same, the Russia-Ukraine conflict and the conflicts in the Middle East. If we are unable to raise additional capital as needed, our business, operating results and financial condition could be harmed. In addition, if our operating performance during the next twelve months is below our expectations, our liquidity and ability to operate our business also could be harmed.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raise additional funds by issuing equity or equity-linked securities, the ownership of our existing stockholders would be diluted. If we raise additional funds through the incurrence of additional indebtedness, we will be subject to increased debt service obligations and could also be subject to restrictive covenants and other operating restrictions that could negatively impact our ability to operate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(in thousands): </w:t>
      </w:r>
    </w:p>
    <w:tbl>
      <w:tblPr>
        <w:tblW w:w="9789" w:type="dxa"/>
        <w:jc w:val="left"/>
        <w:tblInd w:w="0" w:type="dxa"/>
        <w:tblLayout w:type="fixed"/>
        <w:tblCellMar>
          <w:top w:w="28" w:type="dxa"/>
          <w:left w:w="28" w:type="dxa"/>
          <w:bottom w:w="28" w:type="dxa"/>
          <w:right w:w="28" w:type="dxa"/>
        </w:tblCellMar>
      </w:tblPr>
      <w:tblGrid>
        <w:gridCol w:w="2013"/>
        <w:gridCol w:w="1773"/>
        <w:gridCol w:w="1778"/>
        <w:gridCol w:w="109"/>
        <w:gridCol w:w="109"/>
        <w:gridCol w:w="109"/>
        <w:gridCol w:w="267"/>
        <w:gridCol w:w="1140"/>
        <w:gridCol w:w="138"/>
        <w:gridCol w:w="109"/>
        <w:gridCol w:w="109"/>
        <w:gridCol w:w="109"/>
        <w:gridCol w:w="284"/>
        <w:gridCol w:w="1114"/>
        <w:gridCol w:w="147"/>
        <w:gridCol w:w="109"/>
        <w:gridCol w:w="109"/>
        <w:gridCol w:w="109"/>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481" w:type="dxa"/>
            <w:gridSpan w:val="4"/>
            <w:tcBorders/>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142,641 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93,353 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(284,741)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(430,549)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339,398 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(168,755)</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148,010 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pPr>
      <w:r>
        <w:rPr>
          <w:rFonts w:ascii="Times New Roman;serif" w:hAnsi="Times New Roman;serif"/>
          <w:b/>
          <w:i/>
          <w:color w:val="000000"/>
          <w:sz w:val="20"/>
        </w:rPr>
        <w:t>Cash Flows from Operating Activities</w:t>
      </w:r>
      <w:r>
        <w:rPr>
          <w:color w:val="000000"/>
        </w:rPr>
        <w:t xml:space="preserv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is primarily influenced by our personnel-related expenditures, data center and telecommunications carrier costs, office and facility related costs, USF contributions and other regulatory costs and the amount and timing of customer payments. If we continue to improve our financial results, we expect net cash provided by operating activities to increase. Our largest source of operating cash inflows is cash collections from our customers for subscription and related usage services. Payments from customers for these services are typically received monthly.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$142.6 million during the nine months ended September 30, 2025. Net cash provided by operating activities resulted from our net income of $19.7 million, adjustments to reconcile net income to net cash provided by operating activities of $238.6 million, primarily consisting of $114.4 million of stock-based compensation, $63.6 million of amortization of deferred contract acquisition costs, $44.9 million of depreciation and amortization, $15.2 million of reduction in the carrying amount of right-of-use assets, and $3.6 million of amortization of issuance costs on our convertible senior notes, partially offset by use of cash for operating assets and liabilities of $(115.7) million primarily due to the timing of cash payments to vendors and cash receipts from customers and $(6.7) million accretion of discount on marketable investments.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$93.4 million during the nine months ended September 30, 2024. Net cash provided by operating activities resulted from our net loss of $24.3 million, adjustments to reconcile net loss to net cash provided by operating activities of $207.2 million, primarily consisting of $127.9 million of stock-based compensation, $52.2 million of amortization of deferred contract acquisition costs, $38.3 million of depreciation and amortization, $10.6 million of reduction in the carrying amount of right-of-use assets, $4.0 million of amortization of issuance costs on our convertible senior notes, $1.3 million impairment charge of an equity investment, $(16.8) million accretion of discount on marketable investments and $(6.6) million gain on early extinguishment of debt, partially offset by use of cash for operating assets and liabilities of $(89.5) million primarily due to the timing of cash payments to vendors and cash receipts from customers. </w: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of $119.2 million in the nine months ended September 30, 2025 was comprised of $736.4 million related to cash proceeds from sales and maturities of marketable investments, offset in part by $569.2 million related to purchases of marketable investments, $29.1 million in capitalized software development costs and $18.7 million in capital expenditures.</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of $(284.7) million in the nine months ended September 30, 2024 was comprised of $993.5 million related to purchases of marketable investments, $167.2 million, net of cash acquired, in connection with the acquisition of Acqueon, $33.1 million in capital expenditures and $14.2 million in capitalized software development costs, offset in part by $923.1 million related to cash proceeds from sales and maturities of marketable investments. </w:t>
      </w:r>
    </w:p>
    <w:p>
      <w:pPr>
        <w:pStyle w:val="TextBody"/>
        <w:bidi w:val="0"/>
        <w:spacing w:lineRule="auto" w:line="268" w:before="240" w:after="283"/>
        <w:ind w:left="0" w:right="0" w:firstLine="495"/>
        <w:jc w:val="both"/>
        <w:rPr>
          <w:rFonts w:ascii="Times New Roman;serif" w:hAnsi="Times New Roman;serif"/>
          <w:b/>
          <w:i/>
          <w:color w:val="000000"/>
          <w:sz w:val="20"/>
        </w:rPr>
      </w:pPr>
      <w:r>
        <w:rPr>
          <w:rFonts w:ascii="Times New Roman;serif" w:hAnsi="Times New Roman;serif"/>
          <w:b/>
          <w:i/>
          <w:color w:val="000000"/>
          <w:sz w:val="20"/>
        </w:rPr>
        <w:t xml:space="preserve">Cash Flows from Financing Activities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of $(430.5) million in the nine months ended September 30, 2025 was primarily related to $434.4 million of cash paid in connection with the maturity of the 2025 convertible senior notes and $7.2 million of payments related to finance leases, offset in part by $7.9 million from the sale of common stock under our employee stock purchase plan and $3.1 million from the exercise of stock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of $339.4 million in the nine months ended September 30, 2024 was related to net cash proceeds of $728.8 million from the issuance of the 2029 convertible senior notes, net of initial purchasers' discounts and commissions and debt issuance costs, $9.5 million from the sale of common stock under our employee stock purchase plan, $0.5 million cash received from the partial termination of capped calls associated with the 2025 convertible senior notes, and $0.4 million of cash proceeds from the exercise of stock options, offset in part by $304.5 million from the repurchase of a portion of the 2025 convertible senior notes, $93.4 million from the payment for capped call transactions associated with the 2029 convertible senior notes, and $2.0 million of payments related to finance leases.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are prepared in accordance with U.S. GAAP. The preparation of these financial statements requires us to make estimates and assumptions that affect the reported amounts of assets, liabilities, revenue, expenses and related disclosures. On an ongoing basis, we evaluate our estimates and assumptions. Our actual results may differ from these estimates under different assumptions or conditions.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from those disclosed in our Annual Report on Form 10-K for the fiscal year ended December 31, 2024 filed with the SEC on February 22,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Refer to Note 1 of the notes to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Contractual and Other Obligations </w:t>
      </w:r>
    </w:p>
    <w:p>
      <w:pPr>
        <w:pStyle w:val="TextBody"/>
        <w:bidi w:val="0"/>
        <w:spacing w:lineRule="auto" w:line="312" w:before="120" w:after="283"/>
        <w:jc w:val="left"/>
        <w:rPr/>
      </w:pPr>
      <w:r>
        <w:rPr>
          <w:rFonts w:ascii="Times New Roman;serif" w:hAnsi="Times New Roman;serif"/>
          <w:b w:val="false"/>
          <w:color w:val="000000"/>
          <w:sz w:val="20"/>
        </w:rPr>
        <w:t>Our material cash requirements include the following contractual and other obligations.</w:t>
      </w:r>
      <w:r>
        <w:rPr>
          <w:color w:val="000000"/>
        </w:rPr>
        <w:t xml:space="preserve"> </w:t>
      </w:r>
    </w:p>
    <w:p>
      <w:pPr>
        <w:pStyle w:val="TextBody"/>
        <w:bidi w:val="0"/>
        <w:spacing w:lineRule="auto" w:line="312"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Convertible Senior Notes </w:t>
      </w:r>
    </w:p>
    <w:p>
      <w:pPr>
        <w:pStyle w:val="TextBody"/>
        <w:bidi w:val="0"/>
        <w:spacing w:lineRule="auto" w:line="26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May and June 2020, we issued $747.5 million aggregate principal amount of our 2025 convertible senior notes in a private offering. The 2025 convertible senior notes mature on June 1, 2025 and are our senior unsecured obligations. The 2025 convertible senior notes bear interest at a fixed rate of 0.50% per annum, payable semiannually in arrears on June 1 and December 1 of each year, beginning December 1, 2020. The total net proceeds from the offering, after deducting initial purchasers’ discounts and commissions and estimated debt issuance costs, were approximately $728.8 million. In connection with the issuance of the 2029 convertible senior notes, we used part of the net proceeds from the issuance to repurchase approximately $313.1 million aggregate principal amount of our 2025 convertible senior notes. Our 2025 convertible senior notes matured on June 1, 2025, and we settled our obligations with respect to the 2025 convertible senior notes in cash in connection therewith. </w:t>
      </w:r>
    </w:p>
    <w:p>
      <w:pPr>
        <w:pStyle w:val="TextBody"/>
        <w:bidi w:val="0"/>
        <w:spacing w:lineRule="auto" w:line="268" w:before="120" w:after="283"/>
        <w:ind w:left="0" w:right="0" w:firstLine="495"/>
        <w:jc w:val="both"/>
        <w:rPr/>
      </w:pPr>
      <w:r>
        <w:rPr>
          <w:rFonts w:ascii="Times New Roman;serif" w:hAnsi="Times New Roman;serif"/>
          <w:b w:val="false"/>
          <w:color w:val="000000"/>
          <w:sz w:val="20"/>
        </w:rPr>
        <w:t>In March 2024, we issued $747.5 million aggregate principal amount of our 2029 convertible senior notes in a private offering. The 2029 convertible senior notes mature on March 15, 2029 and are our senior unsecured 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debt issuance costs, were approximately $728.8 million. As of September 30, 2025, the aggregate principal amount outstanding of our 2029 convertible senior notes was $747.5 million.</w:t>
      </w:r>
      <w:r>
        <w:rPr>
          <w:color w:val="000000"/>
        </w:rPr>
        <w:t xml:space="preserve"> </w:t>
      </w:r>
    </w:p>
    <w:p>
      <w:pPr>
        <w:pStyle w:val="TextBody"/>
        <w:bidi w:val="0"/>
        <w:spacing w:lineRule="auto" w:line="26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6 to the condensed consolidated financial statements included in this report for further details.</w:t>
      </w:r>
    </w:p>
    <w:p>
      <w:pPr>
        <w:pStyle w:val="TextBody"/>
        <w:bidi w:val="0"/>
        <w:spacing w:lineRule="auto" w:line="237"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Leases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leases for offices, data centers and computer and networking equipment that expire at various dates through 2031. Our leases have remaining terms of one to seven years. Some of the leases include an option to extend the leases for up to one to five years, and some of the leases include the option to terminate the leases upon 30-days' notice. We had outstanding operating lease obligations of $51.3 million as of September 30, 2025, with $3.2 million payable in the remainder of 2025, $22.6 million payable within one to three years, $16.5 million payable within three to five years, and $9.0 million payable after five years. We also had outstanding finance lease obligations of $17.8 million as of September 30, 2025, with $2.5 million payable in the remainder of 2025, and $15.0 million payable within one to three years, and $0.3 million payable within three to five years. We entered into additional three-year equipment finance lease agreements and recognized $3.9 million right of use assets during the nine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months ended September 30, 2025, which were reported within "Finance lease right-of-use assets" and are being depreciated on a straight-line basis over the lease term. As a result, we also recognized short-term lease liabilities of $1.3 million within "Finance lease liabilities" and long-term lease liabilities of $2.6 million within "Finance lease liabilities - less current portion" during these periods. See Note 12 to the condensed consolidated financial statements included in this report for further details. </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Cloud Services and Software and Maintenance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outstanding cloud services and software and maintenance agreement commitments totaling $20.4 million, of which $2.8 million is expected to be purchased in the remainder of 2025, and the remaining $17.6 million is expected to be purchased in 2026. During 2024 and the nine months ended September 30, 2025, we entered into equipment finance lease arrangements that resulted in $4.6 million additional reduction of our outstanding cloud services commitment. </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Hosting and Telecommunication Usage Services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agreements with third parties to provide co-location hosting and telecommunication usage services. The agreements require payments for a fixed period of time in exchange for certain guarantees of network and telecommunication availability. As of September 30, 2025, we had outstanding hosting and telecommunication usage services obligations of $12.4 million, with $1.7 million payable in the remainder of 2025, $8.6 million payable in 2026 and 2027, $1.9 million payable in 2028 and 2029, and $0.2 million payable in 2030. </w:t>
      </w:r>
    </w:p>
    <w:p>
      <w:pPr>
        <w:pStyle w:val="TextBody"/>
        <w:bidi w:val="0"/>
        <w:spacing w:lineRule="auto" w:line="288" w:before="18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Indemnification Agreements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enter into agreements of varying scope and terms pursuant to which we agree to indemnify customers, vendors, lessors, business partners and other parties with respect to certain matters, including, but not limited to, losses arising out of breach of such agreements, services to be provided by us or from intellectual property infringement claims made by third parties. We have received indemnification demands, and will likely continue to receive demands, from customers regarding our intellectual property indemnification obligations under these contracts. In addition, we have entered into indemnification agreements with our directors, officers and certain employees that will require us, among other things, to indemnify them against certain liabilities that may arise by reason of their status or service as directors, officers or employees. There are no claims that we are aware of that could have a material effect on our consolidated balance sheet, consolidated statements of operations and comprehensive income (loss), or consolidated statements of cash flows. </w:t>
      </w:r>
    </w:p>
    <w:p>
      <w:pPr>
        <w:pStyle w:val="TextBody"/>
        <w:bidi w:val="0"/>
        <w:spacing w:lineRule="auto" w:line="288" w:before="120" w:after="283"/>
        <w:ind w:left="0" w:right="0" w:firstLine="495"/>
        <w:jc w:val="both"/>
        <w:rPr/>
      </w:pPr>
      <w:r>
        <w:rPr>
          <w:color w:val="000000"/>
        </w:rPr>
        <w:t> </w:t>
      </w:r>
      <w:r>
        <w:rPr>
          <w:rFonts w:ascii="Times New Roman;serif" w:hAnsi="Times New Roman;serif"/>
          <w:b/>
          <w:i/>
          <w:color w:val="000000"/>
          <w:sz w:val="20"/>
        </w:rPr>
        <w:t>Contingencies — Legal and Regulatory</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certain legal and regulatory proceedings, and from time to time may be involved in a variety of claims, lawsuits, investigations, and proceedings relating to contractual disputes, intellectual property rights, employment matters, regulatory compliance matters, and other litigation matters relating to various claims that arise in the normal course of business. We determine whether an estimated loss from a contingency should be accrued by assessing whether a loss is deemed probable and can be reasonably estimated. We assess our potential liability by analyzing specific litigation and regulatory matters using reasonably available information. We develop our views on estimated losses in consultation with inside and outside counsel, which involves a subjective analysis of potential results and outcomes, assuming various combinations of appropriate litigation and settlement strategies. Legal fees are expensed in the period in which they are incurred. We are currently party to the following action: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December 4, 2024, a purported holder of our securities filed a putative class action complaint against us, our Chief Executive Officer, and our then-current Chief Financial Officer in the United States District Court for the Northern District of California alleging violations of Section 10(b) and 20(a) of the Securities Exchange Act of 1934 and Rule 10b-5, promulgated thereunder, based on alleged false and/or misleading statements or omissions regarding us and our business and seeking unspecified damages on behalf of all persons and entities (subject to specified exceptions) that purchased or otherwise acquired our securities, including call options, from June 4, 2024, through the close of trading on August 8, 2024. On February 3, 2025, Lucid Alternative Fund, LP moved to be appointed lead plaintiff of this action pursuant to the Private Securities Litigation Reform Act of 1995. On March 18, 2025, the court appointed Lucid Alternative Fund, LP as lead plaintiff and approved lead plaintiff’s selection of lead counsel. Per the court’s subsequent order on March 27, 2025, Lucid Alternative Fund, LP filed an amended complaint on May 30, 2025. We filed a motion to dismiss the amended complaint on July 29, 2025. We cannot predict the duration or outcome of this lawsuit at this time. As a result, we are unable to estimate the reasonably possible loss or range of reasonably possible losses arising from this lawsuit. We intend to vigorously defend this lawsuit.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March 18, 2025, a related shareholder derivative action was filed in the United States District Court for the Northern District of California on behalf of nominal defendant Five9, Inc. and against its directors and certain of its officers seeking to assert claims for breach of fiduciary duty, unjust enrichment, abuse of control, gross mismanagement, and waste of corporate assets, and for contribution under Sections 10(b) and 21D of the Securities Exchange Act of 1934. The Company was served with the complaint on March 20, 2025. On April 4, 2025, the parties to the derivative action jointly filed a stipulation with the court to stay the derivative action until the resolution of the motion to dismiss in the securities action, as well as any subsequent motion to dismiss any further amended complaint in the securities action. On April 8, 2025, the court approved the stay stipulation. </w:t>
      </w:r>
    </w:p>
    <w:p>
      <w:pPr>
        <w:pStyle w:val="TextBody"/>
        <w:bidi w:val="0"/>
        <w:spacing w:before="240" w:after="283"/>
        <w:jc w:val="left"/>
        <w:rPr/>
      </w:pPr>
      <w:r>
        <w:rPr/>
      </w:r>
    </w:p>
    <w:p>
      <w:pPr>
        <w:pStyle w:val="TextBody"/>
        <w:bidi w:val="0"/>
        <w:spacing w:before="180" w:after="283"/>
        <w:ind w:left="0" w:right="0" w:firstLine="495"/>
        <w:jc w:val="left"/>
        <w:rPr/>
      </w:pPr>
      <w:r>
        <w:rPr/>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312" w:before="300" w:after="283"/>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 For a discussion of market risk, see “Quantitative and Qualitative Disclosure about Market Risk” in Item 7A of our Annual Report on Form 10-K for the fiscal year ended December 31, 2024. Our exposure to market risk has not changed materially since December 31, 2024.</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Rate Sensitivity</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had cash and cash equivalents, and marketable securities totaling $676.2 million as of September 30, 2025. Cash equivalents and marketable securities were invested primarily in U.S. agency and government sponsored securities, U.S. treasury securities, municipal bonds, commercial paper, corporate bonds, certificates of deposit and money market funds. Our investment policy is focused on the preservation of capital and supporting our liquidity needs. Under this policy, we invest in highly rated securities, while limiting the amount of credit exposure to any one issuer other than the U.S. government. We do not invest in financial instruments for trading or speculative purposes, nor do we use leveraged financial instruments. We utilize external investment managers who adhere to the guidelines of our investment policy. A hypothetical 100 basis point change in interest rates would not have a material impact on the value of our cash and cash equivalents or marketable investments.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aggregate principal amount outstanding of our 2029 convertible senior notes was $747.5 million. The fair values of the convertible senior notes are subject to interest rate risk, market risk and other factors due to their conversion features. The fair value of the convertible senior notes will generally increase as our common stock price increases and will generally decrease as our common stock price declines. The interest and market value changes affect the fair value of the convertible senior notes but do not impact our financial position, cash flows or results of operations due to the fixed nature of the debt obligations. Additionally, we carry the convertible senior notes at face value less unamortized discount on our condensed consolidated balance sheets, and we present the fair value for required disclosure purposes only.</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2029 convertible senior notes bear fixed interest rates and, therefore, are not subject to interest rate risk. We have not utilized derivative financial instruments, derivative commodity instruments or other market risk sensitive instruments, positions or transactions in any material fashion, except for the privately negotiated capped call transactions entered into in March 2024 related to the issuance of our 2029 convertible senior notes. </w:t>
      </w:r>
    </w:p>
    <w:p>
      <w:pPr>
        <w:pStyle w:val="TextBody"/>
        <w:bidi w:val="0"/>
        <w:spacing w:lineRule="auto" w:line="26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Foreign Currency Risk</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functional currency of our foreign subsidiaries is the U.S. dollar. Our sales are primarily denominated in U.S. dollars and, therefore, our revenue is not directly subject to foreign currency risk. However, we are indirectly exposed to foreign currency risk. A stronger U.S. dollar makes our solution more expensive outside the United States and therefore can reduce demand. A weaker U.S. dollar could have the opposite effects. Such economic exposure to currency fluctuations is difficult to measure or predict because our sales are influenced by many factors in addition to the impact of currency fluctuations. Our operating expenses are generally denominated in the currencies of the countries in which our operations are located.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During the nine months ended September 30, 2025, the effect of a hypothetical 10% change in foreign currency exchange rates applicable to our business would have a maximum impact of $9.4 million on our operating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Evaluation of Disclosure Controls and Procedures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and Chief Financial Officer, we conducted an evaluation of the effectiveness of our disclosure controls and procedures, as defined in Rules 13a-15(e) and 15d-15(e) under the Exchange Act, as of September 30, 2025.</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Based on management’s evaluation, our Chief Executive Officer and Chief Financial Officer concluded that, as of September 30, 2025, our disclosure controls and procedures were designed, and were effective,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as appropriate to allow timely decisions regarding required disclosures.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there was no change in our internal control over financial reporting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312" w:before="24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Information with respect to this Item may be found under the heading “Legal Matters” in Note 10 to the condensed consolidated financial statements in this Quarterly Report on Form 10-Q,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from the Risk Factors previously disclosed in Part 1, Item 1A, of our Annual Report on Form 10-K for the fiscal year ended December 31, 2024. In addition to the other information set forth in this report, you should carefully consider the Risk Factors discussed in our Annual Report on Form 10-K as they could materially affect our business, financial condition and future results of operation.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312"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312"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288" w:before="120" w:after="283"/>
        <w:ind w:left="0" w:right="0" w:firstLine="495"/>
        <w:jc w:val="left"/>
        <w:rPr/>
      </w:pPr>
      <w:r>
        <w:rPr>
          <w:rFonts w:ascii="Times New Roman;serif" w:hAnsi="Times New Roman;serif"/>
          <w:b/>
          <w:i/>
          <w:color w:val="000000"/>
          <w:sz w:val="20"/>
        </w:rPr>
        <w:t>Rule 10b5-1 Plans</w:t>
      </w:r>
      <w:r>
        <w:rPr>
          <w:color w:val="EE2724"/>
        </w:rPr>
        <w:t xml:space="preserv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September 30, 2025, none of the Company's directors and officers adopted, modified, or terminated a Rule 10b5-1 trading arrangement or a non-Rule 10b5-1 trading arrangement other than as set forth herein: </w:t>
      </w:r>
    </w:p>
    <w:tbl>
      <w:tblPr>
        <w:tblW w:w="10205" w:type="dxa"/>
        <w:jc w:val="left"/>
        <w:tblInd w:w="0" w:type="dxa"/>
        <w:tblLayout w:type="fixed"/>
        <w:tblCellMar>
          <w:top w:w="28" w:type="dxa"/>
          <w:left w:w="28" w:type="dxa"/>
          <w:bottom w:w="28" w:type="dxa"/>
          <w:right w:w="28" w:type="dxa"/>
        </w:tblCellMar>
      </w:tblPr>
      <w:tblGrid>
        <w:gridCol w:w="378"/>
        <w:gridCol w:w="299"/>
        <w:gridCol w:w="294"/>
        <w:gridCol w:w="452"/>
        <w:gridCol w:w="425"/>
        <w:gridCol w:w="431"/>
        <w:gridCol w:w="407"/>
        <w:gridCol w:w="372"/>
        <w:gridCol w:w="374"/>
        <w:gridCol w:w="394"/>
        <w:gridCol w:w="394"/>
        <w:gridCol w:w="396"/>
        <w:gridCol w:w="582"/>
        <w:gridCol w:w="582"/>
        <w:gridCol w:w="584"/>
        <w:gridCol w:w="657"/>
        <w:gridCol w:w="657"/>
        <w:gridCol w:w="659"/>
        <w:gridCol w:w="544"/>
        <w:gridCol w:w="544"/>
        <w:gridCol w:w="780"/>
      </w:tblGrid>
      <w:tr>
        <w:trPr/>
        <w:tc>
          <w:tcPr>
            <w:tcW w:w="37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Name</w:t>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Title</w:t>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Adoption Date</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Expiration Date</w:t>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Aggregate # of securities to be sold</w:t>
            </w:r>
          </w:p>
        </w:tc>
        <w:tc>
          <w:tcPr>
            <w:tcW w:w="1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Aggregate # of securities to be purchased</w:t>
            </w:r>
          </w:p>
        </w:tc>
        <w:tc>
          <w:tcPr>
            <w:tcW w:w="18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u w:val="single"/>
              </w:rPr>
              <w:t>Type of Arrangement</w:t>
            </w:r>
            <w:r>
              <w:rPr>
                <w:rFonts w:ascii="Times New Roman;serif" w:hAnsi="Times New Roman;serif"/>
                <w:b w:val="false"/>
                <w:color w:val="000000"/>
                <w:sz w:val="10"/>
                <w:u w:val="single"/>
              </w:rPr>
              <w:t>(2)</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Bryan Lee</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Chief Financial Officer</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September 3, 2025</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December 31, 2026</w:t>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10,874</w:t>
            </w:r>
            <w:r>
              <w:rPr>
                <w:rFonts w:ascii="Times New Roman;serif" w:hAnsi="Times New Roman;serif"/>
                <w:b w:val="false"/>
                <w:color w:val="000000"/>
                <w:sz w:val="10"/>
              </w:rPr>
              <w:t>(1)</w:t>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Rule 10b5-1 trading arrangement </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Andrew Dignan</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Chief Operating Officer</w:t>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September 2, 2025</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December 31, 2026</w:t>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68,801</w:t>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Rule 10b5-1 trading arrangement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(1) Does not include an additional indeterminable number of shares permitted to be sold pursuant to the Rule 10b5-1 trading arrangement in order to satisfy tax obligations upon the vesting of restricted stock units.</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(2) The Rule 10b5-1 trading arrangement is intended to satisfy the affirmative defense conditions of Rule 10b5-1(c).</w:t>
      </w:r>
    </w:p>
    <w:p>
      <w:pPr>
        <w:pStyle w:val="TextBody"/>
        <w:bidi w:val="0"/>
        <w:spacing w:before="0" w:after="0"/>
        <w:jc w:val="left"/>
        <w:rPr/>
      </w:pPr>
      <w:r>
        <w:rPr/>
      </w:r>
    </w:p>
    <w:p>
      <w:pPr>
        <w:pStyle w:val="TextBody"/>
        <w:bidi w:val="0"/>
        <w:spacing w:before="120" w:after="283"/>
        <w:ind w:left="0" w:right="0" w:firstLine="495"/>
        <w:jc w:val="left"/>
        <w:rPr/>
      </w:pPr>
      <w:r>
        <w:rPr/>
      </w:r>
    </w:p>
    <w:p>
      <w:pPr>
        <w:pStyle w:val="TextBody"/>
        <w:bidi w:val="0"/>
        <w:spacing w:before="12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ind w:left="0" w:right="0" w:firstLine="495"/>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2974"/>
        <w:gridCol w:w="2830"/>
        <w:gridCol w:w="2860"/>
        <w:gridCol w:w="109"/>
        <w:gridCol w:w="109"/>
        <w:gridCol w:w="155"/>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10.</w:t>
              </w:r>
            </w:hyperlink>
            <w:hyperlink r:id="rId3">
              <w:r>
                <w:rPr>
                  <w:rStyle w:val="InternetLink"/>
                  <w:rFonts w:ascii="Times New Roman;serif" w:hAnsi="Times New Roman;serif"/>
                  <w:b w:val="false"/>
                  <w:color w:val="000080"/>
                  <w:sz w:val="20"/>
                  <w:u w:val="single"/>
                </w:rPr>
                <w:t>1</w:t>
              </w:r>
            </w:hyperlink>
            <w:hyperlink r:id="rId4">
              <w:r>
                <w:rPr>
                  <w:rStyle w:val="InternetLink"/>
                  <w:rFonts w:ascii="Times New Roman;serif" w:hAnsi="Times New Roman;serif"/>
                  <w:b w:val="false"/>
                  <w:color w:val="000080"/>
                  <w:sz w:val="20"/>
                  <w:u w:val="single"/>
                </w:rPr>
                <w:t>+</w:t>
              </w:r>
            </w:hyperlink>
            <w:hyperlink r:id="rId5">
              <w:r>
                <w:rPr>
                  <w:rStyle w:val="InternetLink"/>
                  <w:rFonts w:ascii="Wingdings 2;sans-serif" w:hAnsi="Wingdings 2;sans-serif"/>
                  <w:b w:val="false"/>
                  <w:color w:val="0000FF"/>
                  <w:sz w:val="16"/>
                  <w:u w:val="single"/>
                </w:rPr>
                <w:t>Ø</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Employment Transition Agreement between Five9, Inc. and Michael Burkland, dated July 31, 2025 (filed as Exhibit 10.1 to the Company's Current Report on Form 8-K (filed with the SEC on July 31, 2025 (File No. 001-36383) and incorporated by reference herein.)</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93025exhibit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93025exhibit311.htm">
              <w:r>
                <w:rPr>
                  <w:rStyle w:val="InternetLink"/>
                  <w:rFonts w:ascii="Times New Roman;serif" w:hAnsi="Times New Roman;serif"/>
                  <w:b w:val="false"/>
                  <w:color w:val="0000FF"/>
                  <w:sz w:val="20"/>
                  <w:u w:val="single"/>
                </w:rPr>
                <w:t>Certification of Chief Executive Officer of Five9, Inc. Pursuant to Section 302 of the Sarbanes-Oxley Act of 2002.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93025exhibit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93025exhibit312.htm">
              <w:r>
                <w:rPr>
                  <w:rStyle w:val="InternetLink"/>
                  <w:rFonts w:ascii="Times New Roman;serif" w:hAnsi="Times New Roman;serif"/>
                  <w:b w:val="false"/>
                  <w:color w:val="0000FF"/>
                  <w:sz w:val="20"/>
                  <w:u w:val="single"/>
                </w:rPr>
                <w:t>Certification of Chief Financial Officer of Five9, Inc. Pursuant to Section 302 of the Sarbanes-Oxley Act of 2002.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93025exhibit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93025exhibit321.htm">
              <w:r>
                <w:rPr>
                  <w:rStyle w:val="InternetLink"/>
                  <w:rFonts w:ascii="Times New Roman;serif" w:hAnsi="Times New Roman;serif"/>
                  <w:b w:val="false"/>
                  <w:color w:val="0000FF"/>
                  <w:sz w:val="20"/>
                  <w:u w:val="single"/>
                </w:rPr>
                <w:t>Certification of Chief Executive Officer and Chief Financial Officer of Five9, Inc. Pursuant to 18 U.S.C. Section 1350, as adopted pursuant to Section 906 of the Sarbanes-Oxley Act of 2002.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Schema Linkbase Document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Calculation Linkbase Document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Definition Linkbase Document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Labels Linkbase Document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Presentation Linkbase Document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Formatted as inline XBRL and contained in Exhibit 101. </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Wingdings 2;sans-serif" w:hAnsi="Wingdings 2;sans-serif"/>
          <w:b w:val="false"/>
          <w:color w:val="000000"/>
          <w:sz w:val="16"/>
        </w:rPr>
        <w:t xml:space="preserve">Ø </w:t>
      </w:r>
      <w:r>
        <w:rPr>
          <w:rFonts w:ascii="Times New Roman;serif" w:hAnsi="Times New Roman;serif"/>
          <w:b w:val="false"/>
          <w:color w:val="000000"/>
          <w:sz w:val="20"/>
        </w:rPr>
        <w:t xml:space="preserve">Previously filed. </w:t>
      </w:r>
    </w:p>
    <w:p>
      <w:pPr>
        <w:pStyle w:val="TextBody"/>
        <w:bidi w:val="0"/>
        <w:spacing w:lineRule="auto" w:line="288" w:before="0" w:after="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Indicates management contract or compensatory plan.</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 Filed herewith.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60" w:after="283"/>
        <w:jc w:val="left"/>
        <w:rPr/>
      </w:pPr>
      <w:r>
        <w:rPr/>
      </w:r>
    </w:p>
    <w:p>
      <w:pPr>
        <w:pStyle w:val="TextBody"/>
        <w:bidi w:val="0"/>
        <w:spacing w:before="120" w:after="283"/>
        <w:jc w:val="left"/>
        <w:rPr/>
      </w:pPr>
      <w:r>
        <w:rPr/>
      </w:r>
    </w:p>
    <w:p>
      <w:pPr>
        <w:pStyle w:val="TextBody"/>
        <w:bidi w:val="0"/>
        <w:spacing w:before="60" w:after="283"/>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both"/>
        <w:rPr/>
      </w:pPr>
      <w:hyperlink w:anchor="ifff9b538b8624502b00db89bf85e771a_7">
        <w:r>
          <w:rPr>
            <w:rStyle w:val="InternetLink"/>
            <w:rFonts w:ascii="Times New Roman;serif" w:hAnsi="Times New Roman;serif"/>
            <w:b w:val="false"/>
            <w:color w:val="0000FF"/>
            <w:sz w:val="20"/>
            <w:u w:val="single"/>
          </w:rPr>
          <w:t>Table of Contents</w:t>
        </w:r>
      </w:hyperlink>
    </w:p>
    <w:p>
      <w:pPr>
        <w:pStyle w:val="TextBody"/>
        <w:bidi w:val="0"/>
        <w:spacing w:lineRule="auto" w:line="312"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160"/>
        <w:jc w:val="left"/>
        <w:rPr/>
      </w:pPr>
      <w:r>
        <w:rPr/>
      </w:r>
    </w:p>
    <w:p>
      <w:pPr>
        <w:pStyle w:val="TextBody"/>
        <w:bidi w:val="0"/>
        <w:spacing w:lineRule="auto" w:line="312"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233"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54"/>
        <w:gridCol w:w="154"/>
        <w:gridCol w:w="156"/>
        <w:gridCol w:w="764"/>
        <w:gridCol w:w="764"/>
        <w:gridCol w:w="108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Five9, Inc.</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Bryan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Bryan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Leena Mansharamani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Leena Mansharamani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312"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45" w:before="240" w:after="16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SECTION 302 OF</w:t>
      </w:r>
    </w:p>
    <w:p>
      <w:pPr>
        <w:pStyle w:val="TextBody"/>
        <w:bidi w:val="0"/>
        <w:spacing w:lineRule="auto" w:line="345" w:before="0" w:after="24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I, Michael Burkland, certify that: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Five9, Inc. for the quarter ended September 30, 2025;</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5" w:before="0" w:after="0"/>
        <w:jc w:val="left"/>
        <w:rPr>
          <w:color w:val="000000"/>
        </w:rPr>
      </w:pPr>
      <w:r>
        <w:rPr>
          <w:color w:val="000000"/>
        </w:rPr>
        <w:t> </w:t>
      </w:r>
    </w:p>
    <w:tbl>
      <w:tblPr>
        <w:tblW w:w="4933" w:type="dxa"/>
        <w:jc w:val="left"/>
        <w:tblInd w:w="0" w:type="dxa"/>
        <w:tblLayout w:type="fixed"/>
        <w:tblCellMar>
          <w:top w:w="28" w:type="dxa"/>
          <w:left w:w="28" w:type="dxa"/>
          <w:bottom w:w="28" w:type="dxa"/>
          <w:right w:w="28" w:type="dxa"/>
        </w:tblCellMar>
      </w:tblPr>
      <w:tblGrid>
        <w:gridCol w:w="200"/>
        <w:gridCol w:w="177"/>
        <w:gridCol w:w="178"/>
        <w:gridCol w:w="479"/>
        <w:gridCol w:w="479"/>
        <w:gridCol w:w="481"/>
        <w:gridCol w:w="154"/>
        <w:gridCol w:w="154"/>
        <w:gridCol w:w="156"/>
        <w:gridCol w:w="724"/>
        <w:gridCol w:w="724"/>
        <w:gridCol w:w="102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6, 2025</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45" w:before="240" w:after="16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SECTION 302 OF</w:t>
      </w:r>
    </w:p>
    <w:p>
      <w:pPr>
        <w:pStyle w:val="TextBody"/>
        <w:bidi w:val="0"/>
        <w:spacing w:lineRule="auto" w:line="345" w:before="0" w:after="24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I, Bryan Lee, certify that: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Five9, Inc. for the quarter ended September 30, 2025;</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5" w:before="0" w:after="0"/>
        <w:jc w:val="left"/>
        <w:rPr>
          <w:color w:val="000000"/>
        </w:rPr>
      </w:pPr>
      <w:r>
        <w:rPr>
          <w:color w:val="000000"/>
        </w:rPr>
        <w:t> </w:t>
      </w:r>
    </w:p>
    <w:tbl>
      <w:tblPr>
        <w:tblW w:w="4978"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34"/>
        <w:gridCol w:w="134"/>
        <w:gridCol w:w="136"/>
        <w:gridCol w:w="707"/>
        <w:gridCol w:w="707"/>
        <w:gridCol w:w="100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Bryan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Bryan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45" w:before="36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45"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312"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Michael Burkland, certify, pursuant to 18 U.S.C. Section 1350, as adopted pursuant to Section 906 of the Sarbanes-Oxley Act of 2002, that the Quarterly Report of Five9, Inc. (the “Company”) on Form 10-Q for the fiscal quarter ended September 30, 2025 fully complies with the requirements of Section 13(a) or 15(d) of the Securities Exchange Act of 1934 and that information contained in such Quarterly Report on Form 10-Q fairly presents in all material respects the financial condition and results of operations of the Company.</w:t>
      </w:r>
    </w:p>
    <w:p>
      <w:pPr>
        <w:pStyle w:val="TextBody"/>
        <w:bidi w:val="0"/>
        <w:spacing w:lineRule="auto" w:line="345" w:before="0" w:after="0"/>
        <w:jc w:val="left"/>
        <w:rPr>
          <w:color w:val="000000"/>
        </w:rPr>
      </w:pPr>
      <w:r>
        <w:rPr>
          <w:color w:val="000000"/>
        </w:rPr>
        <w:t> </w:t>
      </w:r>
    </w:p>
    <w:tbl>
      <w:tblPr>
        <w:tblW w:w="4692"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54"/>
        <w:gridCol w:w="154"/>
        <w:gridCol w:w="156"/>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Bryan Lee, certify, pursuant to 18 U.S.C. Section 1350, as adopted pursuant to Section 906 of the Sarbanes-Oxley Act of 2002, that the Quarterly Report of Five9, Inc. (the “Company”) on Form 10-Q for the fiscal quarter ended September 30, 2025 fully complies with the requirements of Section 13(a) or 15(d) of the Securities Exchange Act of 1934 and that information contained in such Quarterly Report on Form 10-Q fairly presents in all material respects the financial condition and results of operations of the Company.</w:t>
      </w:r>
    </w:p>
    <w:p>
      <w:pPr>
        <w:pStyle w:val="TextBody"/>
        <w:bidi w:val="0"/>
        <w:spacing w:lineRule="auto" w:line="345" w:before="0" w:after="0"/>
        <w:jc w:val="left"/>
        <w:rPr>
          <w:color w:val="000000"/>
        </w:rPr>
      </w:pPr>
      <w:r>
        <w:rPr>
          <w:color w:val="000000"/>
        </w:rPr>
        <w:t> </w:t>
      </w:r>
    </w:p>
    <w:tbl>
      <w:tblPr>
        <w:tblW w:w="4632"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54"/>
        <w:gridCol w:w="154"/>
        <w:gridCol w:w="15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Bryan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Bryan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120" w:after="283"/>
        <w:ind w:left="0" w:right="0" w:firstLine="495"/>
        <w:jc w:val="left"/>
        <w:rPr/>
      </w:pPr>
      <w:r>
        <w:rPr/>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Five9,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2">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88847/000128884725000177/five9-employmenttransiti.htm" TargetMode="External"/><Relationship Id="rId3" Type="http://schemas.openxmlformats.org/officeDocument/2006/relationships/hyperlink" Target="https://www.sec.gov/Archives/edgar/data/1288847/000128884725000177/five9-employmenttransiti.htm" TargetMode="External"/><Relationship Id="rId4" Type="http://schemas.openxmlformats.org/officeDocument/2006/relationships/hyperlink" Target="https://www.sec.gov/Archives/edgar/data/1288847/000128884725000177/five9-employmenttransiti.htm" TargetMode="External"/><Relationship Id="rId5" Type="http://schemas.openxmlformats.org/officeDocument/2006/relationships/hyperlink" Target="https://www.sec.gov/Archives/edgar/data/1288847/000128884725000177/five9-employmenttransiti.htm" TargetMode="External"/><Relationship Id="rId6" Type="http://schemas.openxmlformats.org/officeDocument/2006/relationships/hyperlink" Target="https://www.sec.gov/Archives/edgar/data/1288847/000128884725000177/five9-employmenttransiti.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25524</Words>
  <Characters>142451</Characters>
  <CharactersWithSpaces>166374</CharactersWithSpaces>
  <Paragraphs>3232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