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0942ds8.htm"/>
      <w:bookmarkStart w:id="1" w:name="ksd70942ds8"/>
      <w:bookmarkEnd w:id="0"/>
      <w:bookmarkEnd w:id="1"/>
      <w:r>
        <w:rPr>
          <w:rFonts w:ascii="Times New Roman" w:hAnsi="Times New Roman"/>
          <w:b/>
          <w:sz w:val="20"/>
        </w:rPr>
        <w:t xml:space="preserve">As filed with the Securities and Exchange Commission on June 5,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FIVE9,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94-3394123</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3001 Bishop Drive, Suite 350 </w:t>
      </w:r>
    </w:p>
    <w:p>
      <w:pPr>
        <w:pStyle w:val="TextBody"/>
        <w:bidi w:val="0"/>
        <w:spacing w:before="0" w:after="0"/>
        <w:jc w:val="center"/>
        <w:rPr>
          <w:rFonts w:ascii="Times New Roman" w:hAnsi="Times New Roman"/>
          <w:b/>
          <w:sz w:val="20"/>
        </w:rPr>
      </w:pPr>
      <w:r>
        <w:rPr>
          <w:rFonts w:ascii="Times New Roman" w:hAnsi="Times New Roman"/>
          <w:b/>
          <w:sz w:val="20"/>
        </w:rPr>
        <w:t xml:space="preserve">San Ramon, California 94583 </w:t>
      </w:r>
    </w:p>
    <w:p>
      <w:pPr>
        <w:pStyle w:val="TextBody"/>
        <w:bidi w:val="0"/>
        <w:spacing w:before="0" w:after="0"/>
        <w:jc w:val="center"/>
        <w:rPr>
          <w:rFonts w:ascii="Times New Roman" w:hAnsi="Times New Roman"/>
          <w:b/>
          <w:sz w:val="20"/>
        </w:rPr>
      </w:pPr>
      <w:r>
        <w:rPr>
          <w:rFonts w:ascii="Times New Roman" w:hAnsi="Times New Roman"/>
          <w:b/>
          <w:sz w:val="20"/>
        </w:rPr>
        <w:t xml:space="preserve">(925) 201-2000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Five9, Inc. 2026 Inducement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Bryan Lee </w:t>
      </w:r>
    </w:p>
    <w:p>
      <w:pPr>
        <w:pStyle w:val="TextBody"/>
        <w:bidi w:val="0"/>
        <w:spacing w:before="0" w:after="0"/>
        <w:jc w:val="center"/>
        <w:rPr>
          <w:rFonts w:ascii="Times New Roman" w:hAnsi="Times New Roman"/>
          <w:b/>
          <w:sz w:val="20"/>
        </w:rPr>
      </w:pPr>
      <w:r>
        <w:rPr>
          <w:rFonts w:ascii="Times New Roman" w:hAnsi="Times New Roman"/>
          <w:b/>
          <w:sz w:val="20"/>
        </w:rPr>
        <w:t xml:space="preserve">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Five9, Inc. </w:t>
      </w:r>
    </w:p>
    <w:p>
      <w:pPr>
        <w:pStyle w:val="TextBody"/>
        <w:bidi w:val="0"/>
        <w:spacing w:before="0" w:after="0"/>
        <w:jc w:val="center"/>
        <w:rPr>
          <w:rFonts w:ascii="Times New Roman" w:hAnsi="Times New Roman"/>
          <w:b/>
          <w:sz w:val="20"/>
        </w:rPr>
      </w:pPr>
      <w:r>
        <w:rPr>
          <w:rFonts w:ascii="Times New Roman" w:hAnsi="Times New Roman"/>
          <w:b/>
          <w:sz w:val="20"/>
        </w:rPr>
        <w:t xml:space="preserve">3001 Bishop Drive, Suite 350 </w:t>
      </w:r>
    </w:p>
    <w:p>
      <w:pPr>
        <w:pStyle w:val="TextBody"/>
        <w:bidi w:val="0"/>
        <w:spacing w:before="0" w:after="0"/>
        <w:jc w:val="center"/>
        <w:rPr>
          <w:rFonts w:ascii="Times New Roman" w:hAnsi="Times New Roman"/>
          <w:b/>
          <w:sz w:val="20"/>
        </w:rPr>
      </w:pPr>
      <w:r>
        <w:rPr>
          <w:rFonts w:ascii="Times New Roman" w:hAnsi="Times New Roman"/>
          <w:b/>
          <w:sz w:val="20"/>
        </w:rPr>
        <w:t xml:space="preserve">San Ramon, California 94583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(925) 201-2000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8"/>
        <w:gridCol w:w="102"/>
        <w:gridCol w:w="4398"/>
        <w:gridCol w:w="126"/>
        <w:gridCol w:w="2607"/>
        <w:gridCol w:w="102"/>
        <w:gridCol w:w="252"/>
      </w:tblGrid>
      <w:tr>
        <w:trPr/>
        <w:tc>
          <w:tcPr>
            <w:tcW w:w="261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9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Large accelerated filer</w:t>
            </w:r>
          </w:p>
        </w:tc>
        <w:tc>
          <w:tcPr>
            <w:tcW w:w="102"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Accelerated filer</w:t>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4500" w:type="dxa"/>
            <w:gridSpan w:val="2"/>
            <w:tcBorders/>
            <w:vAlign w:val="center"/>
          </w:tcPr>
          <w:p>
            <w:pPr>
              <w:pStyle w:val="TableContents"/>
              <w:bidi w:val="0"/>
              <w:spacing w:before="0" w:after="283"/>
              <w:jc w:val="left"/>
              <w:rPr>
                <w:sz w:val="4"/>
                <w:szCs w:val="4"/>
              </w:rPr>
            </w:pPr>
            <w:r>
              <w:rPr>
                <w:sz w:val="4"/>
                <w:szCs w:val="4"/>
              </w:rPr>
            </w:r>
          </w:p>
        </w:tc>
        <w:tc>
          <w:tcPr>
            <w:tcW w:w="2733" w:type="dxa"/>
            <w:gridSpan w:val="2"/>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Non-accelerated filer</w:t>
            </w:r>
          </w:p>
        </w:tc>
        <w:tc>
          <w:tcPr>
            <w:tcW w:w="102"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Smaller reporting company</w:t>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4500" w:type="dxa"/>
            <w:gridSpan w:val="2"/>
            <w:tcBorders/>
            <w:vAlign w:val="center"/>
          </w:tcPr>
          <w:p>
            <w:pPr>
              <w:pStyle w:val="TableContents"/>
              <w:bidi w:val="0"/>
              <w:spacing w:before="0" w:after="283"/>
              <w:jc w:val="left"/>
              <w:rPr>
                <w:sz w:val="4"/>
                <w:szCs w:val="4"/>
              </w:rPr>
            </w:pPr>
            <w:r>
              <w:rPr>
                <w:sz w:val="4"/>
                <w:szCs w:val="4"/>
              </w:rPr>
            </w:r>
          </w:p>
        </w:tc>
        <w:tc>
          <w:tcPr>
            <w:tcW w:w="2733" w:type="dxa"/>
            <w:gridSpan w:val="2"/>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Emerging growth company</w:t>
            </w:r>
          </w:p>
        </w:tc>
        <w:tc>
          <w:tcPr>
            <w:tcW w:w="102"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On June 5, 2026, pursuant to Nasdaq Listing Rule 5635(c)(4) (“</w:t>
      </w:r>
      <w:r>
        <w:rPr>
          <w:rFonts w:ascii="Times New Roman" w:hAnsi="Times New Roman"/>
          <w:b/>
          <w:i/>
          <w:sz w:val="20"/>
        </w:rPr>
        <w:t>Rule 5635(c)(4)</w:t>
      </w:r>
      <w:r>
        <w:rPr>
          <w:rFonts w:ascii="Times New Roman" w:hAnsi="Times New Roman"/>
          <w:sz w:val="20"/>
        </w:rPr>
        <w:t>”), following the approval and at the recommendation of the Compensation Committee of the Board of Directors (the “</w:t>
      </w:r>
      <w:r>
        <w:rPr>
          <w:rFonts w:ascii="Times New Roman" w:hAnsi="Times New Roman"/>
          <w:b/>
          <w:i/>
          <w:sz w:val="20"/>
        </w:rPr>
        <w:t>Board</w:t>
      </w:r>
      <w:r>
        <w:rPr>
          <w:rFonts w:ascii="Times New Roman" w:hAnsi="Times New Roman"/>
          <w:sz w:val="20"/>
        </w:rPr>
        <w:t>”) of Five9, Inc. (the “</w:t>
      </w:r>
      <w:r>
        <w:rPr>
          <w:rFonts w:ascii="Times New Roman" w:hAnsi="Times New Roman"/>
          <w:b/>
          <w:i/>
          <w:sz w:val="20"/>
        </w:rPr>
        <w:t>Registrant</w:t>
      </w:r>
      <w:r>
        <w:rPr>
          <w:rFonts w:ascii="Times New Roman" w:hAnsi="Times New Roman"/>
          <w:sz w:val="20"/>
        </w:rPr>
        <w:t>”), the Board adopted the Five9, Inc. 2026 Inducement Equity Incentive Plan (the “</w:t>
      </w:r>
      <w:r>
        <w:rPr>
          <w:rFonts w:ascii="Times New Roman" w:hAnsi="Times New Roman"/>
          <w:b/>
          <w:i/>
          <w:sz w:val="20"/>
        </w:rPr>
        <w:t>Plan</w:t>
      </w:r>
      <w:r>
        <w:rPr>
          <w:rFonts w:ascii="Times New Roman" w:hAnsi="Times New Roman"/>
          <w:sz w:val="20"/>
        </w:rPr>
        <w:t>”), pursuant to which the Registrant reserved 2.9 million shares of common stock, par value $0.001 per share (the “</w:t>
      </w:r>
      <w:r>
        <w:rPr>
          <w:rFonts w:ascii="Times New Roman" w:hAnsi="Times New Roman"/>
          <w:b/>
          <w:i/>
          <w:sz w:val="20"/>
        </w:rPr>
        <w:t>Common Stock</w:t>
      </w:r>
      <w:r>
        <w:rPr>
          <w:rFonts w:ascii="Times New Roman" w:hAnsi="Times New Roman"/>
          <w:sz w:val="20"/>
        </w:rPr>
        <w:t xml:space="preserve">”), to be used for grants of equity-based awards to certain employees of the Registrant who satisfy the standards for inducement grants under Rule 5635(c)(4) and are entering into employment with the Registrant or any of its subsidiaries, as an inducement material to the individual’s entering into employment with the Registrant within the meaning of Rule 5635(c)(4). </w:t>
      </w:r>
    </w:p>
    <w:p>
      <w:pPr>
        <w:pStyle w:val="TextBody"/>
        <w:bidi w:val="0"/>
        <w:spacing w:before="240" w:after="0"/>
        <w:jc w:val="left"/>
        <w:rPr>
          <w:rFonts w:ascii="Times New Roman" w:hAnsi="Times New Roman"/>
          <w:sz w:val="20"/>
        </w:rPr>
      </w:pPr>
      <w:r>
        <w:rPr>
          <w:rFonts w:ascii="Times New Roman" w:hAnsi="Times New Roman"/>
          <w:sz w:val="20"/>
        </w:rPr>
        <w:t>This Registration Statement on Form S-8 (this “</w:t>
      </w:r>
      <w:r>
        <w:rPr>
          <w:rFonts w:ascii="Times New Roman" w:hAnsi="Times New Roman"/>
          <w:b/>
          <w:i/>
          <w:sz w:val="20"/>
        </w:rPr>
        <w:t>Registration Statement</w:t>
      </w:r>
      <w:r>
        <w:rPr>
          <w:rFonts w:ascii="Times New Roman" w:hAnsi="Times New Roman"/>
          <w:sz w:val="20"/>
        </w:rPr>
        <w:t xml:space="preserve">”) is being filed to register the 2.9 million shares of Common Stock issuable pursuant to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The documents containing the Plan information and other information required by Part I of Form S-8 will be sent or given to participants under the Plan as specified by Rule 428 under the Securities Act of 1933, as amended (the “</w:t>
      </w:r>
      <w:r>
        <w:rPr>
          <w:rFonts w:ascii="Times New Roman" w:hAnsi="Times New Roman"/>
          <w:b/>
          <w:i/>
          <w:sz w:val="20"/>
        </w:rPr>
        <w:t>Securities Act</w:t>
      </w:r>
      <w:r>
        <w:rPr>
          <w:rFonts w:ascii="Times New Roman" w:hAnsi="Times New Roman"/>
          <w:sz w:val="20"/>
        </w:rPr>
        <w:t>”). In accordance with Rule 428 under the Securities Act and the requirements of Part I of Form S-8, such documents are not being filed with the Securities and Exchange Commission (the “</w:t>
      </w:r>
      <w:r>
        <w:rPr>
          <w:rFonts w:ascii="Times New Roman" w:hAnsi="Times New Roman"/>
          <w:b/>
          <w:i/>
          <w:sz w:val="20"/>
        </w:rPr>
        <w:t>Commission</w:t>
      </w:r>
      <w:r>
        <w:rPr>
          <w:rFonts w:ascii="Times New Roman" w:hAnsi="Times New Roman"/>
          <w:sz w:val="20"/>
        </w:rPr>
        <w:t xml:space="preserve">”) either as a part of this Registration Statement or as a prospectus or prospectus supplement pursuant to Rule 424 under the Securities Act. The Registrant will maintain a file of such documents in accordance with the provisions of Rule 428 under the Securities Act. Upon request, the Registrant will furnish to the Commission or its staff a copy or copies of all of the documents included in such file.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the Registrant with the Commission are incorporated herein by reference: </w:t>
      </w:r>
    </w:p>
    <w:p>
      <w:pPr>
        <w:pStyle w:val="TextBody"/>
        <w:bidi w:val="0"/>
        <w:spacing w:before="120" w:after="0"/>
        <w:jc w:val="left"/>
        <w:rPr/>
      </w:pPr>
      <w:r>
        <w:rPr>
          <w:rFonts w:ascii="Times New Roman" w:hAnsi="Times New Roman"/>
          <w:sz w:val="20"/>
        </w:rPr>
        <w:t xml:space="preserve">(a) the Registrant’s Annual Report on </w:t>
      </w:r>
      <w:hyperlink r:id="rId2">
        <w:r>
          <w:rPr>
            <w:rStyle w:val="InternetLink"/>
            <w:rFonts w:ascii="Times New Roman" w:hAnsi="Times New Roman"/>
            <w:sz w:val="20"/>
          </w:rPr>
          <w:t>Form 10-K</w:t>
        </w:r>
      </w:hyperlink>
      <w:r>
        <w:rPr>
          <w:rFonts w:ascii="Times New Roman" w:hAnsi="Times New Roman"/>
          <w:sz w:val="20"/>
        </w:rPr>
        <w:t xml:space="preserve"> for the year ended December 31, 2025, filed with the Commission on February 20, 2026; </w:t>
      </w:r>
    </w:p>
    <w:p>
      <w:pPr>
        <w:pStyle w:val="TextBody"/>
        <w:bidi w:val="0"/>
        <w:spacing w:before="240" w:after="0"/>
        <w:jc w:val="left"/>
        <w:rPr/>
      </w:pPr>
      <w:r>
        <w:rPr>
          <w:rFonts w:ascii="Times New Roman" w:hAnsi="Times New Roman"/>
          <w:sz w:val="20"/>
        </w:rPr>
        <w:t xml:space="preserve">(b) the Registrant’s Quarterly Report on </w:t>
      </w:r>
      <w:hyperlink r:id="rId3">
        <w:r>
          <w:rPr>
            <w:rStyle w:val="InternetLink"/>
            <w:rFonts w:ascii="Times New Roman" w:hAnsi="Times New Roman"/>
            <w:sz w:val="20"/>
          </w:rPr>
          <w:t>Form 10-Q</w:t>
        </w:r>
      </w:hyperlink>
      <w:r>
        <w:rPr>
          <w:rFonts w:ascii="Times New Roman" w:hAnsi="Times New Roman"/>
          <w:sz w:val="20"/>
        </w:rPr>
        <w:t xml:space="preserve"> for the three months ended March 31, 2026, filed with the Commission on April 30, 2026; </w:t>
      </w:r>
    </w:p>
    <w:p>
      <w:pPr>
        <w:pStyle w:val="TextBody"/>
        <w:bidi w:val="0"/>
        <w:spacing w:before="240" w:after="0"/>
        <w:jc w:val="left"/>
        <w:rPr/>
      </w:pPr>
      <w:r>
        <w:rPr>
          <w:rFonts w:ascii="Times New Roman" w:hAnsi="Times New Roman"/>
          <w:sz w:val="20"/>
        </w:rPr>
        <w:t xml:space="preserve">(c) the Registrant’s Current Reports on Form 8-K filed with the Commission on </w:t>
      </w:r>
      <w:hyperlink r:id="rId4">
        <w:r>
          <w:rPr>
            <w:rStyle w:val="InternetLink"/>
            <w:rFonts w:ascii="Times New Roman" w:hAnsi="Times New Roman"/>
            <w:sz w:val="20"/>
          </w:rPr>
          <w:t>January 21, 2026</w:t>
        </w:r>
      </w:hyperlink>
      <w:r>
        <w:rPr>
          <w:rFonts w:ascii="Times New Roman" w:hAnsi="Times New Roman"/>
          <w:sz w:val="20"/>
        </w:rPr>
        <w:t xml:space="preserve"> (excluding any information furnished pursuant to Item 2.02 or Item 7.01 on any Current Report on Form 8-K), </w:t>
      </w:r>
      <w:hyperlink r:id="rId5">
        <w:r>
          <w:rPr>
            <w:rStyle w:val="InternetLink"/>
            <w:rFonts w:ascii="Times New Roman" w:hAnsi="Times New Roman"/>
            <w:sz w:val="20"/>
          </w:rPr>
          <w:t>February 19, 2026</w:t>
        </w:r>
      </w:hyperlink>
      <w:r>
        <w:rPr>
          <w:rFonts w:ascii="Times New Roman" w:hAnsi="Times New Roman"/>
          <w:sz w:val="20"/>
        </w:rPr>
        <w:t xml:space="preserve"> (only Item 8.01), </w:t>
      </w:r>
      <w:hyperlink r:id="rId6">
        <w:r>
          <w:rPr>
            <w:rStyle w:val="InternetLink"/>
            <w:rFonts w:ascii="Times New Roman" w:hAnsi="Times New Roman"/>
            <w:sz w:val="20"/>
          </w:rPr>
          <w:t>February  20, 2026</w:t>
        </w:r>
      </w:hyperlink>
      <w:r>
        <w:rPr>
          <w:rFonts w:ascii="Times New Roman" w:hAnsi="Times New Roman"/>
          <w:sz w:val="20"/>
        </w:rPr>
        <w:t xml:space="preserve">, </w:t>
      </w:r>
      <w:hyperlink r:id="rId7">
        <w:r>
          <w:rPr>
            <w:rStyle w:val="InternetLink"/>
            <w:rFonts w:ascii="Times New Roman" w:hAnsi="Times New Roman"/>
            <w:sz w:val="20"/>
          </w:rPr>
          <w:t>May  5, 2026</w:t>
        </w:r>
      </w:hyperlink>
      <w:r>
        <w:rPr>
          <w:rFonts w:ascii="Times New Roman" w:hAnsi="Times New Roman"/>
          <w:sz w:val="20"/>
        </w:rPr>
        <w:t xml:space="preserve">, </w:t>
      </w:r>
      <w:hyperlink r:id="rId8">
        <w:r>
          <w:rPr>
            <w:rStyle w:val="InternetLink"/>
            <w:rFonts w:ascii="Times New Roman" w:hAnsi="Times New Roman"/>
            <w:sz w:val="20"/>
          </w:rPr>
          <w:t>May  20, 2026</w:t>
        </w:r>
      </w:hyperlink>
      <w:r>
        <w:rPr>
          <w:rFonts w:ascii="Times New Roman" w:hAnsi="Times New Roman"/>
          <w:sz w:val="20"/>
        </w:rPr>
        <w:t xml:space="preserve"> and </w:t>
      </w:r>
      <w:hyperlink r:id="rId9">
        <w:r>
          <w:rPr>
            <w:rStyle w:val="InternetLink"/>
            <w:rFonts w:ascii="Times New Roman" w:hAnsi="Times New Roman"/>
            <w:sz w:val="20"/>
          </w:rPr>
          <w:t>May 27, 2026</w:t>
        </w:r>
      </w:hyperlink>
      <w:r>
        <w:rPr>
          <w:rFonts w:ascii="Times New Roman" w:hAnsi="Times New Roman"/>
          <w:sz w:val="20"/>
        </w:rPr>
        <w:t xml:space="preserve">; and </w:t>
      </w:r>
    </w:p>
    <w:p>
      <w:pPr>
        <w:pStyle w:val="TextBody"/>
        <w:bidi w:val="0"/>
        <w:spacing w:before="240" w:after="0"/>
        <w:jc w:val="left"/>
        <w:rPr/>
      </w:pPr>
      <w:r>
        <w:rPr>
          <w:rFonts w:ascii="Times New Roman" w:hAnsi="Times New Roman"/>
          <w:sz w:val="20"/>
        </w:rPr>
        <w:t xml:space="preserve">(d) the description of the Common Stock contained in the Registrant’s Registration Statement on </w:t>
      </w:r>
      <w:hyperlink r:id="rId10">
        <w:r>
          <w:rPr>
            <w:rStyle w:val="InternetLink"/>
            <w:rFonts w:ascii="Times New Roman" w:hAnsi="Times New Roman"/>
            <w:sz w:val="20"/>
          </w:rPr>
          <w:t>Form 8-A</w:t>
        </w:r>
      </w:hyperlink>
      <w:r>
        <w:rPr>
          <w:rFonts w:ascii="Times New Roman" w:hAnsi="Times New Roman"/>
          <w:sz w:val="20"/>
        </w:rPr>
        <w:t xml:space="preserve"> (File No. 001-36383) filed with the SEC on March 28, 2014, pursuant to Section 12(b) of the Exchange Act, as updated by the description of the Common Stock contained in </w:t>
      </w:r>
      <w:hyperlink r:id="rId11">
        <w:r>
          <w:rPr>
            <w:rStyle w:val="InternetLink"/>
            <w:rFonts w:ascii="Times New Roman" w:hAnsi="Times New Roman"/>
            <w:sz w:val="20"/>
            <w:u w:val="single"/>
          </w:rPr>
          <w:t>Exhibit 4.4</w:t>
        </w:r>
      </w:hyperlink>
      <w:r>
        <w:rPr>
          <w:rFonts w:ascii="Times New Roman" w:hAnsi="Times New Roman"/>
          <w:sz w:val="20"/>
        </w:rPr>
        <w:t xml:space="preserve">  to the Registrant’s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2019, including any amendment or report filed for the purpose of updating such description. </w:t>
      </w:r>
    </w:p>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with the Commission pursuant to Sections 13(a), 13(c), 14 and 15(d) of the Exchange Act (excluding any information furnished pursuant to Item 2.02 or Item 7.01 on any current report on Form 8-K) subsequent to the date of this Registration Statement and prior to the filing of a post-effective amendment that indicates that all securities offered have been sold or which deregisters all securities then remaining unsold, will be deemed to be incorporated by reference in this Registration Statement and to be part hereof from the date of filing of such documents. 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will not be deemed, except as modified or superseded, to constitute a part of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General Corporation Law of the State of Delaware allows a corporation to include in its certificate of incorporation a provision that limits or eliminates the personal liability of directors or officers of a corporation or its stockholders for monetary damages for a breach of a fiduciary duty as a director or officer, except where the director or officer breached their duty of loyalty, failed to act in good faith, engaged in intentional misconduct or knowingly violated a law, authorized the payment of a dividend or approved a stock repurchase or redemption in violation of Delaware corporate law or obtained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General Corporation Law of the State of Delaware allows a corporation to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such person reasonably believed to be in or not opposed to the best interests of the corporation and, with respect to any criminal action or proceeding, had no reasonable cause to believe such person’s conduct was unlawful. A Delaware corporation may indemnify directors, officers, employees and other agents of such corporation in an action by or in the right of a corporation to procure a judgment in its favor under the same conditions against expenses (including attorneys’ fees) actually and reasonably incurred by the person in connection with the defense or settlement of such action or suit, except that no indemnification is permitted without judicial approval if the person to be indemnified has been adjudged to be liable to the corporation with respect to such claim, issue or matter. Where a present or former director or officer of the corporation is successful on the merits or otherwise in the defense of any action, suit or proceeding referred to above or in defense of any claim, issue or matter therein, the corporation must indemnify such person against the expenses (including attorneys’ fees) which he or she actually and reasonably incurred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174 of the General Corporation Law of the State of Delaware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into the books containing the minutes of the meetings of the board of directors at the time such action occurred or immediately after such absent director receives notice of the unlawful acts. </w:t>
      </w:r>
    </w:p>
    <w:p>
      <w:pPr>
        <w:pStyle w:val="TextBody"/>
        <w:bidi w:val="0"/>
        <w:spacing w:before="240" w:after="0"/>
        <w:jc w:val="left"/>
        <w:rPr>
          <w:rFonts w:ascii="Times New Roman" w:hAnsi="Times New Roman"/>
          <w:sz w:val="20"/>
        </w:rPr>
      </w:pPr>
      <w:r>
        <w:rPr>
          <w:rFonts w:ascii="Times New Roman" w:hAnsi="Times New Roman"/>
          <w:sz w:val="20"/>
        </w:rPr>
        <w:t xml:space="preserve">Pursuant to Article VIII of the Amended and Restated Certificate of Incorporation of the Registrant, as amended, the Registrant may indemnify and advance expenses, to the fullest extent permitted by law, to any person who is or was, or is threatened to be made, a party to any threatened, pending, or completed action, suit, or proceeding by reason of the fact that such person is or was a director, officer, employee or agent of the Registrant, or is or was serving at the request of the Registrant as a director, officer, employee or agent of another corporation, partnership, joint venture, trust or other enterprise. </w:t>
      </w:r>
    </w:p>
    <w:p>
      <w:pPr>
        <w:pStyle w:val="TextBody"/>
        <w:bidi w:val="0"/>
        <w:spacing w:before="240" w:after="0"/>
        <w:jc w:val="left"/>
        <w:rPr>
          <w:rFonts w:ascii="Times New Roman" w:hAnsi="Times New Roman"/>
          <w:sz w:val="20"/>
        </w:rPr>
      </w:pPr>
      <w:r>
        <w:rPr>
          <w:rFonts w:ascii="Times New Roman" w:hAnsi="Times New Roman"/>
          <w:sz w:val="20"/>
        </w:rPr>
        <w:t>The Amended and Restated Bylaws (the “</w:t>
      </w:r>
      <w:r>
        <w:rPr>
          <w:rFonts w:ascii="Times New Roman" w:hAnsi="Times New Roman"/>
          <w:b/>
          <w:i/>
          <w:sz w:val="20"/>
        </w:rPr>
        <w:t>Bylaws</w:t>
      </w:r>
      <w:r>
        <w:rPr>
          <w:rFonts w:ascii="Times New Roman" w:hAnsi="Times New Roman"/>
          <w:sz w:val="20"/>
        </w:rPr>
        <w:t xml:space="preserve">”) of the Registrant provide for indemnification of its officers and directors against expenses actually and reasonably incurred in connection with any action, suit, or proceeding, including attorneys’ fees, judgments, fines and settlement amounts, provided that such person acted in good faith and reasonably believed their conduct to be in, or not opposed to, the best interests of the Registrant and, in the case of any criminal proceeding, had no reasonable cause to believe their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may purchase and maintain a director and officer insurance policy which insures the officers, directors and employees or agents of the Registrant against any liability asserted against such person and incurred by such person in any such capacity, or arising out of such person’s status.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9"/>
        <w:gridCol w:w="317"/>
        <w:gridCol w:w="8739"/>
      </w:tblGrid>
      <w:tr>
        <w:trPr/>
        <w:tc>
          <w:tcPr>
            <w:tcW w:w="1149"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8739" w:type="dxa"/>
            <w:tcBorders/>
            <w:vAlign w:val="center"/>
          </w:tcPr>
          <w:p>
            <w:pPr>
              <w:pStyle w:val="TableContents"/>
              <w:bidi w:val="0"/>
              <w:spacing w:before="0" w:after="283"/>
              <w:jc w:val="left"/>
              <w:rPr>
                <w:sz w:val="4"/>
                <w:szCs w:val="4"/>
              </w:rPr>
            </w:pPr>
            <w:r>
              <w:rPr>
                <w:sz w:val="4"/>
                <w:szCs w:val="4"/>
              </w:rPr>
            </w:r>
          </w:p>
        </w:tc>
      </w:tr>
      <w:tr>
        <w:trPr/>
        <w:tc>
          <w:tcPr>
            <w:tcW w:w="11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Exhibit Number</w:t>
            </w:r>
          </w:p>
        </w:tc>
        <w:tc>
          <w:tcPr>
            <w:tcW w:w="317" w:type="dxa"/>
            <w:tcBorders/>
            <w:vAlign w:val="bottom"/>
          </w:tcPr>
          <w:p>
            <w:pPr>
              <w:pStyle w:val="TableContents"/>
              <w:bidi w:val="0"/>
              <w:spacing w:before="0" w:after="283"/>
              <w:jc w:val="left"/>
              <w:rPr/>
            </w:pPr>
            <w:r>
              <w:rPr/>
              <w:t>  </w:t>
            </w:r>
          </w:p>
        </w:tc>
        <w:tc>
          <w:tcPr>
            <w:tcW w:w="87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Exhibit Description</w:t>
            </w:r>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0"/>
              <w:jc w:val="left"/>
              <w:rPr/>
            </w:pPr>
            <w:r>
              <w:rPr/>
              <w:t> </w:t>
            </w:r>
            <w:r>
              <w:rPr>
                <w:rFonts w:ascii="Times New Roman" w:hAnsi="Times New Roman"/>
                <w:sz w:val="20"/>
              </w:rPr>
              <w:t>4.1</w:t>
            </w:r>
          </w:p>
        </w:tc>
        <w:tc>
          <w:tcPr>
            <w:tcW w:w="317" w:type="dxa"/>
            <w:tcBorders/>
            <w:vAlign w:val="bottom"/>
          </w:tcPr>
          <w:p>
            <w:pPr>
              <w:pStyle w:val="TableContents"/>
              <w:bidi w:val="0"/>
              <w:spacing w:before="0" w:after="283"/>
              <w:jc w:val="left"/>
              <w:rPr/>
            </w:pPr>
            <w:r>
              <w:rPr/>
              <w:t>  </w:t>
            </w:r>
          </w:p>
        </w:tc>
        <w:tc>
          <w:tcPr>
            <w:tcW w:w="8739" w:type="dxa"/>
            <w:tcBorders/>
          </w:tcPr>
          <w:p>
            <w:pPr>
              <w:pStyle w:val="TableContents"/>
              <w:bidi w:val="0"/>
              <w:spacing w:before="0" w:after="283"/>
              <w:jc w:val="left"/>
              <w:rPr/>
            </w:pPr>
            <w:hyperlink r:id="rId13">
              <w:r>
                <w:rPr>
                  <w:rStyle w:val="InternetLink"/>
                </w:rPr>
                <w:t xml:space="preserve">Amended and Restated Certificate of Incorporation of Five9, Inc. (filed as Exhibit 3.1 to the Company’s Current Report on Form 8-K filed with the SEC on May 27, 2026 (File No. 001-36383) and incorporated by reference herein)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0"/>
              <w:jc w:val="left"/>
              <w:rPr/>
            </w:pPr>
            <w:r>
              <w:rPr/>
              <w:t> </w:t>
            </w:r>
            <w:r>
              <w:rPr>
                <w:rFonts w:ascii="Times New Roman" w:hAnsi="Times New Roman"/>
                <w:sz w:val="20"/>
              </w:rPr>
              <w:t>4.3</w:t>
            </w:r>
          </w:p>
        </w:tc>
        <w:tc>
          <w:tcPr>
            <w:tcW w:w="317" w:type="dxa"/>
            <w:tcBorders/>
            <w:vAlign w:val="bottom"/>
          </w:tcPr>
          <w:p>
            <w:pPr>
              <w:pStyle w:val="TableContents"/>
              <w:bidi w:val="0"/>
              <w:spacing w:before="0" w:after="283"/>
              <w:jc w:val="left"/>
              <w:rPr/>
            </w:pPr>
            <w:r>
              <w:rPr/>
              <w:t>  </w:t>
            </w:r>
          </w:p>
        </w:tc>
        <w:tc>
          <w:tcPr>
            <w:tcW w:w="8739" w:type="dxa"/>
            <w:tcBorders/>
          </w:tcPr>
          <w:p>
            <w:pPr>
              <w:pStyle w:val="TableContents"/>
              <w:bidi w:val="0"/>
              <w:spacing w:before="0" w:after="283"/>
              <w:jc w:val="left"/>
              <w:rPr/>
            </w:pPr>
            <w:hyperlink r:id="rId14">
              <w:r>
                <w:rPr>
                  <w:rStyle w:val="InternetLink"/>
                </w:rPr>
                <w:t xml:space="preserve">Amended and Restated Bylaws of Five9, Inc. (filed as Exhibit 3.2 to the Company’s Current Report on Form 8-K filed with the SEC on May 27, 2026 (File No. 001-36383) and incorporated by reference herein)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0"/>
              <w:jc w:val="left"/>
              <w:rPr/>
            </w:pPr>
            <w:r>
              <w:rPr/>
              <w:t> </w:t>
            </w:r>
            <w:r>
              <w:rPr>
                <w:rFonts w:ascii="Times New Roman" w:hAnsi="Times New Roman"/>
                <w:sz w:val="20"/>
              </w:rPr>
              <w:t>4.4*</w:t>
            </w:r>
          </w:p>
        </w:tc>
        <w:tc>
          <w:tcPr>
            <w:tcW w:w="317" w:type="dxa"/>
            <w:tcBorders/>
            <w:vAlign w:val="bottom"/>
          </w:tcPr>
          <w:p>
            <w:pPr>
              <w:pStyle w:val="TableContents"/>
              <w:bidi w:val="0"/>
              <w:spacing w:before="0" w:after="283"/>
              <w:jc w:val="left"/>
              <w:rPr/>
            </w:pPr>
            <w:r>
              <w:rPr/>
              <w:t>  </w:t>
            </w:r>
          </w:p>
        </w:tc>
        <w:tc>
          <w:tcPr>
            <w:tcW w:w="8739" w:type="dxa"/>
            <w:tcBorders/>
          </w:tcPr>
          <w:p>
            <w:pPr>
              <w:pStyle w:val="TableContents"/>
              <w:bidi w:val="0"/>
              <w:spacing w:before="0" w:after="283"/>
              <w:jc w:val="left"/>
              <w:rPr/>
            </w:pPr>
            <w:hyperlink w:anchor="d70942dex44.htm">
              <w:r>
                <w:rPr>
                  <w:rStyle w:val="InternetLink"/>
                </w:rPr>
                <w:t xml:space="preserve">Five9, Inc. 2026 Inducement Equity Incentive Plan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0"/>
              <w:jc w:val="left"/>
              <w:rPr/>
            </w:pPr>
            <w:r>
              <w:rPr/>
              <w:t> </w:t>
            </w:r>
            <w:r>
              <w:rPr>
                <w:rFonts w:ascii="Times New Roman" w:hAnsi="Times New Roman"/>
                <w:sz w:val="20"/>
              </w:rPr>
              <w:t>5.1*</w:t>
            </w:r>
          </w:p>
        </w:tc>
        <w:tc>
          <w:tcPr>
            <w:tcW w:w="317" w:type="dxa"/>
            <w:tcBorders/>
            <w:vAlign w:val="bottom"/>
          </w:tcPr>
          <w:p>
            <w:pPr>
              <w:pStyle w:val="TableContents"/>
              <w:bidi w:val="0"/>
              <w:spacing w:before="0" w:after="283"/>
              <w:jc w:val="left"/>
              <w:rPr/>
            </w:pPr>
            <w:r>
              <w:rPr/>
              <w:t>  </w:t>
            </w:r>
          </w:p>
        </w:tc>
        <w:tc>
          <w:tcPr>
            <w:tcW w:w="8739" w:type="dxa"/>
            <w:tcBorders/>
          </w:tcPr>
          <w:p>
            <w:pPr>
              <w:pStyle w:val="TableContents"/>
              <w:bidi w:val="0"/>
              <w:spacing w:before="0" w:after="283"/>
              <w:jc w:val="left"/>
              <w:rPr/>
            </w:pPr>
            <w:hyperlink w:anchor="d70942dex51.htm">
              <w:r>
                <w:rPr>
                  <w:rStyle w:val="InternetLink"/>
                </w:rPr>
                <w:t xml:space="preserve">Opinion of Jones Day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0"/>
              <w:jc w:val="left"/>
              <w:rPr>
                <w:rFonts w:ascii="Times New Roman" w:hAnsi="Times New Roman"/>
                <w:sz w:val="20"/>
              </w:rPr>
            </w:pPr>
            <w:r>
              <w:rPr>
                <w:rFonts w:ascii="Times New Roman" w:hAnsi="Times New Roman"/>
                <w:sz w:val="20"/>
              </w:rPr>
              <w:t>23.1*</w:t>
            </w:r>
          </w:p>
        </w:tc>
        <w:tc>
          <w:tcPr>
            <w:tcW w:w="317" w:type="dxa"/>
            <w:tcBorders/>
            <w:vAlign w:val="bottom"/>
          </w:tcPr>
          <w:p>
            <w:pPr>
              <w:pStyle w:val="TableContents"/>
              <w:bidi w:val="0"/>
              <w:spacing w:before="0" w:after="283"/>
              <w:jc w:val="left"/>
              <w:rPr/>
            </w:pPr>
            <w:r>
              <w:rPr/>
              <w:t>  </w:t>
            </w:r>
          </w:p>
        </w:tc>
        <w:tc>
          <w:tcPr>
            <w:tcW w:w="8739" w:type="dxa"/>
            <w:tcBorders/>
          </w:tcPr>
          <w:p>
            <w:pPr>
              <w:pStyle w:val="TableContents"/>
              <w:bidi w:val="0"/>
              <w:spacing w:before="0" w:after="283"/>
              <w:jc w:val="left"/>
              <w:rPr/>
            </w:pPr>
            <w:hyperlink w:anchor="d70942dex231.htm">
              <w:r>
                <w:rPr>
                  <w:rStyle w:val="InternetLink"/>
                </w:rPr>
                <w:t xml:space="preserve">Consent of KPMG LLP, independent registered public accounting firm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0"/>
              <w:jc w:val="left"/>
              <w:rPr>
                <w:rFonts w:ascii="Times New Roman" w:hAnsi="Times New Roman"/>
                <w:sz w:val="20"/>
              </w:rPr>
            </w:pPr>
            <w:r>
              <w:rPr>
                <w:rFonts w:ascii="Times New Roman" w:hAnsi="Times New Roman"/>
                <w:sz w:val="20"/>
              </w:rPr>
              <w:t>23.2*</w:t>
            </w:r>
          </w:p>
        </w:tc>
        <w:tc>
          <w:tcPr>
            <w:tcW w:w="317" w:type="dxa"/>
            <w:tcBorders/>
            <w:vAlign w:val="bottom"/>
          </w:tcPr>
          <w:p>
            <w:pPr>
              <w:pStyle w:val="TableContents"/>
              <w:bidi w:val="0"/>
              <w:spacing w:before="0" w:after="283"/>
              <w:jc w:val="left"/>
              <w:rPr/>
            </w:pPr>
            <w:r>
              <w:rPr/>
              <w:t>  </w:t>
            </w:r>
          </w:p>
        </w:tc>
        <w:tc>
          <w:tcPr>
            <w:tcW w:w="8739" w:type="dxa"/>
            <w:tcBorders/>
          </w:tcPr>
          <w:p>
            <w:pPr>
              <w:pStyle w:val="TableContents"/>
              <w:bidi w:val="0"/>
              <w:spacing w:before="0" w:after="283"/>
              <w:jc w:val="left"/>
              <w:rPr/>
            </w:pPr>
            <w:hyperlink w:anchor="d70942dex51.htm">
              <w:r>
                <w:rPr>
                  <w:rStyle w:val="InternetLink"/>
                </w:rPr>
                <w:t xml:space="preserve">Consent of Jones Day (included in Exhibit 5.1)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0"/>
              <w:jc w:val="left"/>
              <w:rPr>
                <w:rFonts w:ascii="Times New Roman" w:hAnsi="Times New Roman"/>
                <w:sz w:val="20"/>
              </w:rPr>
            </w:pPr>
            <w:r>
              <w:rPr>
                <w:rFonts w:ascii="Times New Roman" w:hAnsi="Times New Roman"/>
                <w:sz w:val="20"/>
              </w:rPr>
              <w:t>24.1*</w:t>
            </w:r>
          </w:p>
        </w:tc>
        <w:tc>
          <w:tcPr>
            <w:tcW w:w="317" w:type="dxa"/>
            <w:tcBorders/>
            <w:vAlign w:val="bottom"/>
          </w:tcPr>
          <w:p>
            <w:pPr>
              <w:pStyle w:val="TableContents"/>
              <w:bidi w:val="0"/>
              <w:spacing w:before="0" w:after="283"/>
              <w:jc w:val="left"/>
              <w:rPr/>
            </w:pPr>
            <w:r>
              <w:rPr/>
              <w:t>  </w:t>
            </w:r>
          </w:p>
        </w:tc>
        <w:tc>
          <w:tcPr>
            <w:tcW w:w="8739" w:type="dxa"/>
            <w:tcBorders/>
          </w:tcPr>
          <w:p>
            <w:pPr>
              <w:pStyle w:val="TableContents"/>
              <w:bidi w:val="0"/>
              <w:spacing w:before="0" w:after="283"/>
              <w:jc w:val="left"/>
              <w:rPr/>
            </w:pPr>
            <w:hyperlink w:anchor="tx70942_sig">
              <w:r>
                <w:rPr>
                  <w:rStyle w:val="InternetLink"/>
                </w:rPr>
                <w:t xml:space="preserve">Power of Attorney (included on signature page of the Registration Statement)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317" w:type="dxa"/>
            <w:tcBorders/>
            <w:vAlign w:val="bottom"/>
          </w:tcPr>
          <w:p>
            <w:pPr>
              <w:pStyle w:val="TableContents"/>
              <w:bidi w:val="0"/>
              <w:spacing w:before="0" w:after="283"/>
              <w:jc w:val="left"/>
              <w:rPr/>
            </w:pPr>
            <w:r>
              <w:rPr/>
              <w:t>  </w:t>
            </w:r>
          </w:p>
        </w:tc>
        <w:tc>
          <w:tcPr>
            <w:tcW w:w="8739" w:type="dxa"/>
            <w:tcBorders/>
          </w:tcPr>
          <w:p>
            <w:pPr>
              <w:pStyle w:val="TableContents"/>
              <w:bidi w:val="0"/>
              <w:spacing w:before="0" w:after="283"/>
              <w:jc w:val="left"/>
              <w:rPr/>
            </w:pPr>
            <w:hyperlink w:anchor="d70942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tx70942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Ramon, State of California, on this 5th day of June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0"/>
        <w:gridCol w:w="101"/>
        <w:gridCol w:w="407"/>
        <w:gridCol w:w="101"/>
        <w:gridCol w:w="306"/>
        <w:gridCol w:w="101"/>
        <w:gridCol w:w="4599"/>
      </w:tblGrid>
      <w:tr>
        <w:trPr/>
        <w:tc>
          <w:tcPr>
            <w:tcW w:w="459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9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Five9, Inc.</w:t>
            </w:r>
          </w:p>
        </w:tc>
      </w:tr>
      <w:tr>
        <w:trPr>
          <w:trHeight w:val="240" w:hRule="atLeast"/>
        </w:trPr>
        <w:tc>
          <w:tcPr>
            <w:tcW w:w="4590"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4590" w:type="dxa"/>
            <w:tcBorders/>
          </w:tcPr>
          <w:p>
            <w:pPr>
              <w:pStyle w:val="TableContents"/>
              <w:bidi w:val="0"/>
              <w:spacing w:before="0" w:after="283"/>
              <w:jc w:val="left"/>
              <w:rPr/>
            </w:pPr>
            <w:r>
              <w:rPr/>
              <w:t>Date: June 5,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9" w:type="dxa"/>
            <w:tcBorders>
              <w:bottom w:val="single" w:sz="2" w:space="0" w:color="000000"/>
            </w:tcBorders>
            <w:tcMar>
              <w:bottom w:w="28" w:type="dxa"/>
            </w:tcMar>
          </w:tcPr>
          <w:p>
            <w:pPr>
              <w:pStyle w:val="TableContents"/>
              <w:bidi w:val="0"/>
              <w:spacing w:before="0" w:after="283"/>
              <w:jc w:val="center"/>
              <w:rPr/>
            </w:pPr>
            <w:r>
              <w:rPr/>
              <w:t>/s/Amit Mathradas</w:t>
            </w:r>
          </w:p>
        </w:tc>
      </w:tr>
      <w:tr>
        <w:trPr/>
        <w:tc>
          <w:tcPr>
            <w:tcW w:w="459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283"/>
              <w:jc w:val="center"/>
              <w:rPr/>
            </w:pPr>
            <w:r>
              <w:rPr/>
              <w:t>Amit Mathradas</w:t>
            </w:r>
          </w:p>
        </w:tc>
      </w:tr>
      <w:tr>
        <w:trPr/>
        <w:tc>
          <w:tcPr>
            <w:tcW w:w="459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283"/>
              <w:jc w:val="center"/>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Amit Mathradas, Bryan Lee and Tiffany Meriweather, and each of them, severally, as his or her true and lawful attorneys-in-fact and agents with the power to act, with or without the other, with full power of substitution and resubstitution, for him or her and in his or her name, place and stead, in his or her capacity as a director or officer or both, as the case may be, of the Company, to sign any and all amendments to this Registration Statement on Form S-8, and to file the same, with exhibits thereto and other documents in connection therewith, with the Securities and Exchange Commission, hereby ratifying and confirming all that each of said attorneys-in-fact and agents,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20"/>
        <w:gridCol w:w="3228"/>
        <w:gridCol w:w="120"/>
        <w:gridCol w:w="3165"/>
      </w:tblGrid>
      <w:tr>
        <w:trPr/>
        <w:tc>
          <w:tcPr>
            <w:tcW w:w="35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2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1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Amit Mathradas</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Chief Executive Officer, Director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Amit Mathradas</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(Principal Executive Officer)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Bryan Lee</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Chief Financial Officer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Bryan Lee</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(Principal Financial Officer)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Leena Mansharamani</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Chief Accounting Officer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Leena Mansharamani</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(Principal Accounting Officer)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 Barsamian</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Susan Barsamian</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Burdiek</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Michael Burdiek</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Sagar Gupta</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Sagar Gupta</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Julie Iskow</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Julie Iskow</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Mariner</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Jonathan Mariner</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Sudhakar Ramakrishna</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Director and Chairman of the Board</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Sudhakar Ramakrishna</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Maria Walker</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June 5, 2026</w:t>
            </w:r>
          </w:p>
        </w:tc>
      </w:tr>
      <w:tr>
        <w:trPr/>
        <w:tc>
          <w:tcPr>
            <w:tcW w:w="3572" w:type="dxa"/>
            <w:tcBorders/>
          </w:tcPr>
          <w:p>
            <w:pPr>
              <w:pStyle w:val="TableContents"/>
              <w:bidi w:val="0"/>
              <w:spacing w:before="0" w:after="283"/>
              <w:jc w:val="left"/>
              <w:rPr/>
            </w:pPr>
            <w:r>
              <w:rPr/>
              <w:t>Maria Walker</w:t>
            </w:r>
          </w:p>
        </w:tc>
        <w:tc>
          <w:tcPr>
            <w:tcW w:w="120"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 w:name="d70942dex44.htm"/>
      <w:bookmarkStart w:id="4" w:name="ksd70942dex44"/>
      <w:bookmarkEnd w:id="3"/>
      <w:bookmarkEnd w:id="4"/>
      <w:r>
        <w:rPr>
          <w:rFonts w:ascii="Times New Roman" w:hAnsi="Times New Roman"/>
          <w:b/>
          <w:sz w:val="20"/>
        </w:rPr>
        <w:t xml:space="preserve">Exhibit 4.4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FIVE9,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Inducement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Adopted by the Board of Directors: June 5,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Eligible Award Recipients</w:t>
      </w:r>
      <w:r>
        <w:rPr>
          <w:rFonts w:ascii="Times New Roman" w:hAnsi="Times New Roman"/>
          <w:sz w:val="20"/>
        </w:rPr>
        <w:t xml:space="preserve">. Awards under the Plan may only be granted to Employees who satisfy each of the following conditions: (i) the grant of an Award under the Plan constitutes a material inducement to such person’s decision to enter into employment with the Company or an Affiliate and (ii) prior to entering into such employment, such person either (a) has not previously served as a Director or an Employee of the Company or any Affiliate, or (b) is a former Employee who is returning to employment with the Company or an Affiliate following a bona fide period of non-employment.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Available Awards</w:t>
      </w:r>
      <w:r>
        <w:rPr>
          <w:rFonts w:ascii="Times New Roman" w:hAnsi="Times New Roman"/>
          <w:sz w:val="20"/>
        </w:rPr>
        <w:t xml:space="preserve">. The Plan provides for the grant of the following Awards: (i) Options, (ii) Stock Appreciation Rights, (iii) Restricted Stock Awards, (iv) Restricted Stock Unit Awards, (v) Performance Stock Awards, and (vi) Other Stock Awards.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Purpose</w:t>
      </w:r>
      <w:r>
        <w:rPr>
          <w:rFonts w:ascii="Times New Roman" w:hAnsi="Times New Roman"/>
          <w:sz w:val="20"/>
        </w:rPr>
        <w:t xml:space="preserve">. The purpose of this Plan is to provide awards as an inducement material to certain employees of the Company who are entering into employment with the Company or any of its Affiliates and to provide incentives for such persons to exert maximum efforts for the success of the Company and any Affiliate, and provide a means by which the eligible recipients may benefit from increases in value of the Common Stock. This Plan, and the Awards granted under this Plan, are intended to comply with Rule 5635(c)(4) of the Listing Rules, which provide an exception to the Listing Rules shareholder approval requirements for the issuance of securities in connection with grants to employees of the Company and its Affiliates where such grants are inducements material to such persons’ entering into employment with the Company or its Affiliates (and, notwithstanding anything in this Plan to the contrary, this Plan shall be administered and interpreted consistent with such intention).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Administration by Committee</w:t>
      </w:r>
      <w:r>
        <w:rPr>
          <w:rFonts w:ascii="Times New Roman" w:hAnsi="Times New Roman"/>
          <w:sz w:val="20"/>
        </w:rPr>
        <w:t xml:space="preserve">. The Committee will administer the Plan. The Committee may delegate administration of the Plan as provided in Section 2(c).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Powers of Committee</w:t>
      </w:r>
      <w:r>
        <w:rPr>
          <w:rFonts w:ascii="Times New Roman" w:hAnsi="Times New Roman"/>
          <w:sz w:val="20"/>
        </w:rPr>
        <w:t xml:space="preserve">. The Committee will have the power, subject to, and within the limitations of, the express provisions of the Plan and the requirements for inducement awards under the Listing Rules: </w:t>
      </w:r>
    </w:p>
    <w:p>
      <w:pPr>
        <w:pStyle w:val="TextBody"/>
        <w:bidi w:val="0"/>
        <w:spacing w:before="120" w:after="0"/>
        <w:jc w:val="left"/>
        <w:rPr>
          <w:rFonts w:ascii="Times New Roman" w:hAnsi="Times New Roman"/>
          <w:sz w:val="20"/>
        </w:rPr>
      </w:pPr>
      <w:r>
        <w:rPr>
          <w:rFonts w:ascii="Times New Roman" w:hAnsi="Times New Roman"/>
          <w:sz w:val="20"/>
        </w:rPr>
        <w:t xml:space="preserve">(i) To determine: (A) who will be granted Awards; (B) when and how each Award will be granted; (C) what type of Award will be granted; (D) the provisions of each Award (which need not be identical), including when a person will be permitted to exercise or otherwise receive Common Stock under the Award; (E) the number of shares of Common Stock subject to an Award; and (F) the Fair Market Value applicable to an Award.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construe and interpret the Plan and Awards granted under it, and to establish, amend and revoke rules and regulations for administration of the Plan and Awards. The Committee, in the exercise of these powers, may correct any defect, omission or inconsistency in the Plan or in any Award Agreement, in a manner and to the extent it will deem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sz w:val="20"/>
        </w:rPr>
        <w:t xml:space="preserve">(iii)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sz w:val="20"/>
        </w:rPr>
        <w:t xml:space="preserve">(iv) To accelerate, in whole or in part, the time at which an Award may be exercised or vest (or at which shares of Common Stock may be issued). </w:t>
      </w:r>
    </w:p>
    <w:p>
      <w:pPr>
        <w:pStyle w:val="TextBody"/>
        <w:bidi w:val="0"/>
        <w:spacing w:before="240" w:after="0"/>
        <w:jc w:val="left"/>
        <w:rPr>
          <w:rFonts w:ascii="Times New Roman" w:hAnsi="Times New Roman"/>
          <w:sz w:val="20"/>
        </w:rPr>
      </w:pPr>
      <w:r>
        <w:rPr>
          <w:rFonts w:ascii="Times New Roman" w:hAnsi="Times New Roman"/>
          <w:sz w:val="20"/>
        </w:rPr>
        <w:t xml:space="preserve">(v) To amend, suspend or terminate the Plan at any time. Except as otherwise provided in the Plan or an Award Agreement, amendment, suspension or termination of the Plan will not materially impair a Participant’s rights under his or her then-outstanding Award without his or her written consent. A Participant’s rights will not be deemed to have been impaired by any such amendment if the Committee, in its sole discretion, determines that the amendment, taken as a whole, does not materially impair the Participant’s rights. In addition, subject to the limitations of applicable law, if any, the Committee may amend the terms of any one or more Awards without the affected Participant’s consent (A) to clarify the manner of exemption from, or to bring the Award into compliance with Section 409A; (B) to correct clerical or typographical errors; or (C) to comply with other applicable laws or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(vi) Generally, to exercise such powers and to perform such acts as the Committee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sz w:val="20"/>
        </w:rPr>
        <w:t xml:space="preserve">(vii) To adopt such procedures and sub-plans as are necessary or appropriate to permit participation in the Plan by Employees who are foreign nationals or employed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(viii) To effect, with the consent of any adversely affected Participant, (A) the reduction of the exercise, purchase or strike price of any outstanding Award; (B) the cancellation of any outstanding Award and the grant in substitution therefor of a new (1) Option or SAR, (2) Restricted Stock Award, (3) Restricted Stock Unit Award, (4) Other Stock Award and/or (5) award of other valuable, equity-linked consideration determined by the Committee, in its sole discretion, with any such substituted award (x) covering the same or a different number of shares of Common Stock as the cancelled Award and (y) granted under the Plan or another equity or compensatory plan of the Company; or (C) any other action that is treated as a repricing under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Delegation by Committee</w:t>
      </w:r>
      <w:r>
        <w:rPr>
          <w:rFonts w:ascii="Times New Roman" w:hAnsi="Times New Roman"/>
          <w:sz w:val="20"/>
        </w:rPr>
        <w:t xml:space="preserve">. The Committee may delegate some or all of the administration of the Plan to the fullest extent permitted by law and the requirements for inducement awards under the Listing Rules. Any delegation of administrative powers will be reflected in resolutions, not inconsistent with the provisions of the Plan, adopted from time to time by the Committee. The Committee may retain the authority to concurrently administer the Plan with its delegate and may, at any time, revest in the Committee some or all of the powers previously delegated.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Effect of Committee’s Decision</w:t>
      </w:r>
      <w:r>
        <w:rPr>
          <w:rFonts w:ascii="Times New Roman" w:hAnsi="Times New Roman"/>
          <w:sz w:val="20"/>
        </w:rPr>
        <w:t xml:space="preserve">. All determinations, interpretations and constructions made by the Committee in good faith will not be subject to review by any person and will be final, binding and conclusive on all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Share Reserve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Subject to Section 9(a) relating to Capitalization Adjustments, the aggregate number of shares of Common Stock that may be issued pursuant to Stock Awards shall consist of a new share reserve of 2,900,000 shares of Common Stock (the “</w:t>
      </w:r>
      <w:r>
        <w:rPr>
          <w:rFonts w:ascii="Times New Roman" w:hAnsi="Times New Roman"/>
          <w:b/>
          <w:i/>
          <w:sz w:val="20"/>
        </w:rPr>
        <w:t>Share Reserve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For clarity, the Share Reserve is a limitation on the number of shares of Common Stock that may be issued pursuant to the Plan. Accordingly, this Section 3(a) does not limit the granting of Stock Awards except as provided in Section 7(a) (that is, availability of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Reversion of Shares to the Share Reserve</w:t>
      </w:r>
      <w:r>
        <w:rPr>
          <w:rFonts w:ascii="Times New Roman" w:hAnsi="Times New Roman"/>
          <w:sz w:val="20"/>
        </w:rPr>
        <w:t xml:space="preserve">. Shares will return to the Plan, and will not reduce (or otherwise offset) the number of shares of Common Stock that may be available for issuance under the Plan, if the Stock Award, or any portion thereof: </w:t>
      </w:r>
    </w:p>
    <w:p>
      <w:pPr>
        <w:pStyle w:val="TextBody"/>
        <w:bidi w:val="0"/>
        <w:spacing w:before="120" w:after="0"/>
        <w:jc w:val="left"/>
        <w:rPr>
          <w:rFonts w:ascii="Times New Roman" w:hAnsi="Times New Roman"/>
          <w:sz w:val="20"/>
        </w:rPr>
      </w:pPr>
      <w:r>
        <w:rPr>
          <w:rFonts w:ascii="Times New Roman" w:hAnsi="Times New Roman"/>
          <w:sz w:val="20"/>
        </w:rPr>
        <w:t xml:space="preserve">(i) expires or otherwise terminates without all of the shares covered by such Stock Award having been issued; or </w:t>
      </w:r>
    </w:p>
    <w:p>
      <w:pPr>
        <w:pStyle w:val="TextBody"/>
        <w:bidi w:val="0"/>
        <w:spacing w:before="240" w:after="0"/>
        <w:jc w:val="left"/>
        <w:rPr>
          <w:rFonts w:ascii="Times New Roman" w:hAnsi="Times New Roman"/>
          <w:sz w:val="20"/>
        </w:rPr>
      </w:pPr>
      <w:r>
        <w:rPr>
          <w:rFonts w:ascii="Times New Roman" w:hAnsi="Times New Roman"/>
          <w:sz w:val="20"/>
        </w:rPr>
        <w:t xml:space="preserve">(ii) is forfeited back to or repurchased by the Company because of the failure to meet a contingency or condition required to vest such shares in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only persons eligible to participate in the Plan and receive grants thereunder are Employees who satisfy the standards for inducement awards under Rule 5635(c)(4) of the Listing Rules. A person who previously served as an Employee or Director will not be eligible to receive Awards under the Plan, other than following a bona fide period of non-employment. Stock Awards may not be granted to Employees who are providing Continuous Service only to any “parent” of the Company, as such term is defined in Rule 405 of the Securities Act, unless (i) the stock underlying such Stock Awards is “service recipient stock” under Section 409A of the Code (for example, because the Stock Awards are granted pursuant to a Change in Control such as a spin off transaction), (ii) the Company, in connection with its legal counsel, has determined that such Stock Awards are otherwise exempt from Section 409A of the Code, or (iii) the Company, in connection with its legal counsel, has determined that such Stock Awards comply with the requirements of Section 409A of the Code.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or SAR will be in such form and will contain such terms and conditions as the Committee deems appropriate. The provisions of separate Options or SARs need not be identical. However, each Award Agreement will conform to (through incorporation of provisions hereof by reference in the applicable Award Agreement or otherwise) the substance of each of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Term</w:t>
      </w:r>
      <w:r>
        <w:rPr>
          <w:rFonts w:ascii="Times New Roman" w:hAnsi="Times New Roman"/>
          <w:sz w:val="20"/>
        </w:rPr>
        <w:t xml:space="preserve">. No Option or SAR will be exercisable after the expiration of ten years from the date of its grant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Exercise Price</w:t>
      </w:r>
      <w:r>
        <w:rPr>
          <w:rFonts w:ascii="Times New Roman" w:hAnsi="Times New Roman"/>
          <w:sz w:val="20"/>
        </w:rPr>
        <w:t xml:space="preserve">. The exercise or strike price of each Option or SAR will be not less than 100% of the Fair Market Value of the Common Stock subject to the Option or SAR on the date the Award is granted. Each SAR will be denominated in shares of Common Stock equivalents.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Purchase Price for Options</w:t>
      </w:r>
      <w:r>
        <w:rPr>
          <w:rFonts w:ascii="Times New Roman" w:hAnsi="Times New Roman"/>
          <w:sz w:val="20"/>
        </w:rPr>
        <w:t xml:space="preserve">. The purchase price of Common Stock acquired on the exercise of an Option may be paid, to the extent permitted by applicable law and as determined by the Committee in its sole discretion, by any combination of the methods of payment set forth below. The Committee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(i) by cash, check, bank draft, electronic funds, wire transfer, or money order payable to the Company; </w:t>
      </w:r>
    </w:p>
    <w:p>
      <w:pPr>
        <w:pStyle w:val="TextBody"/>
        <w:bidi w:val="0"/>
        <w:spacing w:before="240" w:after="0"/>
        <w:jc w:val="left"/>
        <w:rPr>
          <w:rFonts w:ascii="Times New Roman" w:hAnsi="Times New Roman"/>
          <w:sz w:val="20"/>
        </w:rPr>
      </w:pPr>
      <w:r>
        <w:rPr>
          <w:rFonts w:ascii="Times New Roman" w:hAnsi="Times New Roman"/>
          <w:sz w:val="20"/>
        </w:rPr>
        <w:t>(ii) through a program developed under Regulation T as established by the Federal Reserve Board that, prior to the issuance of the stock subject to the Option, results in either the receipt of cash (or check) by the Company or the receipt of irrevocable instructions to pay the aggregate exercise price to the Company from the sales proceeds (sometimes called a “</w:t>
      </w:r>
      <w:r>
        <w:rPr>
          <w:rFonts w:ascii="Times New Roman" w:hAnsi="Times New Roman"/>
          <w:i/>
          <w:sz w:val="20"/>
        </w:rPr>
        <w:t>same day sale</w:t>
      </w:r>
      <w:r>
        <w:rPr>
          <w:rFonts w:ascii="Times New Roman" w:hAnsi="Times New Roman"/>
          <w:sz w:val="20"/>
        </w:rPr>
        <w:t>” or “</w:t>
      </w:r>
      <w:r>
        <w:rPr>
          <w:rFonts w:ascii="Times New Roman" w:hAnsi="Times New Roman"/>
          <w:i/>
          <w:sz w:val="20"/>
        </w:rPr>
        <w:t>sell to cover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(iii) by a “</w:t>
      </w:r>
      <w:r>
        <w:rPr>
          <w:rFonts w:ascii="Times New Roman" w:hAnsi="Times New Roman"/>
          <w:i/>
          <w:sz w:val="20"/>
        </w:rPr>
        <w:t>net exercise</w:t>
      </w:r>
      <w:r>
        <w:rPr>
          <w:rFonts w:ascii="Times New Roman" w:hAnsi="Times New Roman"/>
          <w:sz w:val="20"/>
        </w:rPr>
        <w:t xml:space="preserve">” arrangement by which the Company will reduce the number of shares of Common Stock received upon exercise by the largest whole number of shares with a fair market value that does not exceed the aggregate exercise price, coupled with a cash payment for any remaining balance of the aggregate exercise price not satisfied by such reduction in the number of whole shares to be issued (and for clarity, these shares used to pay the exercise price will be issued at exercise, and then immediately reacquired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(iv) by delivery to the Company (either by actual delivery or attestation) of other shares of Common Stock already owned by the Award holder;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in any other form of legal consideration that may be acceptable to the Committee and specified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Exercise and Payment of a SAR</w:t>
      </w:r>
      <w:r>
        <w:rPr>
          <w:rFonts w:ascii="Times New Roman" w:hAnsi="Times New Roman"/>
          <w:sz w:val="20"/>
        </w:rPr>
        <w:t xml:space="preserve">. 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strike price. The appreciation distribution may be paid in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Transferability of Options and SARs</w:t>
      </w:r>
      <w:r>
        <w:rPr>
          <w:rFonts w:ascii="Times New Roman" w:hAnsi="Times New Roman"/>
          <w:sz w:val="20"/>
        </w:rPr>
        <w:t xml:space="preserve">. The Committee may, in its sole discretion, impose such limitations on the transferability of Options and SARs as the Committee will determine. In the absence of such a determination by the Committee to the contrary, the following restrictions on the transferability of Options and SARs will apply: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Restrictions on Transfer</w:t>
      </w:r>
      <w:r>
        <w:rPr>
          <w:rFonts w:ascii="Times New Roman" w:hAnsi="Times New Roman"/>
          <w:sz w:val="20"/>
        </w:rPr>
        <w:t xml:space="preserve">. An Option or SAR will not be transferable except by will or by the laws of descent and distribution (or pursuant to subsections (ii) and (iii) below), and will be exercisable during the lifetime of the Participant only by the Participant. The Committee may permit transfer of the Option or SAR in a manner that is not prohibited by applicable tax and securities laws. Except as explicitly provided herein, neither an Option nor a SAR may be transferred for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Domestic Relations Orders</w:t>
      </w:r>
      <w:r>
        <w:rPr>
          <w:rFonts w:ascii="Times New Roman" w:hAnsi="Times New Roman"/>
          <w:sz w:val="20"/>
        </w:rPr>
        <w:t xml:space="preserve">. Subject to the approval of the Committee, an Option or SAR may be transferred pursuant to the terms of a domestic relations order, official marital settlement agreement or other divorce or separation instrument as permitted by Treasury Regulations 1.421-1(b)(2).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Beneficiary Designation</w:t>
      </w:r>
      <w:r>
        <w:rPr>
          <w:rFonts w:ascii="Times New Roman" w:hAnsi="Times New Roman"/>
          <w:sz w:val="20"/>
        </w:rPr>
        <w:t xml:space="preserve">. Subject to the approval of the Committee,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Vesting Generally</w:t>
      </w:r>
      <w:r>
        <w:rPr>
          <w:rFonts w:ascii="Times New Roman" w:hAnsi="Times New Roman"/>
          <w:sz w:val="20"/>
        </w:rPr>
        <w:t xml:space="preserve">. The total number of shares of Common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Committee may deem appropriate. The vesting provisions of individual Options or SARs may vary.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Termination of Continuous Service</w:t>
      </w:r>
      <w:r>
        <w:rPr>
          <w:rFonts w:ascii="Times New Roman" w:hAnsi="Times New Roman"/>
          <w:sz w:val="20"/>
        </w:rPr>
        <w:t xml:space="preserve">. 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and (ii) the expiration of the term of the Option or SAR as set forth in the Award Agreement. If, after termination of Continuous Service, the Participant does not exercise his or her Option or SAR within the applicable time frame, the Option or SAR will terminate. In all cases, the unvested piece of an Option or SAR will terminate on the termination of Continuous Service.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Extension of Termination Date</w:t>
      </w:r>
      <w:r>
        <w:rPr>
          <w:rFonts w:ascii="Times New Roman" w:hAnsi="Times New Roman"/>
          <w:sz w:val="20"/>
        </w:rPr>
        <w:t xml:space="preserv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three months (that need not be consecutive)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immediate sale of any Common Stock received on exercise of an Option or SAR following the termination of the Participant’s Continuous Service (other than for Cause and other than upon the Participant’s death or Disability) would violate the Company’s insider trading policy, then the Option or SAR will terminate on the earlier of (i) the expiration of a total period of three months (that need not be consecutive)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Disability of Participant</w:t>
      </w:r>
      <w:r>
        <w:rPr>
          <w:rFonts w:ascii="Times New Roman" w:hAnsi="Times New Roman"/>
          <w:sz w:val="20"/>
        </w:rPr>
        <w:t xml:space="preserve">. 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and (ii) the expiration of the term of the Option or SAR as set forth in the Award Agreement. If, after termination of Continuous Service, the Participant does not exercise his or her Option or SAR within the applicable time frame, the Option or SAR (as applicable) will terminate.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Death of Participant</w:t>
      </w:r>
      <w:r>
        <w:rPr>
          <w:rFonts w:ascii="Times New Roman" w:hAnsi="Times New Roman"/>
          <w:sz w:val="20"/>
        </w:rPr>
        <w:t xml:space="preserve">. 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(A) the date 12 months following the date of death and (B) the expiration of the term of such Option or SAR as set forth in the Award Agreement. If, after the Participant’s death, the Option or SAR is not exercised within the applicable time frame, the Option or SAR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Termination for Cause</w:t>
      </w:r>
      <w:r>
        <w:rPr>
          <w:rFonts w:ascii="Times New Roman" w:hAnsi="Times New Roman"/>
          <w:sz w:val="20"/>
        </w:rPr>
        <w:t xml:space="preserve">. Except as explicitly provided otherwise in a Participant’s Award Agreement, if a Participant’s Continuous Service is terminated for Cause, the Option or SAR will terminate upon the date on which the event giving rise to the termination for Cause first occurred, and the Participant will be prohibited from exercising his or her Option or SAR from and after the date on which the event giving rise to the termination for Cause first occurred (or, if required by law, the date of termination of Continuous Service).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Non-Exempt Employees</w:t>
      </w:r>
      <w:r>
        <w:rPr>
          <w:rFonts w:ascii="Times New Roman" w:hAnsi="Times New Roman"/>
          <w:sz w:val="20"/>
        </w:rPr>
        <w:t xml:space="preserve">. If an Option or SAR is granted to an Employee who is a non-exempt employee for purposes of the Fair Labor Standards 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Change in Control in which such Option or SAR is not assumed, continued, or substituted, or (iii) upon the Participant’s retirement (as such term may be defined in the Participant’s Award Agreement or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If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paragraph will apply to all Stock Awards and are hereby incorporated by reference into such Award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AWARDS OTHER THAN OPTIONS AND SARS.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Restricted Stock Awards</w:t>
      </w:r>
      <w:r>
        <w:rPr>
          <w:rFonts w:ascii="Times New Roman" w:hAnsi="Times New Roman"/>
          <w:sz w:val="20"/>
        </w:rPr>
        <w:t xml:space="preserve">. Each Award Agreement will be in such form and will contain such terms and conditions as the Committee deems appropriate. To the extent consistent with the Company’s bylaws, at the Committee’s election, shares of Common Stock may be (x) held in book entry form subject to the Company’s instructions until any restrictions relating to the Restricted Stock Award lapse; or (y) evidenced by a certificate, which certificate will be held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such form and manner as determined by the Committee. The terms and conditions of Award Agreements may change from time to time, and the terms and conditions of separate Award Agreements need not be identical. Each Award Agreement will conform to (through incorporation of the provisions hereof by reference in the agreement or otherwise) the substance of each of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Consideration</w:t>
      </w:r>
      <w:r>
        <w:rPr>
          <w:rFonts w:ascii="Times New Roman" w:hAnsi="Times New Roman"/>
          <w:sz w:val="20"/>
        </w:rPr>
        <w:t xml:space="preserve">. A Restricted Stock Award may be awarded in consideration for (A) cash, check, bank draft, electronic funds, wire transfer, or money order payable to the Company, (B) past services to the Company or an Affiliate, or (C) any other form of legal consideration that may be acceptable to the Committee, in its sole discretion, and permissible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Vesting</w:t>
      </w:r>
      <w:r>
        <w:rPr>
          <w:rFonts w:ascii="Times New Roman" w:hAnsi="Times New Roman"/>
          <w:sz w:val="20"/>
        </w:rPr>
        <w:t xml:space="preserve">. Shares of Common Stock awarded under the Restricted Stock Award may be subject to forfeiture to the Company in accordance with a vesting schedule to be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Termination of Participant’s Continuous Service</w:t>
      </w:r>
      <w:r>
        <w:rPr>
          <w:rFonts w:ascii="Times New Roman" w:hAnsi="Times New Roman"/>
          <w:sz w:val="20"/>
        </w:rPr>
        <w:t xml:space="preserve">.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Transferability</w:t>
      </w:r>
      <w:r>
        <w:rPr>
          <w:rFonts w:ascii="Times New Roman" w:hAnsi="Times New Roman"/>
          <w:sz w:val="20"/>
        </w:rPr>
        <w:t xml:space="preserve">. The right to acquire shares of Common Stock under a Restricted Stock Award will not be transferable by the Participant. Once the shares of Common Stock are issued, the Committee may allow the holder to transfer unvested shares, but only on the terms and conditions in the Award Agreement, and only so long as the Common Stock awarded under the Award Agreement remains subject to the terms of the Award Agreement in the hands of the recipient.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Dividends</w:t>
      </w:r>
      <w:r>
        <w:rPr>
          <w:rFonts w:ascii="Times New Roman" w:hAnsi="Times New Roman"/>
          <w:sz w:val="20"/>
        </w:rPr>
        <w:t xml:space="preserve">. In the absence of an Award Agreement expressly providing otherwise, any dividends paid on Restricted Stock will be subject to the same vesting and forfeiture restrictions as apply to the shares subject to the Restricted Stock Award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Restricted Stock Unit Awards</w:t>
      </w:r>
      <w:r>
        <w:rPr>
          <w:rFonts w:ascii="Times New Roman" w:hAnsi="Times New Roman"/>
          <w:sz w:val="20"/>
        </w:rPr>
        <w:t xml:space="preserve">. Each Award Agreement will be in such form and will contain such terms and conditions as the Committee will deem appropriate. The terms and conditions of Award Agreements may change from time to time, and the terms and conditions of separate Award Agreements need not be identical. Each Award Agreement will conform to (through incorporation of the provisions hereof by reference in the agreement or otherwise) the substance of each of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Consideration</w:t>
      </w:r>
      <w:r>
        <w:rPr>
          <w:rFonts w:ascii="Times New Roman" w:hAnsi="Times New Roman"/>
          <w:sz w:val="20"/>
        </w:rPr>
        <w:t xml:space="preserve">. At the time of grant of a Restricted Stock Unit Award, the Committee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Committee, in its sole discretion, and permissible under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Vesting</w:t>
      </w:r>
      <w:r>
        <w:rPr>
          <w:rFonts w:ascii="Times New Roman" w:hAnsi="Times New Roman"/>
          <w:sz w:val="20"/>
        </w:rPr>
        <w:t xml:space="preserve">. At the time of the grant of a Restricted Stock Unit Award, the Committee may impose such restrictions on or conditions to the vesting of the Restricted Stock Unit Award as it, in its sole discretion,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Payment</w:t>
      </w:r>
      <w:r>
        <w:rPr>
          <w:rFonts w:ascii="Times New Roman" w:hAnsi="Times New Roman"/>
          <w:sz w:val="20"/>
        </w:rPr>
        <w:t xml:space="preserve">. A Restricted Stock Unit Award may be settled by the delivery of shares of Common Stock, their cash equivalent, any combination thereof or in any other form of consideration, as determined by the Committee and contained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Additional Restrictions</w:t>
      </w:r>
      <w:r>
        <w:rPr>
          <w:rFonts w:ascii="Times New Roman" w:hAnsi="Times New Roman"/>
          <w:sz w:val="20"/>
        </w:rPr>
        <w:t xml:space="preserve">. At the time of the grant of a Restricted Stock Unit Award, the Committee, as it deems appropriate, may impose such restrictions or conditions that delay the delivery of the shares of Common Stock (or their cash equivalent) subject to a Restricted Stock Unit Award to a time after the vesting of such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Dividend Equivalents</w:t>
      </w:r>
      <w:r>
        <w:rPr>
          <w:rFonts w:ascii="Times New Roman" w:hAnsi="Times New Roman"/>
          <w:sz w:val="20"/>
        </w:rPr>
        <w:t xml:space="preserve">. Dividend equivalents may be credited in respect of shares of Common Stock covered by a Restricted Stock Unit Award, as determined by the Committee and contained in the Award Agreement. At the sole discretion of the Committee, such dividend equivalents may be converted into additional shares of Common Stock covered by the Restricted Stock Unit Award in such manner as determined by the Committee. Any additional shares covered by the Restricted Stock Unit Award credited by reason of such dividend equivalents will be subject to all of the same terms and conditions of the underlying Award Agreement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Termination of Participant’s Continuous Service</w:t>
      </w:r>
      <w:r>
        <w:rPr>
          <w:rFonts w:ascii="Times New Roman" w:hAnsi="Times New Roman"/>
          <w:sz w:val="20"/>
        </w:rPr>
        <w:t xml:space="preserve">. Except as otherwise provided in the applicable Award Agreement, the unvested portion of the Restricted Stock Unit Award will be forfeited upon the Participant’s termination of Continuous Service.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Performance Stock Awards</w:t>
      </w:r>
      <w:r>
        <w:rPr>
          <w:rFonts w:ascii="Times New Roman" w:hAnsi="Times New Roman"/>
          <w:sz w:val="20"/>
        </w:rPr>
        <w:t xml:space="preserve">. A Performance Stock Award is a Stock Award that is payable (including that may be granted, vest or exercised) contingent 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Other Stock Awards</w:t>
      </w:r>
      <w:r>
        <w:rPr>
          <w:rFonts w:ascii="Times New Roman" w:hAnsi="Times New Roman"/>
          <w:sz w:val="20"/>
        </w:rPr>
        <w:t xml:space="preserve">.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Committee will have sole and complete authority to determine the persons to whom and the time or times at which such Other Stock Awards will be granted, the number of shares of Common Stock to be granted pursuant to such Other Stock Awards and all other terms and conditions of such Other Stock Awards.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Availability of Shares</w:t>
      </w:r>
      <w:r>
        <w:rPr>
          <w:rFonts w:ascii="Times New Roman" w:hAnsi="Times New Roman"/>
          <w:sz w:val="20"/>
        </w:rPr>
        <w:t xml:space="preserve">. The Company will keep available at all times the number of shares of Common Stock reasonably required to satisfy then-outstanding Awards.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Securities Law Compliance</w:t>
      </w:r>
      <w:r>
        <w:rPr>
          <w:rFonts w:ascii="Times New Roman" w:hAnsi="Times New Roman"/>
          <w:sz w:val="20"/>
        </w:rPr>
        <w:t xml:space="preserve">. To the extent reasonably practicable, the Company will seek to obtain from each regulatory commission or agency having jurisdiction over the Plan such authority as may be required to grant Stock Awards and to issue and sell shares of Common Stock upon exercise of the Stock Awards. However,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 Obligation to Notify or Minimize Taxes</w:t>
      </w:r>
      <w:r>
        <w:rPr>
          <w:rFonts w:ascii="Times New Roman" w:hAnsi="Times New Roman"/>
          <w:sz w:val="20"/>
        </w:rPr>
        <w:t xml:space="preserve">. The Company will have no duty or obligation to any Participant to 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Use of Proceeds from Sales of Common Stock</w:t>
      </w:r>
      <w:r>
        <w:rPr>
          <w:rFonts w:ascii="Times New Roman" w:hAnsi="Times New Roman"/>
          <w:sz w:val="20"/>
        </w:rPr>
        <w:t xml:space="preserve">. 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Committee, regardless of when the instrument, certificate, or letter evidencing the Award is communicated to, or actually received or accepted by, the Participant. In the event that the corporate records (e.g., Committee consents, resolutions or minutes) documenting the corporate action constituting the grant contain terms (e.g., exercise price, vesting schedule or number of shares) that are inconsistent with those in the Award Agreement as a result of a clerical error in the papering of the Award Agreement, the corporate records will control and the Participant will have no legally binding right to the incorrect term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an Award unless and until (i) such Participant has satisfied all requirements for exercise of, or the issuance of shares under, the Award pursuant to its terms, and (ii) the issuance of the Common Stock subject to such Award has been entered into the books and records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Change in Time Commitment</w:t>
      </w:r>
      <w:r>
        <w:rPr>
          <w:rFonts w:ascii="Times New Roman" w:hAnsi="Times New Roman"/>
          <w:sz w:val="20"/>
        </w:rPr>
        <w:t xml:space="preserve">. If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after the date of grant of any Award to the Participant, the Committee has the right in its sole discretion (and without the need to seek or obtain the consent of the affected Participant)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Investment Assurances</w:t>
      </w:r>
      <w:r>
        <w:rPr>
          <w:rFonts w:ascii="Times New Roman" w:hAnsi="Times New Roman"/>
          <w:sz w:val="20"/>
        </w:rPr>
        <w:t xml:space="preserve">. 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and any other applicable foreign securities laws, or (B) as to any particular requirement, a determination is made by counsel for the Company that such requirement need not be met in the circumstances under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Withholding Obligations</w:t>
      </w:r>
      <w:r>
        <w:rPr>
          <w:rFonts w:ascii="Times New Roman" w:hAnsi="Times New Roman"/>
          <w:sz w:val="20"/>
        </w:rPr>
        <w:t xml:space="preserve">. Unless prohibited by the terms of an Award Agreement or applicable law,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or (v) by such other method as may be set forth in the Award Agreement. If shares of Common Stock are withheld to satisfy tax obligations, such shares will be deemed issued and then immediately tendered to the Company and no shares of Common Stock will be withheld for these purposes to the extent they have a value exceeding the minimum amount of tax required to be withheld by law (or such lesser amount as may be necessary to avoid classification of the Stock Award as a liability for financial accounting purposes). For clarity, no partial shares will be withheld, and the Participant must satisfy the tax obligation related to any such partial share using another permitted form of payment.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Electronic Delivery</w:t>
      </w:r>
      <w:r>
        <w:rPr>
          <w:rFonts w:ascii="Times New Roman" w:hAnsi="Times New Roman"/>
          <w:sz w:val="20"/>
        </w:rPr>
        <w:t xml:space="preserve">. 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Deferrals</w:t>
      </w:r>
      <w:r>
        <w:rPr>
          <w:rFonts w:ascii="Times New Roman" w:hAnsi="Times New Roman"/>
          <w:sz w:val="20"/>
        </w:rPr>
        <w:t xml:space="preserve">. To the extent permitted by applicable law, the Committee, in its sole discretion, may determine that the delivery of Common Stock,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Committee may provide for distributions while a Participant is still an employee or otherwise providing services to the Company. The Committee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Compliance with 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Committee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with the permitted distribution events and timing being the earlier of the date of termination of Continuous Service and the date of a Change in Control. Notwithstanding anything to the contrary in this Plan (and unless the Award Agreement specifically provides otherwise), if the shares of Common Stock are publicly traded, and if a Participant holding 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Clawback/Recovery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Awards granted under the Plan are subject to the terms and conditions of the Five9, Inc. Compensation Recoupment Policy (effective October 31, 2023, as may be further updated or amended from time to time) and any other clawback provisions, policy or policies (if any) as may be in effect from time to time, including any that specifically implement Section 10D of the Exchange Act, and any applicable rules or regulations promulgated thereunder (including applicable rules and regulations of any national securities exchange on which the shares of Common Stock at any point may be traded) (collectively, the “</w:t>
      </w:r>
      <w:r>
        <w:rPr>
          <w:rFonts w:ascii="Times New Roman" w:hAnsi="Times New Roman"/>
          <w:b/>
          <w:i/>
          <w:sz w:val="20"/>
        </w:rPr>
        <w:t>Clawback Policy</w:t>
      </w:r>
      <w:r>
        <w:rPr>
          <w:rFonts w:ascii="Times New Roman" w:hAnsi="Times New Roman"/>
          <w:sz w:val="20"/>
        </w:rPr>
        <w:t>”). In addition, the Committee may impose such other clawback, recovery or recoupment provisions in an Award Agreement as the Committee determines necessary or appropriate, including but not limited to a reacquisition right in respect of previously acquired shares of Common Stock or other cash or property upon the occurrence of Cause. The implementation of any clawback policy will not be deemed a triggering event for purposes of any definition of “</w:t>
      </w:r>
      <w:r>
        <w:rPr>
          <w:rFonts w:ascii="Times New Roman" w:hAnsi="Times New Roman"/>
          <w:i/>
          <w:sz w:val="20"/>
        </w:rPr>
        <w:t>good reason</w:t>
      </w:r>
      <w:r>
        <w:rPr>
          <w:rFonts w:ascii="Times New Roman" w:hAnsi="Times New Roman"/>
          <w:sz w:val="20"/>
        </w:rPr>
        <w:t>” for resignation or “</w:t>
      </w:r>
      <w:r>
        <w:rPr>
          <w:rFonts w:ascii="Times New Roman" w:hAnsi="Times New Roman"/>
          <w:i/>
          <w:sz w:val="20"/>
        </w:rPr>
        <w:t>constructive termination</w:t>
      </w:r>
      <w:r>
        <w:rPr>
          <w:rFonts w:ascii="Times New Roman" w:hAnsi="Times New Roman"/>
          <w:sz w:val="20"/>
        </w:rPr>
        <w:t xml:space="preserve">.” Further, by accepting any Award under the Plan, each Participant agrees (or has agreed) to fully cooperate with and assist the Company in connection with any of such Participant’s obligations to the Company pursuant to the Clawback Policy, and agrees (or has agreed) that the Company may enforce its rights under the Clawback Policy through any and all reasonable means permitted under applicable law as it deems necessary or desirable under the Clawback Policy, from and after the effective date thereof. Such cooperation and assistance shall include, but is not limited to, executing, completing and submitting any documentation necessary to facilitate the recovery or recoupment by the Company from such Participant of any such amounts, including from such Participants’ accounts or from any other compensation, to the extent permissible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(ii) Otherwise, any Award Agreement (or any part thereof) may provide for the cancellation or forfeiture of an Award or the forfeiture and repayment to the Company of any gain or earnings related to an Award (or other provisions intended to have similar effects), including upon such terms and conditions as may be determined by the Committee in accordance with the Clawback Policy or any applicable laws, rules, regulations or requirements that impose mandatory clawback or recoupment requirements under the circumstances set forth in such laws, rules, regulations or requirements in effect from time to time (including as may operate to create additional rights for the Company with respect to such Awards and the recovery of amounts or benefits relating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Whistleblower Protection.</w:t>
      </w:r>
      <w:r>
        <w:rPr>
          <w:rFonts w:ascii="Times New Roman" w:hAnsi="Times New Roman"/>
          <w:sz w:val="20"/>
        </w:rPr>
        <w:t xml:space="preserve"> Nothing in the Plan, an Award Agreement or otherwise (a) limits the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or (b) prevents the Participant from providing, without prior notice to the Company,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the Participant is not prohibited from providing information (including documents) voluntarily to the Securities and Exchange Commission pursuant to Section 21F of the Exchange Act). The Company nonetheless asserts and does not waive its attorney-client privilege over any information protected by privilege.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b/>
          <w:sz w:val="20"/>
        </w:rPr>
        <w:t>Rule 16b-3 Compliance.</w:t>
      </w:r>
      <w:r>
        <w:rPr>
          <w:rFonts w:ascii="Times New Roman" w:hAnsi="Times New Roman"/>
          <w:sz w:val="20"/>
        </w:rPr>
        <w:t xml:space="preserve"> The Company intends that the Plan and any Awards comply in all respects with Rule 16b-3, and will be interpreted to give effect to such intention.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CAPITALIZATION; OTHER CORPORATE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Capitalization Adjustments</w:t>
      </w:r>
      <w:r>
        <w:rPr>
          <w:rFonts w:ascii="Times New Roman" w:hAnsi="Times New Roman"/>
          <w:sz w:val="20"/>
        </w:rPr>
        <w:t xml:space="preserve">. In the event of a Capitalization Adjustment, the Committee will appropriately and proportionately adjust: (i) the class(es) and maximum number of securities subject to the Plan pursuant to Section 3(a), and (ii) the class(es) and number of securities and price per share of stock subject to outstanding Awards. The Committee will make such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However, the Committee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Change in Control</w:t>
      </w:r>
      <w:r>
        <w:rPr>
          <w:rFonts w:ascii="Times New Roman" w:hAnsi="Times New Roman"/>
          <w:sz w:val="20"/>
        </w:rPr>
        <w:t xml:space="preserve">. The following provisions will apply to Awards in the event of a Change in Control unless otherwise provided in the Award Agreement or any other written agreement between the Company or any Affiliate and the Participant or unless otherwise expressly provided by the Committee at the time of grant.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 Change in Control, the Committee will take one or more of the following actions with respect to Awards, contingent upon the closing or completion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 arrange for the surviving corporation or acquiring corporation (or the surviving or acquiring corporation’s parent company) to assume or continue the Award or to substitute a similar award for the Award (including, but not limited to, an award to acquire the same consideration paid to the stockholders of the Company pursuant to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(ii) arrange for the assignment of any reacquisition or repurchase rights held by the Company in respect of Common Stock issued pursuant to the Award to the surviving corporation or acquiring corporation (or the surviving or acquiring corporation’s parent company); </w:t>
      </w:r>
    </w:p>
    <w:p>
      <w:pPr>
        <w:pStyle w:val="TextBody"/>
        <w:bidi w:val="0"/>
        <w:spacing w:before="240" w:after="0"/>
        <w:jc w:val="left"/>
        <w:rPr>
          <w:rFonts w:ascii="Times New Roman" w:hAnsi="Times New Roman"/>
          <w:sz w:val="20"/>
        </w:rPr>
      </w:pPr>
      <w:r>
        <w:rPr>
          <w:rFonts w:ascii="Times New Roman" w:hAnsi="Times New Roman"/>
          <w:sz w:val="20"/>
        </w:rPr>
        <w:t xml:space="preserve">(iii) accelerate the vesting, in whole or in part, of the Award (and, if applicable, the time at which the Award may be exercised) to a date prior to the effective time of such Change in Control as the Committee will determine (or, if the Committee will not determine such a date, to the date that is five days prior to the effective date of the Change in Control), with such Award terminating if not exercised (if applicable) at or prior to the effective time of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(iv) arrange for the lapse, in whole or in part, of any reacquisition or repurchase rights held by the Company with respect to the Award on a date prior to the effective time of such Change in Control as the Committee will determine (or, if the Committee will not determine such a date, on the date that is five days prior to the effective date of the Change in Control); or </w:t>
      </w:r>
    </w:p>
    <w:p>
      <w:pPr>
        <w:pStyle w:val="TextBody"/>
        <w:bidi w:val="0"/>
        <w:spacing w:before="240" w:after="0"/>
        <w:jc w:val="left"/>
        <w:rPr>
          <w:rFonts w:ascii="Times New Roman" w:hAnsi="Times New Roman"/>
          <w:sz w:val="20"/>
        </w:rPr>
      </w:pPr>
      <w:r>
        <w:rPr>
          <w:rFonts w:ascii="Times New Roman" w:hAnsi="Times New Roman"/>
          <w:sz w:val="20"/>
        </w:rPr>
        <w:t xml:space="preserve">(v) cancel or arrange for the cancellation of the Award, to the extent not vested or not exercised prior to the effective time of the Change in Control, in exchange for a payment, in such form as may be determined by the Committee equal to the excess, if any, of (A) the value of the property the Participant would have received upon the exercise of the Award immediately prior to the effective time of the Change in Control, over (B) any exercise price payable by such holder in connection with such exercise. For clarity, this payment may be zero if the fair market value of the property is equal to or less than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For clarity, if the surviving corporation or acquiring corporation (or the surviving or acquiring corporation’s parent company) refuses to assume, continue, replace with new awards or otherwise substitute a new award for, an outstanding Award (including unvested outstanding shares), that Award will become fully vested as of immediately prior to the closing of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Committee need not take the same action or actions with respect to all Awards or portions thereof or with respect to all Participants. Only to the extent permitted under Code Section 409A, the Committee may provide that payments under this provision may be delayed to the same extent that payment of consideration to the holders of the Company’s Common Stock in connection with the Change in Control is delayed as a result of escrows, earn outs, holdbacks or other contingencies. An Award may be subject to additional acceleration of vesting and exercisability upon or after a Change in Control as provided in the Award Agreement for such Award or as may be provided in any other written agreement between the Company or any Affiliate and the Participant, but in the absence of such provision, no such acceleration will occur.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 TERM.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suspend or terminate the Plan at any time. No Awards may be granted under the Plan while the Plan is suspended or after it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EXISTENCE OF THE PLAN; TIMING OF FIRST GRANT OR EXERCISE.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effective as of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CHOICE OF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law of the State of California will govern all questions concerning the construction, validity and interpretation of this Plan, without regard to that state’s conflict of laws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Affiliate</w:t>
      </w:r>
      <w:r>
        <w:rPr>
          <w:rFonts w:ascii="Times New Roman" w:hAnsi="Times New Roman"/>
          <w:sz w:val="20"/>
        </w:rPr>
        <w:t>” means, at the time of determination, any “</w:t>
      </w:r>
      <w:r>
        <w:rPr>
          <w:rFonts w:ascii="Times New Roman" w:hAnsi="Times New Roman"/>
          <w:i/>
          <w:sz w:val="20"/>
        </w:rPr>
        <w:t>parent</w:t>
      </w:r>
      <w:r>
        <w:rPr>
          <w:rFonts w:ascii="Times New Roman" w:hAnsi="Times New Roman"/>
          <w:sz w:val="20"/>
        </w:rPr>
        <w:t>” or “</w:t>
      </w:r>
      <w:r>
        <w:rPr>
          <w:rFonts w:ascii="Times New Roman" w:hAnsi="Times New Roman"/>
          <w:i/>
          <w:sz w:val="20"/>
        </w:rPr>
        <w:t>subsidiary</w:t>
      </w:r>
      <w:r>
        <w:rPr>
          <w:rFonts w:ascii="Times New Roman" w:hAnsi="Times New Roman"/>
          <w:sz w:val="20"/>
        </w:rPr>
        <w:t>” of the Company as such terms are defined in Rule 405 of the Securities Act. The Committee will have the authority to determine the time or times at which “</w:t>
      </w:r>
      <w:r>
        <w:rPr>
          <w:rFonts w:ascii="Times New Roman" w:hAnsi="Times New Roman"/>
          <w:i/>
          <w:sz w:val="20"/>
        </w:rPr>
        <w:t>parent</w:t>
      </w:r>
      <w:r>
        <w:rPr>
          <w:rFonts w:ascii="Times New Roman" w:hAnsi="Times New Roman"/>
          <w:sz w:val="20"/>
        </w:rPr>
        <w:t>” or “</w:t>
      </w:r>
      <w:r>
        <w:rPr>
          <w:rFonts w:ascii="Times New Roman" w:hAnsi="Times New Roman"/>
          <w:i/>
          <w:sz w:val="20"/>
        </w:rPr>
        <w:t>subsidiary</w:t>
      </w:r>
      <w:r>
        <w:rPr>
          <w:rFonts w:ascii="Times New Roman" w:hAnsi="Times New Roman"/>
          <w:sz w:val="20"/>
        </w:rPr>
        <w:t xml:space="preserve">”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Award</w:t>
      </w:r>
      <w:r>
        <w:rPr>
          <w:rFonts w:ascii="Times New Roman" w:hAnsi="Times New Roman"/>
          <w:sz w:val="20"/>
        </w:rPr>
        <w:t xml:space="preserve">” means a Stock Award.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Award Agreement</w:t>
      </w:r>
      <w:r>
        <w:rPr>
          <w:rFonts w:ascii="Times New Roman" w:hAnsi="Times New Roman"/>
          <w:sz w:val="20"/>
        </w:rPr>
        <w:t xml:space="preserve">” means a written agreement between the Company and a Participant evidencing the terms and conditions of an Award.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Capitalization Adjustment</w:t>
      </w:r>
      <w:r>
        <w:rPr>
          <w:rFonts w:ascii="Times New Roman" w:hAnsi="Times New Roman"/>
          <w:sz w:val="20"/>
        </w:rPr>
        <w:t xml:space="preserve">”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stock split, liquidating dividend, extraordinary and non-recurring cash dividend, combination of shares, exchange of shares, change in corporate structure or any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w:t>
      </w:r>
      <w:r>
        <w:rPr>
          <w:rFonts w:ascii="Times New Roman" w:hAnsi="Times New Roman"/>
          <w:b/>
          <w:sz w:val="20"/>
        </w:rPr>
        <w:t>Cause</w:t>
      </w:r>
      <w:r>
        <w:rPr>
          <w:rFonts w:ascii="Times New Roman" w:hAnsi="Times New Roman"/>
          <w:sz w:val="20"/>
        </w:rPr>
        <w:t xml:space="preserve">” means the occurrence of any one or more of the following: (i) the Participant’s commission of any felony involving fraud, dishonesty or moral turpitude; (ii) the Participant’s attempted commission of or participation in a fraud or act of dishonesty against the Company that results in (or might have reasonably resulted in) material harm to the business of the Company; (iii) the Participant’s intentional, material violation of any contract or agreement between the Participant and the Company or any statutory duty that the Participant owes to the Company; or (iv) the Participant’s conduct that constitutes gross insubordination, incompetence or habitual neglect of duties and that results in (or might have reasonably resulted in) material harm to the business of the Company. However, the action or conduct described in clauses (iii) and (iv) above will constitute “Cause” only if such action or conduct continues after the Company has provided the Participant with written notice thereof and thirty (30) days to cure the same.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Change in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(i) any Exchange Act Person becomes the Owner, directly or indirectly, of securities of the Company representing </w:t>
      </w:r>
      <w:r>
        <w:rPr>
          <w:rFonts w:ascii="Times New Roman" w:hAnsi="Times New Roman"/>
          <w:sz w:val="20"/>
          <w:u w:val="single"/>
        </w:rPr>
        <w:t>more than 50%</w:t>
      </w:r>
      <w:r>
        <w:rPr>
          <w:rFonts w:ascii="Times New Roman" w:hAnsi="Times New Roman"/>
          <w:sz w:val="20"/>
        </w:rPr>
        <w:t xml:space="preserve"> of the combined voting power of the Company’s then outstanding securities other than by virtue of a merger, consolidation or similar transaction. A Change in Control will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w:t>
      </w:r>
      <w:r>
        <w:rPr>
          <w:rFonts w:ascii="Times New Roman" w:hAnsi="Times New Roman"/>
          <w:b/>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 </w:t>
      </w:r>
    </w:p>
    <w:p>
      <w:pPr>
        <w:pStyle w:val="TextBody"/>
        <w:bidi w:val="0"/>
        <w:spacing w:before="240" w:after="0"/>
        <w:jc w:val="left"/>
        <w:rPr>
          <w:rFonts w:ascii="Times New Roman" w:hAnsi="Times New Roman"/>
          <w:sz w:val="20"/>
        </w:rPr>
      </w:pPr>
      <w:r>
        <w:rPr>
          <w:rFonts w:ascii="Times New Roman" w:hAnsi="Times New Roman"/>
          <w:sz w:val="20"/>
        </w:rPr>
        <w:t xml:space="preserve">(ii)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w:t>
      </w:r>
      <w:r>
        <w:rPr>
          <w:rFonts w:ascii="Times New Roman" w:hAnsi="Times New Roman"/>
          <w:sz w:val="20"/>
          <w:u w:val="single"/>
        </w:rPr>
        <w:t>more than 50%</w:t>
      </w:r>
      <w:r>
        <w:rPr>
          <w:rFonts w:ascii="Times New Roman" w:hAnsi="Times New Roman"/>
          <w:sz w:val="20"/>
        </w:rPr>
        <w:t xml:space="preserve"> of the combined outstanding voting power of the surviving Entity in such merger, consolidation or similar transaction or (B)</w:t>
      </w:r>
      <w:r>
        <w:rPr>
          <w:rFonts w:ascii="Times New Roman" w:hAnsi="Times New Roman"/>
          <w:sz w:val="20"/>
          <w:u w:val="single"/>
        </w:rPr>
        <w:t> more than 50%</w:t>
      </w:r>
      <w:r>
        <w:rPr>
          <w:rFonts w:ascii="Times New Roman" w:hAnsi="Times New Roman"/>
          <w:sz w:val="20"/>
        </w:rPr>
        <w:t xml:space="preserve">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(iii)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w:t>
      </w:r>
      <w:r>
        <w:rPr>
          <w:rFonts w:ascii="Times New Roman" w:hAnsi="Times New Roman"/>
          <w:sz w:val="20"/>
          <w:u w:val="single"/>
        </w:rPr>
        <w:t xml:space="preserve">more than 50% </w:t>
      </w:r>
      <w:r>
        <w:rPr>
          <w:rFonts w:ascii="Times New Roman" w:hAnsi="Times New Roman"/>
          <w:sz w:val="20"/>
        </w:rPr>
        <w:t xml:space="preserve">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individuals who, on the Effective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However,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voting power under the term Change in Control, voting power shall be calculated by assuming the conversion of all equity securities convertible (immediately or at some future time) into shares entitled to vote, but not assuming the exercise of any warrant or right to subscribe to or purchase those shares. In addition, the term Change in Control will </w:t>
      </w:r>
      <w:r>
        <w:rPr>
          <w:rFonts w:ascii="Times New Roman" w:hAnsi="Times New Roman"/>
          <w:sz w:val="20"/>
          <w:u w:val="single"/>
        </w:rPr>
        <w:t>not</w:t>
      </w:r>
      <w:r>
        <w:rPr>
          <w:rFonts w:ascii="Times New Roman" w:hAnsi="Times New Roman"/>
          <w:sz w:val="20"/>
        </w:rPr>
        <w:t xml:space="preserve"> include (A) a sale of assets, merger or other transaction effected exclusively for the purpose of changing the domicile of the Company, or (B) a change in the voting power of any one or more stockholders as a result of the conversion of any class of the Company’s securities into another class of the Company’s securities having a different number of votes per share pursuant to the conversion provisions set forth in the Company’s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The definition of Change in Control (or any analogous term) in an individual written agreement between the Company or any Affiliate and the Participant will supersede the foregoing definition with respect to Awards subject to such agreement.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w:t>
      </w:r>
      <w:r>
        <w:rPr>
          <w:rFonts w:ascii="Times New Roman" w:hAnsi="Times New Roman"/>
          <w:i/>
          <w:sz w:val="20"/>
        </w:rPr>
        <w:t>Change in Control</w:t>
      </w:r>
      <w:r>
        <w:rPr>
          <w:rFonts w:ascii="Times New Roman" w:hAnsi="Times New Roman"/>
          <w:sz w:val="20"/>
        </w:rPr>
        <w:t>” to conform to the definition of “</w:t>
      </w:r>
      <w:r>
        <w:rPr>
          <w:rFonts w:ascii="Times New Roman" w:hAnsi="Times New Roman"/>
          <w:i/>
          <w:sz w:val="20"/>
        </w:rPr>
        <w:t>Change in Control</w:t>
      </w:r>
      <w:r>
        <w:rPr>
          <w:rFonts w:ascii="Times New Roman" w:hAnsi="Times New Roman"/>
          <w:sz w:val="20"/>
        </w:rPr>
        <w:t xml:space="preserve">” under Section 409A of the Code, and the regulations thereunder.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Code</w:t>
      </w:r>
      <w:r>
        <w:rPr>
          <w:rFonts w:ascii="Times New Roman" w:hAnsi="Times New Roman"/>
          <w:sz w:val="20"/>
        </w:rPr>
        <w:t xml:space="preserve">” means the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Committee</w:t>
      </w:r>
      <w:r>
        <w:rPr>
          <w:rFonts w:ascii="Times New Roman" w:hAnsi="Times New Roman"/>
          <w:sz w:val="20"/>
        </w:rPr>
        <w:t xml:space="preserve">” means the Compensation Committee of the Board or a group of Directors consisting solely of a majority of Directors who meet the requirements for independence under the Listing Rules.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Common Stock</w:t>
      </w:r>
      <w:r>
        <w:rPr>
          <w:rFonts w:ascii="Times New Roman" w:hAnsi="Times New Roman"/>
          <w:sz w:val="20"/>
        </w:rPr>
        <w:t xml:space="preserve">” means the common stock of the Company, having one vote per share.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Company</w:t>
      </w:r>
      <w:r>
        <w:rPr>
          <w:rFonts w:ascii="Times New Roman" w:hAnsi="Times New Roman"/>
          <w:sz w:val="20"/>
        </w:rPr>
        <w:t xml:space="preserve">” means Five9, Inc., a Delaware corporation.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Consultant</w:t>
      </w:r>
      <w:r>
        <w:rPr>
          <w:rFonts w:ascii="Times New Roman" w:hAnsi="Times New Roman"/>
          <w:sz w:val="20"/>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w:t>
      </w:r>
      <w:r>
        <w:rPr>
          <w:rFonts w:ascii="Times New Roman" w:hAnsi="Times New Roman"/>
          <w:i/>
          <w:sz w:val="20"/>
        </w:rPr>
        <w:t>Consultant</w:t>
      </w:r>
      <w:r>
        <w:rPr>
          <w:rFonts w:ascii="Times New Roman" w:hAnsi="Times New Roman"/>
          <w:sz w:val="20"/>
        </w:rPr>
        <w:t xml:space="preserve">” for purposes of the Plan. However, a person may be treated as a Consultant under this Plan only if a Form S-8 Registration Statement under the Securities Act is available to register either the offer or the sale of the Company’s securities to such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b/>
          <w:sz w:val="20"/>
        </w:rPr>
        <w:t>Continuous Service</w:t>
      </w:r>
      <w:r>
        <w:rPr>
          <w:rFonts w:ascii="Times New Roman" w:hAnsi="Times New Roman"/>
          <w:sz w:val="20"/>
        </w:rPr>
        <w:t>” means that the Participant’s service with the Company or an Affiliate is not interrupted or terminated. A change in the capacity in which the Participant renders service to the Company or an Affiliate or a change in the entity for which the Participant renders such service, provided that there is no interruption or termination of the Participant’s service with the Company or an Affiliate, will not terminate a Participant’s Continuous Service. If the Entity for which a Participant is rendering services ceases to qualify as an Affiliate, such Participant’s Continuous Service will be considered to have terminated on the date such Entity ceases to qualify as an Affiliate. To the extent permitted by law, the Committee or the chief executive officer of the Company, in that party’s sole discretion, may determine whether Continuous Service will be considered interrupted in the case of (i) any leave of absence approved by the Committee or chief executive officer, including sick leave, military leave or any other personal leave, or (ii) transfers between the Company, an Affiliate, or their successors. A leave of absence will be treated as Continuous Service for purposes of vesting in an Award only to such extent provided in the Company’s leave of absence policy, in the written terms of any leave of absence agreement applicable to the Participant, or as otherwise required by law. In addition, if required for exemption from or compliance with Section 409A of the Code, the determination of Continuous Service will be made, and such term will be construed, in a manner that is consistent with the definition of “</w:t>
      </w:r>
      <w:r>
        <w:rPr>
          <w:rFonts w:ascii="Times New Roman" w:hAnsi="Times New Roman"/>
          <w:i/>
          <w:sz w:val="20"/>
        </w:rPr>
        <w:t>separation from service</w:t>
      </w:r>
      <w:r>
        <w:rPr>
          <w:rFonts w:ascii="Times New Roman" w:hAnsi="Times New Roman"/>
          <w:sz w:val="20"/>
        </w:rPr>
        <w:t xml:space="preserve">” as defined under Treasury Regulation Section 1.409A-1(h)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Disability</w:t>
      </w:r>
      <w:r>
        <w:rPr>
          <w:rFonts w:ascii="Times New Roman" w:hAnsi="Times New Roman"/>
          <w:sz w:val="20"/>
        </w:rPr>
        <w:t xml:space="preserve">”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on the basis of such medical evidence as the Company deems warranted under the circumstances.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Effective Date</w:t>
      </w:r>
      <w:r>
        <w:rPr>
          <w:rFonts w:ascii="Times New Roman" w:hAnsi="Times New Roman"/>
          <w:sz w:val="20"/>
        </w:rPr>
        <w:t xml:space="preserve">” means June 5, 2026.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 “</w:t>
      </w:r>
      <w:r>
        <w:rPr>
          <w:rFonts w:ascii="Times New Roman" w:hAnsi="Times New Roman"/>
          <w:b/>
          <w:sz w:val="20"/>
        </w:rPr>
        <w:t>Exchange Act Person</w:t>
      </w:r>
      <w:r>
        <w:rPr>
          <w:rFonts w:ascii="Times New Roman" w:hAnsi="Times New Roman"/>
          <w:sz w:val="20"/>
        </w:rPr>
        <w:t>” means any natural person, Entity or “</w:t>
      </w:r>
      <w:r>
        <w:rPr>
          <w:rFonts w:ascii="Times New Roman" w:hAnsi="Times New Roman"/>
          <w:i/>
          <w:sz w:val="20"/>
        </w:rPr>
        <w:t>group</w:t>
      </w:r>
      <w:r>
        <w:rPr>
          <w:rFonts w:ascii="Times New Roman" w:hAnsi="Times New Roman"/>
          <w:sz w:val="20"/>
        </w:rPr>
        <w:t>”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w:t>
      </w:r>
      <w:r>
        <w:rPr>
          <w:rFonts w:ascii="Times New Roman" w:hAnsi="Times New Roman"/>
          <w:i/>
          <w:sz w:val="20"/>
        </w:rPr>
        <w:t>group</w:t>
      </w:r>
      <w:r>
        <w:rPr>
          <w:rFonts w:ascii="Times New Roman" w:hAnsi="Times New Roman"/>
          <w:sz w:val="20"/>
        </w:rPr>
        <w:t xml:space="preserve">”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sz w:val="20"/>
        </w:rPr>
        <w:t>Fair Market Value</w:t>
      </w:r>
      <w:r>
        <w:rPr>
          <w:rFonts w:ascii="Times New Roman" w:hAnsi="Times New Roman"/>
          <w:sz w:val="20"/>
        </w:rPr>
        <w:t xml:space="preserve">” means, as of any date, the value of the Common Stock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the Common Stock is listed on any established stock exchange or traded on any established market, the Fair Market Value of a share of Common Stock will be, unless otherwise determined by the Committee, the closing sales price for such stock as quoted on such exchange or market (or the exchange or market with the greatest volume of trading in the Common Stock) on the date of determination, as reported in a source the Committee deems reliable. </w:t>
      </w:r>
    </w:p>
    <w:p>
      <w:pPr>
        <w:pStyle w:val="TextBody"/>
        <w:bidi w:val="0"/>
        <w:spacing w:before="240" w:after="0"/>
        <w:jc w:val="left"/>
        <w:rPr>
          <w:rFonts w:ascii="Times New Roman" w:hAnsi="Times New Roman"/>
          <w:sz w:val="20"/>
        </w:rPr>
      </w:pPr>
      <w:r>
        <w:rPr>
          <w:rFonts w:ascii="Times New Roman" w:hAnsi="Times New Roman"/>
          <w:sz w:val="20"/>
        </w:rPr>
        <w:t xml:space="preserve">(ii) Unless otherwise provided by the Committee,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sz w:val="20"/>
        </w:rPr>
        <w:t xml:space="preserve">(iii) In the absence of such markets for the Common Stock, the Fair Market Value will be determined by the Committee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value of a share for purposes of tax reporting on the exercise, issuance or transfer of shares subject to Awards, fair market value may be calculated using the definition of Fair Market Value, the actual sales price in the transaction at issue (e.g., “sell to cover”), or such other value determined by the Company’s General Counsel in good faith in a manner that complies with applicable tax laws.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Listing Rules</w:t>
      </w:r>
      <w:r>
        <w:rPr>
          <w:rFonts w:ascii="Times New Roman" w:hAnsi="Times New Roman"/>
          <w:sz w:val="20"/>
        </w:rPr>
        <w:t xml:space="preserve">” means the Nasdaq Stock Market LLC Listing Rules.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sz w:val="20"/>
        </w:rPr>
        <w:t>Option</w:t>
      </w:r>
      <w:r>
        <w:rPr>
          <w:rFonts w:ascii="Times New Roman" w:hAnsi="Times New Roman"/>
          <w:sz w:val="20"/>
        </w:rPr>
        <w:t xml:space="preserve">” means any option to purchase shares of Common Stock granted under the Plan that does not qualify as an “incentive stock option” within the meaning of Section 422 of the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w:t>
      </w:r>
      <w:r>
        <w:rPr>
          <w:rFonts w:ascii="Times New Roman" w:hAnsi="Times New Roman"/>
          <w:b/>
          <w:sz w:val="20"/>
        </w:rPr>
        <w:t>Other Stock Award</w:t>
      </w:r>
      <w:r>
        <w:rPr>
          <w:rFonts w:ascii="Times New Roman" w:hAnsi="Times New Roman"/>
          <w:sz w:val="20"/>
        </w:rPr>
        <w:t xml:space="preserve">” means an award based in whole or in part by reference to the Common Stock which is granted pursuant to the terms and conditions of Section 6(d).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sz w:val="20"/>
        </w:rPr>
        <w:t>Own</w:t>
      </w:r>
      <w:r>
        <w:rPr>
          <w:rFonts w:ascii="Times New Roman" w:hAnsi="Times New Roman"/>
          <w:sz w:val="20"/>
        </w:rPr>
        <w:t>,” “</w:t>
      </w:r>
      <w:r>
        <w:rPr>
          <w:rFonts w:ascii="Times New Roman" w:hAnsi="Times New Roman"/>
          <w:b/>
          <w:sz w:val="20"/>
        </w:rPr>
        <w:t>Owned</w:t>
      </w:r>
      <w:r>
        <w:rPr>
          <w:rFonts w:ascii="Times New Roman" w:hAnsi="Times New Roman"/>
          <w:sz w:val="20"/>
        </w:rPr>
        <w:t>,” “</w:t>
      </w:r>
      <w:r>
        <w:rPr>
          <w:rFonts w:ascii="Times New Roman" w:hAnsi="Times New Roman"/>
          <w:b/>
          <w:sz w:val="20"/>
        </w:rPr>
        <w:t>Owner</w:t>
      </w:r>
      <w:r>
        <w:rPr>
          <w:rFonts w:ascii="Times New Roman" w:hAnsi="Times New Roman"/>
          <w:sz w:val="20"/>
        </w:rPr>
        <w:t>,” “</w:t>
      </w:r>
      <w:r>
        <w:rPr>
          <w:rFonts w:ascii="Times New Roman" w:hAnsi="Times New Roman"/>
          <w:b/>
          <w:sz w:val="20"/>
        </w:rPr>
        <w:t>Ownership</w:t>
      </w:r>
      <w:r>
        <w:rPr>
          <w:rFonts w:ascii="Times New Roman" w:hAnsi="Times New Roman"/>
          <w:sz w:val="20"/>
        </w:rPr>
        <w:t>” A person or Entity will be deemed to “</w:t>
      </w:r>
      <w:r>
        <w:rPr>
          <w:rFonts w:ascii="Times New Roman" w:hAnsi="Times New Roman"/>
          <w:b/>
          <w:sz w:val="20"/>
        </w:rPr>
        <w:t>Own</w:t>
      </w:r>
      <w:r>
        <w:rPr>
          <w:rFonts w:ascii="Times New Roman" w:hAnsi="Times New Roman"/>
          <w:sz w:val="20"/>
        </w:rPr>
        <w:t>,” to have “</w:t>
      </w:r>
      <w:r>
        <w:rPr>
          <w:rFonts w:ascii="Times New Roman" w:hAnsi="Times New Roman"/>
          <w:b/>
          <w:sz w:val="20"/>
        </w:rPr>
        <w:t>Owned</w:t>
      </w:r>
      <w:r>
        <w:rPr>
          <w:rFonts w:ascii="Times New Roman" w:hAnsi="Times New Roman"/>
          <w:sz w:val="20"/>
        </w:rPr>
        <w:t>,” to be the “</w:t>
      </w:r>
      <w:r>
        <w:rPr>
          <w:rFonts w:ascii="Times New Roman" w:hAnsi="Times New Roman"/>
          <w:b/>
          <w:sz w:val="20"/>
        </w:rPr>
        <w:t>Owner</w:t>
      </w:r>
      <w:r>
        <w:rPr>
          <w:rFonts w:ascii="Times New Roman" w:hAnsi="Times New Roman"/>
          <w:sz w:val="20"/>
        </w:rPr>
        <w:t>” of, or to have acquired “</w:t>
      </w:r>
      <w:r>
        <w:rPr>
          <w:rFonts w:ascii="Times New Roman" w:hAnsi="Times New Roman"/>
          <w:b/>
          <w:sz w:val="20"/>
        </w:rPr>
        <w:t>Ownership</w:t>
      </w:r>
      <w:r>
        <w:rPr>
          <w:rFonts w:ascii="Times New Roman" w:hAnsi="Times New Roman"/>
          <w:sz w:val="20"/>
        </w:rPr>
        <w:t xml:space="preserve">”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sz w:val="20"/>
        </w:rPr>
        <w:t>Participant</w:t>
      </w:r>
      <w:r>
        <w:rPr>
          <w:rFonts w:ascii="Times New Roman" w:hAnsi="Times New Roman"/>
          <w:sz w:val="20"/>
        </w:rPr>
        <w:t xml:space="preserve">” means a person to whom an Award is granted pursuant to the Plan or, if applicable, such other person who holds an outstanding Stock Award.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sz w:val="20"/>
        </w:rPr>
        <w:t>Performance Goals</w:t>
      </w:r>
      <w:r>
        <w:rPr>
          <w:rFonts w:ascii="Times New Roman" w:hAnsi="Times New Roman"/>
          <w:sz w:val="20"/>
        </w:rPr>
        <w:t xml:space="preserve">” means, for a Performance Period, the one or more goals established by the Committee for the Performance Period.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If the Committee determines that a change in the business, operations, corporate structure or capital structure of the Company (or its business units, divisions, Affiliates, or business segments) or the manner in which it conducts its business, or other events or circumstances render the Performance Goals unsuitable, the Committee may in its discretion modify such Performance Goals or the targets or actual levels of achievement regarding the Performance Goals in whole or in part, as the Committee deems appropriate and equitable.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sz w:val="20"/>
        </w:rPr>
        <w:t>Performance Period</w:t>
      </w:r>
      <w:r>
        <w:rPr>
          <w:rFonts w:ascii="Times New Roman" w:hAnsi="Times New Roman"/>
          <w:sz w:val="20"/>
        </w:rPr>
        <w:t xml:space="preserve">” means the period of time selected by the Committee over which the attainment of one or more Performance Goals will be measured for the purpose of determining a Participant’s right to and the payment of a Stock Award. Performance Periods may be of varying and overlapping duration, at the sole discretion of the Committee.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sz w:val="20"/>
        </w:rPr>
        <w:t>Performance Stock Award</w:t>
      </w:r>
      <w:r>
        <w:rPr>
          <w:rFonts w:ascii="Times New Roman" w:hAnsi="Times New Roman"/>
          <w:sz w:val="20"/>
        </w:rPr>
        <w:t xml:space="preserve">” means a Stock Award granted under the terms and conditions of Section 6(c) of the Plan.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sz w:val="20"/>
        </w:rPr>
        <w:t>Plan</w:t>
      </w:r>
      <w:r>
        <w:rPr>
          <w:rFonts w:ascii="Times New Roman" w:hAnsi="Times New Roman"/>
          <w:sz w:val="20"/>
        </w:rPr>
        <w:t xml:space="preserve">” means this Five9, Inc. 2026 Inducement Equity Incentive Plan.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sz w:val="20"/>
        </w:rPr>
        <w:t>Restricted Stock Award</w:t>
      </w:r>
      <w:r>
        <w:rPr>
          <w:rFonts w:ascii="Times New Roman" w:hAnsi="Times New Roman"/>
          <w:sz w:val="20"/>
        </w:rPr>
        <w:t xml:space="preserve">” means an award of shares of Common Stock which is granted pursuant to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sz w:val="20"/>
        </w:rPr>
        <w:t>Restricted Stock Unit Award</w:t>
      </w:r>
      <w:r>
        <w:rPr>
          <w:rFonts w:ascii="Times New Roman" w:hAnsi="Times New Roman"/>
          <w:sz w:val="20"/>
        </w:rPr>
        <w:t xml:space="preserve">” means a right to receive shares of Common Stock which is granted pursuant to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b/>
          <w:sz w:val="20"/>
        </w:rPr>
        <w:t>Securities Act</w:t>
      </w:r>
      <w:r>
        <w:rPr>
          <w:rFonts w:ascii="Times New Roman" w:hAnsi="Times New Roman"/>
          <w:sz w:val="20"/>
        </w:rPr>
        <w:t xml:space="preserve">” means the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(jj) “</w:t>
      </w:r>
      <w:r>
        <w:rPr>
          <w:rFonts w:ascii="Times New Roman" w:hAnsi="Times New Roman"/>
          <w:b/>
          <w:sz w:val="20"/>
        </w:rPr>
        <w:t>Stock Appreciation Right</w:t>
      </w:r>
      <w:r>
        <w:rPr>
          <w:rFonts w:ascii="Times New Roman" w:hAnsi="Times New Roman"/>
          <w:sz w:val="20"/>
        </w:rPr>
        <w:t>” or “</w:t>
      </w:r>
      <w:r>
        <w:rPr>
          <w:rFonts w:ascii="Times New Roman" w:hAnsi="Times New Roman"/>
          <w:b/>
          <w:sz w:val="20"/>
        </w:rPr>
        <w:t>SAR</w:t>
      </w:r>
      <w:r>
        <w:rPr>
          <w:rFonts w:ascii="Times New Roman" w:hAnsi="Times New Roman"/>
          <w:sz w:val="20"/>
        </w:rPr>
        <w:t xml:space="preserve">” means a right to receive the appreciation on Common Stock that is granted pursuant to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b/>
          <w:sz w:val="20"/>
        </w:rPr>
        <w:t>Stock Award</w:t>
      </w:r>
      <w:r>
        <w:rPr>
          <w:rFonts w:ascii="Times New Roman" w:hAnsi="Times New Roman"/>
          <w:sz w:val="20"/>
        </w:rPr>
        <w:t xml:space="preserve">” means any right to receive Common Stock granted under the Plan, including an Option, a Restricted Stock Award, a Restricted Stock Unit Award, a Stock Appreciation Right, a Performance Stock Award or any Other Stock Award.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b/>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0" w:after="0"/>
        <w:jc w:val="right"/>
        <w:rPr>
          <w:rFonts w:ascii="Times New Roman" w:hAnsi="Times New Roman"/>
          <w:b/>
          <w:sz w:val="20"/>
        </w:rPr>
      </w:pPr>
      <w:bookmarkStart w:id="5" w:name="d70942dex51.htm"/>
      <w:bookmarkStart w:id="6" w:name="ksd70942dex51"/>
      <w:bookmarkEnd w:id="5"/>
      <w:bookmarkEnd w:id="6"/>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343025"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343025" cy="20955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sz w:val="12"/>
        </w:rPr>
      </w:pPr>
      <w:r>
        <w:rPr>
          <w:rFonts w:ascii="Times New Roman" w:hAnsi="Times New Roman"/>
          <w:sz w:val="12"/>
        </w:rPr>
        <w:t xml:space="preserve">1755 EMBARCADERO ROAD  PALO ALTO, CALIFORNIA 94303 </w:t>
      </w:r>
    </w:p>
    <w:p>
      <w:pPr>
        <w:pStyle w:val="TextBody"/>
        <w:bidi w:val="0"/>
        <w:spacing w:before="120" w:after="0"/>
        <w:jc w:val="center"/>
        <w:rPr>
          <w:rFonts w:ascii="Times New Roman" w:hAnsi="Times New Roman"/>
          <w:sz w:val="12"/>
        </w:rPr>
      </w:pPr>
      <w:r>
        <w:rPr>
          <w:rFonts w:ascii="Times New Roman" w:hAnsi="Times New Roman"/>
          <w:sz w:val="12"/>
        </w:rPr>
        <w:t xml:space="preserve">TELEPHONE: +1.650.739.3939  FACSIMILE: +1.650.739.3900 </w:t>
      </w:r>
    </w:p>
    <w:p>
      <w:pPr>
        <w:pStyle w:val="TextBody"/>
        <w:bidi w:val="0"/>
        <w:spacing w:before="240" w:after="0"/>
        <w:jc w:val="center"/>
        <w:rPr>
          <w:rFonts w:ascii="Times New Roman" w:hAnsi="Times New Roman"/>
          <w:sz w:val="20"/>
        </w:rPr>
      </w:pPr>
      <w:r>
        <w:rPr>
          <w:rFonts w:ascii="Times New Roman" w:hAnsi="Times New Roman"/>
          <w:sz w:val="20"/>
        </w:rPr>
        <w:t xml:space="preserve">June 5, 2026 </w:t>
      </w:r>
    </w:p>
    <w:p>
      <w:pPr>
        <w:pStyle w:val="TextBody"/>
        <w:bidi w:val="0"/>
        <w:spacing w:before="240" w:after="0"/>
        <w:jc w:val="left"/>
        <w:rPr>
          <w:rFonts w:ascii="Times New Roman" w:hAnsi="Times New Roman"/>
          <w:sz w:val="20"/>
        </w:rPr>
      </w:pPr>
      <w:r>
        <w:rPr>
          <w:rFonts w:ascii="Times New Roman" w:hAnsi="Times New Roman"/>
          <w:sz w:val="20"/>
        </w:rPr>
        <w:t xml:space="preserve">Five9, Inc. </w:t>
      </w:r>
    </w:p>
    <w:p>
      <w:pPr>
        <w:pStyle w:val="TextBody"/>
        <w:bidi w:val="0"/>
        <w:spacing w:before="0" w:after="0"/>
        <w:jc w:val="left"/>
        <w:rPr>
          <w:rFonts w:ascii="Times New Roman" w:hAnsi="Times New Roman"/>
          <w:sz w:val="20"/>
        </w:rPr>
      </w:pPr>
      <w:r>
        <w:rPr>
          <w:rFonts w:ascii="Times New Roman" w:hAnsi="Times New Roman"/>
          <w:sz w:val="20"/>
        </w:rPr>
        <w:t xml:space="preserve">3001 Bishop Drive, Suite 350 </w:t>
      </w:r>
    </w:p>
    <w:p>
      <w:pPr>
        <w:pStyle w:val="TextBody"/>
        <w:bidi w:val="0"/>
        <w:spacing w:before="0" w:after="0"/>
        <w:jc w:val="left"/>
        <w:rPr>
          <w:rFonts w:ascii="Times New Roman" w:hAnsi="Times New Roman"/>
          <w:sz w:val="20"/>
        </w:rPr>
      </w:pPr>
      <w:r>
        <w:rPr>
          <w:rFonts w:ascii="Times New Roman" w:hAnsi="Times New Roman"/>
          <w:sz w:val="20"/>
        </w:rPr>
        <w:t xml:space="preserve">San Ramon, CA 94583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S-8 filed by Five9, Inc.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for Five9, Inc., a Delaware corporation (the “</w:t>
      </w:r>
      <w:r>
        <w:rPr>
          <w:rFonts w:ascii="Times New Roman" w:hAnsi="Times New Roman"/>
          <w:b/>
          <w:i/>
          <w:sz w:val="20"/>
        </w:rPr>
        <w:t>Company</w:t>
      </w:r>
      <w:r>
        <w:rPr>
          <w:rFonts w:ascii="Times New Roman" w:hAnsi="Times New Roman"/>
          <w:sz w:val="20"/>
        </w:rPr>
        <w:t>”), in connection with the registration of 2.9 million shares (the “</w:t>
      </w:r>
      <w:r>
        <w:rPr>
          <w:rFonts w:ascii="Times New Roman" w:hAnsi="Times New Roman"/>
          <w:b/>
          <w:i/>
          <w:sz w:val="20"/>
        </w:rPr>
        <w:t>Shares</w:t>
      </w:r>
      <w:r>
        <w:rPr>
          <w:rFonts w:ascii="Times New Roman" w:hAnsi="Times New Roman"/>
          <w:sz w:val="20"/>
        </w:rPr>
        <w:t>”) of the Company’s common stock, par value $0.001 per share, that may be issued or delivered and sold pursuant to the Five9, Inc. 2026 Inducement Equity Incentive Plan (the “</w:t>
      </w:r>
      <w:r>
        <w:rPr>
          <w:rFonts w:ascii="Times New Roman" w:hAnsi="Times New Roman"/>
          <w:b/>
          <w:i/>
          <w:sz w:val="20"/>
        </w:rPr>
        <w:t>Plan</w:t>
      </w:r>
      <w:r>
        <w:rPr>
          <w:rFonts w:ascii="Times New Roman" w:hAnsi="Times New Roman"/>
          <w:sz w:val="20"/>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Shares that may be issued or delivered and sold pursuant to the Plan and the authorized forms of applicable award agreements thereunder (the “</w:t>
      </w:r>
      <w:r>
        <w:rPr>
          <w:rFonts w:ascii="Times New Roman" w:hAnsi="Times New Roman"/>
          <w:b/>
          <w:i/>
          <w:sz w:val="20"/>
        </w:rPr>
        <w:t>Award Agreements</w:t>
      </w:r>
      <w:r>
        <w:rPr>
          <w:rFonts w:ascii="Times New Roman" w:hAnsi="Times New Roman"/>
          <w:sz w:val="20"/>
        </w:rPr>
        <w:t xml:space="preserve">”) will be, when issued or delivered and sold in accordance with the Plan and the Award Agreements, validly issued, fully paid and nonassessable, provided that the consideration for the Shares is at least equal to the stated par value thereof. </w:t>
      </w:r>
    </w:p>
    <w:p>
      <w:pPr>
        <w:pStyle w:val="TextBody"/>
        <w:bidi w:val="0"/>
        <w:spacing w:before="240" w:after="0"/>
        <w:jc w:val="left"/>
        <w:rPr>
          <w:rFonts w:ascii="Times New Roman" w:hAnsi="Times New Roman"/>
          <w:sz w:val="20"/>
        </w:rPr>
      </w:pPr>
      <w:r>
        <w:rPr>
          <w:rFonts w:ascii="Times New Roman" w:hAnsi="Times New Roman"/>
          <w:sz w:val="20"/>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such Shares are issued or delivered or sold by the Company, and the Company will take no action inconsistent with such resolutions. In rendering the opinion above, we have assumed that each award under the Plan will be approved by the independent members of the Board of Directors of the Company (the “</w:t>
      </w:r>
      <w:r>
        <w:rPr>
          <w:rFonts w:ascii="Times New Roman" w:hAnsi="Times New Roman"/>
          <w:b/>
          <w:i/>
          <w:sz w:val="20"/>
        </w:rPr>
        <w:t>Board</w:t>
      </w:r>
      <w:r>
        <w:rPr>
          <w:rFonts w:ascii="Times New Roman" w:hAnsi="Times New Roman"/>
          <w:sz w:val="20"/>
        </w:rPr>
        <w:t xml:space="preserve">”) or the Compensation Committee of the Board. </w:t>
      </w:r>
    </w:p>
    <w:p>
      <w:pPr>
        <w:pStyle w:val="TextBody"/>
        <w:bidi w:val="0"/>
        <w:spacing w:before="240" w:after="0"/>
        <w:jc w:val="left"/>
        <w:rPr>
          <w:rFonts w:ascii="Times New Roman" w:hAnsi="Times New Roman"/>
          <w:sz w:val="20"/>
        </w:rPr>
      </w:pPr>
      <w:r>
        <w:rPr>
          <w:rFonts w:ascii="Times New Roman" w:hAnsi="Times New Roman"/>
          <w:sz w:val="20"/>
        </w:rPr>
        <w:t>We hereby consent to the filing of this opinion as Exhibit 5.1 to the Registration Statement on Form S-8 filed by the Company to effect registration of the Shares under the Securities Act of 1933 (the “</w:t>
      </w:r>
      <w:r>
        <w:rPr>
          <w:rFonts w:ascii="Times New Roman" w:hAnsi="Times New Roman"/>
          <w:b/>
          <w:i/>
          <w:sz w:val="20"/>
        </w:rPr>
        <w:t>Act</w:t>
      </w:r>
      <w:r>
        <w:rPr>
          <w:rFonts w:ascii="Times New Roman" w:hAnsi="Times New Roman"/>
          <w:sz w:val="20"/>
        </w:rPr>
        <w:t xml:space="preserve">”). In giving such consent, we do not thereby admit that we are included in the category of persons whose consent is required under Section 7 of the Act or the rules and regulations of the Securities and Exchange Commission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Jones Day</w:t>
            </w:r>
          </w:p>
        </w:tc>
      </w:tr>
    </w:tbl>
    <w:p>
      <w:pPr>
        <w:pStyle w:val="TextBody"/>
        <w:bidi w:val="0"/>
        <w:spacing w:before="0" w:after="0"/>
        <w:jc w:val="right"/>
        <w:rPr>
          <w:rFonts w:ascii="Times New Roman" w:hAnsi="Times New Roman"/>
          <w:b/>
          <w:sz w:val="20"/>
        </w:rPr>
      </w:pPr>
      <w:bookmarkStart w:id="7" w:name="d70942dex231.htm"/>
      <w:bookmarkStart w:id="8" w:name="ksd70942dex231"/>
      <w:bookmarkEnd w:id="7"/>
      <w:bookmarkEnd w:id="8"/>
      <w:r>
        <w:rPr>
          <w:rFonts w:ascii="Times New Roman" w:hAnsi="Times New Roman"/>
          <w:b/>
          <w:sz w:val="20"/>
        </w:rPr>
        <w:t xml:space="preserve">Exhibit 23.1 </w:t>
      </w:r>
      <w:r>
        <w:br w:type="page"/>
      </w:r>
    </w:p>
    <w:p>
      <w:pPr>
        <w:pStyle w:val="TextBody"/>
        <w:bidi w:val="0"/>
        <w:spacing w:before="0" w:after="0"/>
        <w:jc w:val="left"/>
        <w:rPr/>
      </w:pPr>
      <w:r>
        <w:rPr/>
        <w:drawing>
          <wp:inline distT="0" distB="0" distL="0" distR="0">
            <wp:extent cx="817880" cy="355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817880" cy="355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KPMG LLP </w:t>
      </w:r>
    </w:p>
    <w:p>
      <w:pPr>
        <w:pStyle w:val="TextBody"/>
        <w:bidi w:val="0"/>
        <w:spacing w:before="0" w:after="0"/>
        <w:jc w:val="left"/>
        <w:rPr>
          <w:rFonts w:ascii="Times New Roman" w:hAnsi="Times New Roman"/>
          <w:sz w:val="20"/>
        </w:rPr>
      </w:pPr>
      <w:r>
        <w:rPr>
          <w:rFonts w:ascii="Times New Roman" w:hAnsi="Times New Roman"/>
          <w:sz w:val="20"/>
        </w:rPr>
        <w:t xml:space="preserve">2755 Augustine Drive </w:t>
      </w:r>
    </w:p>
    <w:p>
      <w:pPr>
        <w:pStyle w:val="TextBody"/>
        <w:bidi w:val="0"/>
        <w:spacing w:before="0" w:after="0"/>
        <w:jc w:val="left"/>
        <w:rPr>
          <w:rFonts w:ascii="Times New Roman" w:hAnsi="Times New Roman"/>
          <w:sz w:val="20"/>
        </w:rPr>
      </w:pPr>
      <w:r>
        <w:rPr>
          <w:rFonts w:ascii="Times New Roman" w:hAnsi="Times New Roman"/>
          <w:sz w:val="20"/>
        </w:rPr>
        <w:t xml:space="preserve">Suite 701 </w:t>
      </w:r>
    </w:p>
    <w:p>
      <w:pPr>
        <w:pStyle w:val="TextBody"/>
        <w:bidi w:val="0"/>
        <w:spacing w:before="0" w:after="0"/>
        <w:jc w:val="left"/>
        <w:rPr>
          <w:rFonts w:ascii="Times New Roman" w:hAnsi="Times New Roman"/>
          <w:sz w:val="20"/>
        </w:rPr>
      </w:pPr>
      <w:r>
        <w:rPr>
          <w:rFonts w:ascii="Times New Roman" w:hAnsi="Times New Roman"/>
          <w:sz w:val="20"/>
        </w:rPr>
        <w:t xml:space="preserve">Santa Clara, CA 95054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February 19, 2026, with respect to the consolidated financial statements of Five9, Inc., and the effectiveness of internal control over financial reporting, incorporated herein by reference.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875030" cy="2705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875030" cy="2705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Santa Clara, California </w:t>
      </w:r>
    </w:p>
    <w:p>
      <w:pPr>
        <w:pStyle w:val="TextBody"/>
        <w:bidi w:val="0"/>
        <w:spacing w:before="0" w:after="0"/>
        <w:jc w:val="left"/>
        <w:rPr>
          <w:rFonts w:ascii="Times New Roman" w:hAnsi="Times New Roman"/>
          <w:sz w:val="20"/>
        </w:rPr>
      </w:pPr>
      <w:r>
        <w:rPr>
          <w:rFonts w:ascii="Times New Roman" w:hAnsi="Times New Roman"/>
          <w:sz w:val="20"/>
        </w:rPr>
        <w:t xml:space="preserve">June 5, 2026 </w:t>
      </w:r>
    </w:p>
    <w:p>
      <w:pPr>
        <w:pStyle w:val="TextBody"/>
        <w:bidi w:val="0"/>
        <w:spacing w:before="240" w:after="0"/>
        <w:jc w:val="left"/>
        <w:rPr>
          <w:rFonts w:ascii="Times New Roman" w:hAnsi="Times New Roman"/>
          <w:sz w:val="20"/>
        </w:rPr>
      </w:pPr>
      <w:r>
        <w:rPr>
          <w:rFonts w:ascii="Times New Roman" w:hAnsi="Times New Roman"/>
          <w:sz w:val="20"/>
        </w:rPr>
        <w:t xml:space="preserve">KPMG LLP, a Delaware limited liability partnership, and its subsidiaries are part of </w:t>
      </w:r>
    </w:p>
    <w:p>
      <w:pPr>
        <w:pStyle w:val="TextBody"/>
        <w:bidi w:val="0"/>
        <w:spacing w:before="0" w:after="0"/>
        <w:jc w:val="left"/>
        <w:rPr>
          <w:rFonts w:ascii="Times New Roman" w:hAnsi="Times New Roman"/>
          <w:sz w:val="20"/>
        </w:rPr>
      </w:pPr>
      <w:r>
        <w:rPr>
          <w:rFonts w:ascii="Times New Roman" w:hAnsi="Times New Roman"/>
          <w:sz w:val="20"/>
        </w:rPr>
        <w:t xml:space="preserve">the KPMG global organization of independent member firms affiliated with KPMG </w:t>
      </w:r>
    </w:p>
    <w:p>
      <w:pPr>
        <w:pStyle w:val="TextBody"/>
        <w:bidi w:val="0"/>
        <w:spacing w:before="0" w:after="0"/>
        <w:jc w:val="left"/>
        <w:rPr>
          <w:rFonts w:ascii="Times New Roman" w:hAnsi="Times New Roman"/>
          <w:sz w:val="20"/>
        </w:rPr>
      </w:pPr>
      <w:r>
        <w:rPr>
          <w:rFonts w:ascii="Times New Roman" w:hAnsi="Times New Roman"/>
          <w:sz w:val="20"/>
        </w:rPr>
        <w:t xml:space="preserve">International Limited, a private English company limited by guarantee. </w:t>
      </w:r>
    </w:p>
    <w:p>
      <w:pPr>
        <w:pStyle w:val="Normal"/>
        <w:bidi w:val="0"/>
        <w:spacing w:before="0" w:after="0"/>
        <w:jc w:val="left"/>
        <w:rPr>
          <w:sz w:val="4"/>
          <w:szCs w:val="4"/>
        </w:rPr>
      </w:pPr>
      <w:r>
        <w:rPr>
          <w:sz w:val="4"/>
          <w:szCs w:val="4"/>
        </w:rPr>
      </w:r>
      <w:bookmarkStart w:id="9" w:name="d70942dexfilingfees.htm"/>
      <w:bookmarkStart w:id="10" w:name="ksd70942dexfilingfees"/>
      <w:bookmarkStart w:id="11" w:name="d70942dexfilingfees.htm"/>
      <w:bookmarkStart w:id="12" w:name="ksd70942dexfilingfees"/>
      <w:bookmarkEnd w:id="11"/>
      <w:bookmarkEnd w:id="12"/>
      <w:r>
        <w:br w:type="page"/>
      </w:r>
    </w:p>
    <w:tbl>
      <w:tblPr>
        <w:tblW w:w="3499" w:type="dxa"/>
        <w:jc w:val="left"/>
        <w:tblInd w:w="0" w:type="dxa"/>
        <w:tblLayout w:type="fixed"/>
        <w:tblCellMar>
          <w:top w:w="28" w:type="dxa"/>
          <w:left w:w="28" w:type="dxa"/>
          <w:bottom w:w="28" w:type="dxa"/>
          <w:right w:w="28" w:type="dxa"/>
        </w:tblCellMar>
      </w:tblPr>
      <w:tblGrid>
        <w:gridCol w:w="3345"/>
        <w:gridCol w:w="154"/>
      </w:tblGrid>
      <w:tr>
        <w:trPr/>
        <w:tc>
          <w:tcPr>
            <w:tcW w:w="349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4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45" w:type="dxa"/>
            <w:tcBorders/>
            <w:vAlign w:val="center"/>
          </w:tcPr>
          <w:p>
            <w:pPr>
              <w:pStyle w:val="TableContents"/>
              <w:bidi w:val="0"/>
              <w:spacing w:before="0" w:after="283"/>
              <w:jc w:val="left"/>
              <w:rPr>
                <w:b/>
              </w:rPr>
            </w:pPr>
            <w:r>
              <w:rPr>
                <w:b/>
              </w:rPr>
              <w:t xml:space="preserve">Five9,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4"/>
        <w:gridCol w:w="1292"/>
        <w:gridCol w:w="1201"/>
        <w:gridCol w:w="1214"/>
        <w:gridCol w:w="1701"/>
        <w:gridCol w:w="1126"/>
        <w:gridCol w:w="1430"/>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4" w:type="dxa"/>
            <w:tcBorders/>
            <w:shd w:fill="E7E7E2" w:val="clear"/>
            <w:vAlign w:val="center"/>
          </w:tcPr>
          <w:p>
            <w:pPr>
              <w:pStyle w:val="TableContents"/>
              <w:bidi w:val="0"/>
              <w:spacing w:before="0" w:after="283"/>
              <w:jc w:val="left"/>
              <w:rPr/>
            </w:pPr>
            <w:r>
              <w:rPr/>
              <w:t xml:space="preserve">Common stock, par value $0.001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2,900,000 </w:t>
            </w:r>
          </w:p>
        </w:tc>
        <w:tc>
          <w:tcPr>
            <w:tcW w:w="1214" w:type="dxa"/>
            <w:tcBorders/>
            <w:shd w:fill="E7E7E2" w:val="clear"/>
            <w:vAlign w:val="center"/>
          </w:tcPr>
          <w:p>
            <w:pPr>
              <w:pStyle w:val="TableContents"/>
              <w:bidi w:val="0"/>
              <w:spacing w:before="0" w:after="283"/>
              <w:jc w:val="right"/>
              <w:rPr/>
            </w:pPr>
            <w:r>
              <w:rPr/>
              <w:t xml:space="preserve">$ 24.12 </w:t>
            </w:r>
          </w:p>
        </w:tc>
        <w:tc>
          <w:tcPr>
            <w:tcW w:w="1701" w:type="dxa"/>
            <w:tcBorders/>
            <w:shd w:fill="E7E7E2" w:val="clear"/>
            <w:vAlign w:val="center"/>
          </w:tcPr>
          <w:p>
            <w:pPr>
              <w:pStyle w:val="TableContents"/>
              <w:bidi w:val="0"/>
              <w:spacing w:before="0" w:after="283"/>
              <w:jc w:val="right"/>
              <w:rPr/>
            </w:pPr>
            <w:r>
              <w:rPr/>
              <w:t xml:space="preserve">$ 69,948,000.00 </w:t>
            </w:r>
          </w:p>
        </w:tc>
        <w:tc>
          <w:tcPr>
            <w:tcW w:w="1126"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$ 9,659.82 </w:t>
            </w:r>
          </w:p>
        </w:tc>
      </w:tr>
      <w:tr>
        <w:trPr/>
        <w:tc>
          <w:tcPr>
            <w:tcW w:w="4734"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3" w:name="MaxAggtOfferingPrice"/>
            <w:bookmarkEnd w:id="13"/>
            <w:r>
              <w:rPr/>
              <w:t xml:space="preserve">$ 69,948,000.00 </w:t>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$ 9,659.82 </w:t>
            </w:r>
          </w:p>
        </w:tc>
      </w:tr>
      <w:tr>
        <w:trPr/>
        <w:tc>
          <w:tcPr>
            <w:tcW w:w="4734"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34"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6" w:name="NetFeeAmt"/>
            <w:bookmarkEnd w:id="16"/>
            <w:r>
              <w:rPr/>
              <w:t xml:space="preserve">$ 9,659.82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of the Securities Act of 1933 (the "Securities Act"), this Registration Statement also covers such indeterminable number of additional shares of common stock, par value $0.001 per share (the "Common Stock"), that become issuable under the Five9, Inc. 2026 Inducement Equity Incentive Plan (the "Plan"), by reason of any stock dividend, stock split, recapitalization of any other similar transaction effected that results in an increase to the number of outstanding shares of Common Stock. (2) Estimated in accordance with Rule 457(c) and Rule 457 (h) under the Securities Act, solely for the purpose of calculating the registration fee, based on the average of the $24.83 (high) and $23.40 (low) sales prices of the Common Stock as reported on The NASDAQ Global Select Market on June 3, 2026, which date is within five business days prior to the date of filing of this Registration Statement.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288847/000128884726000023/fivn-20251231.htm" TargetMode="External"/><Relationship Id="rId3" Type="http://schemas.openxmlformats.org/officeDocument/2006/relationships/hyperlink" Target="http://www.sec.gov/Archives/edgar/data/../../../ix?doc=/Archives/edgar/data/0001288847/000128884726000079/fivn-20260331.htm" TargetMode="External"/><Relationship Id="rId4" Type="http://schemas.openxmlformats.org/officeDocument/2006/relationships/hyperlink" Target="http://www.sec.gov/Archives/edgar/data/../../../ix?doc=/Archives/edgar/data/0001288847/000128884726000006/fivn-20260120.htm" TargetMode="External"/><Relationship Id="rId5" Type="http://schemas.openxmlformats.org/officeDocument/2006/relationships/hyperlink" Target="http://www.sec.gov/Archives/edgar/data/../../../ix?doc=/Archives/edgar/data/0001288847/000128884726000021/fivn-20260219.htm" TargetMode="External"/><Relationship Id="rId6" Type="http://schemas.openxmlformats.org/officeDocument/2006/relationships/hyperlink" Target="http://www.sec.gov/Archives/edgar/data/../../../ix?doc=/Archives/edgar/data/0001288847/000128884726000025/fivn-20260217.htm" TargetMode="External"/><Relationship Id="rId7" Type="http://schemas.openxmlformats.org/officeDocument/2006/relationships/hyperlink" Target="http://www.sec.gov/Archives/edgar/data/../../../ix?doc=/Archives/edgar/data/0001288847/000128884726000081/fivn-20260504.htm" TargetMode="External"/><Relationship Id="rId8" Type="http://schemas.openxmlformats.org/officeDocument/2006/relationships/hyperlink" Target="http://www.sec.gov/Archives/edgar/data/../../../ix?doc=/Archives/edgar/data/0001288847/000128884726000085/fivn-20260520.htm" TargetMode="External"/><Relationship Id="rId9" Type="http://schemas.openxmlformats.org/officeDocument/2006/relationships/hyperlink" Target="http://www.sec.gov/Archives/edgar/data/../../../ix?doc=/Archives/edgar/data/0001288847/000128884726000101/fivn-20260526.htm" TargetMode="External"/><Relationship Id="rId10" Type="http://schemas.openxmlformats.org/officeDocument/2006/relationships/hyperlink" Target="http://www.sec.gov/Archives/edgar/data/1288847/000119312514121342/d699081d8a12b.htm" TargetMode="External"/><Relationship Id="rId11" Type="http://schemas.openxmlformats.org/officeDocument/2006/relationships/hyperlink" Target="http://www.sec.gov/Archives/edgar/data/1288847/000128884720000028/exhibit44descriptionof.htm" TargetMode="External"/><Relationship Id="rId12" Type="http://schemas.openxmlformats.org/officeDocument/2006/relationships/hyperlink" Target="http://www.sec.gov/Archives/edgar/data/../../../ix?doc=/Archives/edgar/data/0001288847/000128884720000028/fivn-20191231.htm" TargetMode="External"/><Relationship Id="rId13" Type="http://schemas.openxmlformats.org/officeDocument/2006/relationships/hyperlink" Target="http://www.sec.gov/Archives/edgar/data/1288847/000128884726000101/exhibit31-archarter.htm" TargetMode="External"/><Relationship Id="rId14" Type="http://schemas.openxmlformats.org/officeDocument/2006/relationships/hyperlink" Target="http://www.sec.gov/Archives/edgar/data/1288847/000128884726000101/exhibit32-arbylaws.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14864</Words>
  <Characters>76584</Characters>
  <CharactersWithSpaces>91538</CharactersWithSpaces>
  <Paragraphs>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