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FIVE9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#338307101</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#338307101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11,190,582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11,204,096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11,204,096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14.962%</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#338307101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11,204,096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11,204,096</w:t>
      </w:r>
    </w:p>
    <w:p>
      <w:pPr>
        <w:spacing w:after="0"/>
        <w:rPr>
          <w:sz w:val="20"/>
          <w:szCs w:val="20"/>
          <w:color w:val="auto"/>
        </w:rPr>
      </w:pPr>
      <w:r>
        <w:rPr>
          <w:rFonts w:ascii="Courier New" w:cs="Courier New" w:eastAsia="Courier New" w:hAnsi="Courier New"/>
          <w:sz w:val="18"/>
          <w:szCs w:val="18"/>
          <w:color w:val="auto"/>
        </w:rPr>
        <w:t>Item 11: 14.962%</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FIVE9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3001 BISHOP DRIVE, SUITE 350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 Ramon, CA 94583</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338307101</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11,204,096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11,204,096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FIVE9 INC.</w:t>
      </w:r>
    </w:p>
    <w:p>
      <w:pPr>
        <w:spacing w:after="0" w:line="2" w:lineRule="exact"/>
        <w:rPr>
          <w:sz w:val="20"/>
          <w:szCs w:val="20"/>
          <w:color w:val="auto"/>
        </w:rPr>
      </w:pPr>
    </w:p>
    <w:p>
      <w:pPr>
        <w:ind w:right="1919"/>
        <w:spacing w:after="0" w:line="273" w:lineRule="auto"/>
        <w:rPr>
          <w:sz w:val="20"/>
          <w:szCs w:val="20"/>
          <w:color w:val="auto"/>
        </w:rPr>
      </w:pPr>
      <w:r>
        <w:rPr>
          <w:rFonts w:ascii="Courier New" w:cs="Courier New" w:eastAsia="Courier New" w:hAnsi="Courier New"/>
          <w:sz w:val="18"/>
          <w:szCs w:val="18"/>
          <w:color w:val="auto"/>
        </w:rPr>
        <w:t>The interest of Select Software and IT Services Portfolio, in the COMMON STOCK of FIVE9 INC, amounted to 3,980,745 shares or 5.315% of the total outstanding COMMON STOCK at September 30, 2024.</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2"/>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November 8, 2024, agree and consent to the joint filing on their behalf of this Schedule 13G in connection with their beneficial ownership of the COMMON STOCK of FIVE9 INC at September 30,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2024-11-12T09:25:11Z</dcterms:created>
  <dcterms:modified xsi:type="dcterms:W3CDTF">2024-11-12T09:25:11Z</dcterms:modified>
</cp:coreProperties>
</file>