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7.jpeg" ContentType="image/jpeg"/>
  <Override PartName="/word/media/image20.jpeg" ContentType="image/jpeg"/>
  <Override PartName="/word/media/image15.jpeg" ContentType="image/jpeg"/>
  <Override PartName="/word/media/image19.jpeg" ContentType="image/jpeg"/>
  <Override PartName="/word/media/image1.gif" ContentType="image/gif"/>
  <Override PartName="/word/media/image18.jpeg" ContentType="image/jpeg"/>
  <Override PartName="/word/media/image17.jpeg" ContentType="image/jpeg"/>
  <Override PartName="/word/media/image16.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4"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 SECURITIES AND EXCHANGE COMMISSION</w:t>
      </w:r>
    </w:p>
    <w:p>
      <w:pPr>
        <w:pStyle w:val="TextBody"/>
        <w:bidi w:val="0"/>
        <w:spacing w:lineRule="auto" w:line="240"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center"/>
        <w:rPr>
          <w:rFonts w:ascii="Times New Roman;sans-serif" w:hAnsi="Times New Roman;sans-serif"/>
          <w:b/>
          <w:color w:val="000000"/>
          <w:sz w:val="28"/>
        </w:rPr>
      </w:pPr>
      <w:r>
        <w:rPr>
          <w:rFonts w:ascii="Times New Roman;sans-serif" w:hAnsi="Times New Roman;sans-serif"/>
          <w:b/>
          <w:color w:val="000000"/>
          <w:sz w:val="28"/>
        </w:rPr>
        <w:t>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12"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ANNUAL REPORT PURSUANT TO SECTION 13 OR 15(d) OF THE SECURITIES EXCHANGE ACT OF 1934</w:t>
            </w:r>
          </w:p>
        </w:tc>
      </w:tr>
    </w:tbl>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For the fiscal year ended December 31, 2023 </w:t>
      </w:r>
    </w:p>
    <w:p>
      <w:pPr>
        <w:pStyle w:val="TextBody"/>
        <w:bidi w:val="0"/>
        <w:spacing w:lineRule="auto" w:line="240" w:before="0" w:after="0"/>
        <w:jc w:val="center"/>
        <w:rPr/>
      </w:pPr>
      <w:r>
        <w:rPr>
          <w:rFonts w:ascii="Times New Roman;sans-serif" w:hAnsi="Times New Roman;sans-serif"/>
          <w:b/>
          <w:color w:val="000000"/>
          <w:sz w:val="20"/>
        </w:rPr>
        <w:t>OR</w:t>
      </w:r>
      <w:r>
        <w:rPr>
          <w:color w:val="000000"/>
        </w:rPr>
        <w:t>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TRANSITION REPORT PURSUANT TO SECTION 13 OR 15(d) OF THE SECURITIES EXCHANGE ACT OF 1934</w:t>
            </w:r>
          </w:p>
        </w:tc>
      </w:tr>
    </w:tbl>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40"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001-36383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 xml:space="preserve">Five9, Inc. </w:t>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377" w:type="dxa"/>
        <w:jc w:val="left"/>
        <w:tblInd w:w="0" w:type="dxa"/>
        <w:tblLayout w:type="fixed"/>
        <w:tblCellMar>
          <w:top w:w="28" w:type="dxa"/>
          <w:left w:w="28" w:type="dxa"/>
          <w:bottom w:w="28" w:type="dxa"/>
          <w:right w:w="28" w:type="dxa"/>
        </w:tblCellMar>
      </w:tblPr>
      <w:tblGrid>
        <w:gridCol w:w="1584"/>
        <w:gridCol w:w="1390"/>
        <w:gridCol w:w="1406"/>
        <w:gridCol w:w="109"/>
        <w:gridCol w:w="109"/>
        <w:gridCol w:w="109"/>
        <w:gridCol w:w="778"/>
        <w:gridCol w:w="778"/>
        <w:gridCol w:w="1114"/>
      </w:tblGrid>
      <w:tr>
        <w:trPr/>
        <w:tc>
          <w:tcPr>
            <w:tcW w:w="1584"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94-3394123</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(I.R.S. Employer Identification No.)</w:t>
            </w:r>
          </w:p>
        </w:tc>
      </w:tr>
    </w:tbl>
    <w:p>
      <w:pPr>
        <w:pStyle w:val="TextBody"/>
        <w:bidi w:val="0"/>
        <w:spacing w:before="60" w:after="283"/>
        <w:jc w:val="center"/>
        <w:rPr/>
      </w:pPr>
      <w:r>
        <w:rPr/>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3001 Bishop Drive, Suite 350</w:t>
      </w:r>
    </w:p>
    <w:p>
      <w:pPr>
        <w:pStyle w:val="TextBody"/>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San Ramon, CA 94583</w:t>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(Address of Principal Executive Offices) (Zip Code)</w:t>
      </w:r>
    </w:p>
    <w:p>
      <w:pPr>
        <w:pStyle w:val="TextBody"/>
        <w:bidi w:val="0"/>
        <w:spacing w:lineRule="auto" w:line="240" w:before="60" w:after="283"/>
        <w:jc w:val="center"/>
        <w:rPr>
          <w:rFonts w:ascii="Times New Roman;sans-serif" w:hAnsi="Times New Roman;sans-serif"/>
          <w:b/>
          <w:color w:val="000000"/>
          <w:sz w:val="16"/>
        </w:rPr>
      </w:pPr>
      <w:r>
        <w:rPr>
          <w:rFonts w:ascii="Times New Roman;sans-serif" w:hAnsi="Times New Roman;sans-serif"/>
          <w:b/>
          <w:color w:val="000000"/>
          <w:sz w:val="16"/>
        </w:rPr>
        <w:t>(925) 201-2000</w:t>
      </w:r>
    </w:p>
    <w:p>
      <w:pPr>
        <w:pStyle w:val="TextBody"/>
        <w:bidi w:val="0"/>
        <w:spacing w:lineRule="auto" w:line="240"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(Registrant’s Telephone Number, Including Area Code)</w:t>
      </w:r>
    </w:p>
    <w:tbl>
      <w:tblPr>
        <w:tblW w:w="7244" w:type="dxa"/>
        <w:jc w:val="center"/>
        <w:tblInd w:w="0" w:type="dxa"/>
        <w:tblLayout w:type="fixed"/>
        <w:tblCellMar>
          <w:top w:w="28" w:type="dxa"/>
          <w:left w:w="28" w:type="dxa"/>
          <w:bottom w:w="28" w:type="dxa"/>
          <w:right w:w="28" w:type="dxa"/>
        </w:tblCellMar>
      </w:tblPr>
      <w:tblGrid>
        <w:gridCol w:w="897"/>
        <w:gridCol w:w="789"/>
        <w:gridCol w:w="789"/>
        <w:gridCol w:w="485"/>
        <w:gridCol w:w="485"/>
        <w:gridCol w:w="485"/>
        <w:gridCol w:w="971"/>
        <w:gridCol w:w="971"/>
        <w:gridCol w:w="1372"/>
      </w:tblGrid>
      <w:tr>
        <w:trPr/>
        <w:tc>
          <w:tcPr>
            <w:tcW w:w="897"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r>
      <w:tr>
        <w:trPr/>
        <w:tc>
          <w:tcPr>
            <w:tcW w:w="7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Trading Symbol(s)</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u w:val="single"/>
              </w:rPr>
            </w:pPr>
            <w:r>
              <w:rPr>
                <w:rFonts w:ascii="Times New Roman;sans-serif" w:hAnsi="Times New Roman;sans-serif"/>
                <w:b/>
                <w:color w:val="000000"/>
                <w:sz w:val="16"/>
                <w:u w:val="single"/>
              </w:rPr>
              <w:t>Name of each exchange on which registered</w:t>
            </w:r>
          </w:p>
        </w:tc>
      </w:tr>
      <w:tr>
        <w:trPr/>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$0.001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FIVN</w:t>
            </w:r>
          </w:p>
        </w:tc>
        <w:tc>
          <w:tcPr>
            <w:tcW w:w="33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The NASDAQ Global Market</w:t>
            </w:r>
          </w:p>
        </w:tc>
      </w:tr>
      <w:tr>
        <w:trPr/>
        <w:tc>
          <w:tcPr>
            <w:tcW w:w="7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12(g) of the Act: None</w:t>
            </w:r>
          </w:p>
        </w:tc>
      </w:tr>
      <w:tr>
        <w:trPr/>
        <w:tc>
          <w:tcPr>
            <w:tcW w:w="7244" w:type="dxa"/>
            <w:gridSpan w:val="9"/>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2" w:before="120" w:after="283"/>
        <w:ind w:left="0" w:right="0" w:firstLine="495"/>
        <w:jc w:val="left"/>
        <w:rPr/>
      </w:pPr>
      <w:r>
        <w:rPr>
          <w:rFonts w:ascii="Times New Roman;sans-serif" w:hAnsi="Times New Roman;sans-serif"/>
          <w:b w:val="false"/>
          <w:color w:val="000000"/>
          <w:sz w:val="18"/>
        </w:rPr>
        <w:t xml:space="preserve">Indicate by check mark if the registrant is a well-known seasoned issuer, as defined in Rule 405 of the Securities Act.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52" w:before="60" w:after="283"/>
        <w:ind w:left="0" w:right="0" w:firstLine="495"/>
        <w:jc w:val="left"/>
        <w:rPr/>
      </w:pPr>
      <w:r>
        <w:rPr>
          <w:rFonts w:ascii="Times New Roman;sans-serif" w:hAnsi="Times New Roman;sans-serif"/>
          <w:b w:val="false"/>
          <w:color w:val="000000"/>
          <w:sz w:val="18"/>
        </w:rPr>
        <w:t xml:space="preserve">Indicate by check mark if the registrant is not required to file reports pursuant to Section 13 or Section 15(d) of the Act. Yes: </w:t>
      </w:r>
      <w:r>
        <w:rPr>
          <w:color w:val="000000"/>
        </w:rPr>
        <w:t>☐ </w:t>
      </w:r>
      <w:r>
        <w:rPr>
          <w:rFonts w:ascii="Times New Roman;sans-serif" w:hAnsi="Times New Roman;sans-serif"/>
          <w:b w:val="false"/>
          <w:color w:val="000000"/>
          <w:sz w:val="18"/>
        </w:rPr>
        <w:t xml:space="preserve">No: </w:t>
      </w:r>
      <w:r>
        <w:rPr>
          <w:color w:val="000000"/>
        </w:rPr>
        <w:t>☒</w:t>
      </w:r>
    </w:p>
    <w:p>
      <w:pPr>
        <w:pStyle w:val="TextBody"/>
        <w:bidi w:val="0"/>
        <w:spacing w:lineRule="auto" w:line="288" w:before="60" w:after="283"/>
        <w:ind w:left="0" w:right="0" w:firstLine="495"/>
        <w:jc w:val="left"/>
        <w:rPr/>
      </w:pPr>
      <w:r>
        <w:rPr>
          <w:rFonts w:ascii="Times New Roman;sans-serif" w:hAnsi="Times New Roman;sans-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52" w:before="60" w:after="283"/>
        <w:ind w:left="0" w:right="0" w:firstLine="495"/>
        <w:jc w:val="left"/>
        <w:rPr/>
      </w:pPr>
      <w:r>
        <w:rPr>
          <w:rFonts w:ascii="Times New Roman;sans-serif" w:hAnsi="Times New Roman;sans-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color w:val="000000"/>
        </w:rPr>
        <w:t>☒   </w:t>
      </w:r>
      <w:r>
        <w:rPr>
          <w:rFonts w:ascii="Times New Roman;sans-serif" w:hAnsi="Times New Roman;sans-serif"/>
          <w:b w:val="false"/>
          <w:color w:val="000000"/>
          <w:sz w:val="18"/>
        </w:rPr>
        <w:t>No: </w:t>
      </w:r>
      <w:r>
        <w:rPr>
          <w:color w:val="000000"/>
        </w:rPr>
        <w:t>☐</w:t>
      </w:r>
    </w:p>
    <w:p>
      <w:pPr>
        <w:pStyle w:val="TextBody"/>
        <w:bidi w:val="0"/>
        <w:spacing w:lineRule="auto" w:line="252" w:before="6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tbl>
      <w:tblPr>
        <w:tblW w:w="9483"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270"/>
        <w:gridCol w:w="270"/>
        <w:gridCol w:w="271"/>
        <w:gridCol w:w="1138"/>
        <w:gridCol w:w="1138"/>
        <w:gridCol w:w="1143"/>
        <w:gridCol w:w="109"/>
        <w:gridCol w:w="109"/>
        <w:gridCol w:w="109"/>
        <w:gridCol w:w="709"/>
        <w:gridCol w:w="709"/>
        <w:gridCol w:w="712"/>
        <w:gridCol w:w="109"/>
        <w:gridCol w:w="109"/>
        <w:gridCol w:w="109"/>
        <w:gridCol w:w="109"/>
        <w:gridCol w:w="109"/>
        <w:gridCol w:w="154"/>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60" w:after="283"/>
              <w:ind w:left="0" w:right="0" w:firstLine="495"/>
              <w:jc w:val="center"/>
              <w:rPr>
                <w:color w:val="000000"/>
              </w:rPr>
            </w:pPr>
            <w:r>
              <w:rPr>
                <w:color w:val="000000"/>
              </w:rPr>
              <w:t>☒</w:t>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(Do not check if a 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450"/>
        <w:jc w:val="left"/>
        <w:rPr/>
      </w:pPr>
      <w:r>
        <w:rPr>
          <w:rFonts w:ascii="Times New Roman;sans-serif" w:hAnsi="Times New Roman;sans-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6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Indicate by check mark whether the registrant has filed a report on and attestation to its management’s assessment of</w:t>
      </w:r>
    </w:p>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the effectiveness of its internal control over financial reporting under Section 404(b) of the Sarbanes-Oxley Act (15 U.S.C.</w:t>
      </w:r>
    </w:p>
    <w:p>
      <w:pPr>
        <w:pStyle w:val="TextBody"/>
        <w:bidi w:val="0"/>
        <w:spacing w:lineRule="auto" w:line="288" w:before="0" w:after="0"/>
        <w:jc w:val="left"/>
        <w:rPr/>
      </w:pPr>
      <w:r>
        <w:rPr>
          <w:rFonts w:ascii="Times New Roman;sans-serif" w:hAnsi="Times New Roman;sans-serif"/>
          <w:b w:val="false"/>
          <w:color w:val="000000"/>
          <w:sz w:val="18"/>
        </w:rPr>
        <w:t xml:space="preserve">7262(b)) by the registered public accounting firm that prepared or issued its audit report. </w:t>
      </w:r>
      <w:r>
        <w:rPr>
          <w:color w:val="000000"/>
        </w:rPr>
        <w:t xml:space="preserve">☒ </w:t>
      </w:r>
    </w:p>
    <w:p>
      <w:pPr>
        <w:pStyle w:val="TextBody"/>
        <w:bidi w:val="0"/>
        <w:spacing w:lineRule="auto" w:line="288" w:before="6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6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Indicate by check mark whether any of those error corrections are restatements that required a recovery analysis of incentive- based compensation received by any of the registrant’s executive officers during the relevant recovery period pursuant to §240.10D-1(b). ☐ </w:t>
      </w:r>
    </w:p>
    <w:p>
      <w:pPr>
        <w:pStyle w:val="TextBody"/>
        <w:bidi w:val="0"/>
        <w:spacing w:lineRule="auto" w:line="288" w:before="60" w:after="283"/>
        <w:ind w:left="0" w:right="0" w:firstLine="495"/>
        <w:jc w:val="left"/>
        <w:rPr/>
      </w:pPr>
      <w:r>
        <w:rPr>
          <w:rFonts w:ascii="Times New Roman;sans-serif" w:hAnsi="Times New Roman;sans-serif"/>
          <w:b w:val="false"/>
          <w:color w:val="000000"/>
          <w:sz w:val="18"/>
        </w:rPr>
        <w:t>Indicate by check mark whether the registrant is a shell company (as defined in Rule 12b-2 of the Exchange Act).  Yes: ☐   No: </w:t>
      </w:r>
      <w:r>
        <w:rPr>
          <w:color w:val="000000"/>
        </w:rPr>
        <w:t>☒</w:t>
      </w:r>
    </w:p>
    <w:p>
      <w:pPr>
        <w:pStyle w:val="TextBody"/>
        <w:bidi w:val="0"/>
        <w:spacing w:lineRule="auto" w:line="288" w:before="6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The aggregate market value of registrant’s common stock held by non-affiliates of the registrant based upon the closing sale price on the NASDAQ Global Market on June 30, 2023, the last business day of the Registrant’s most recently completed second fiscal quarter, was approximately $4,341.7 million. Shares held by each executive officer, director and their affiliated holders and by each other person (if any) who owns 10% of the outstanding common stock or more have been excluded in that such persons may be deemed to be affiliates. This determination of affiliate status is not necessarily a conclusive determination for other purposes. </w:t>
      </w:r>
    </w:p>
    <w:p>
      <w:pPr>
        <w:pStyle w:val="TextBody"/>
        <w:bidi w:val="0"/>
        <w:spacing w:lineRule="auto" w:line="288" w:before="60" w:after="283"/>
        <w:ind w:left="0" w:right="0" w:firstLine="495"/>
        <w:jc w:val="left"/>
        <w:rPr/>
      </w:pPr>
      <w:r>
        <w:rPr>
          <w:rFonts w:ascii="Times New Roman;sans-serif" w:hAnsi="Times New Roman;sans-serif"/>
          <w:b w:val="false"/>
          <w:color w:val="000000"/>
          <w:sz w:val="18"/>
        </w:rPr>
        <w:t>As of February 16, 2024, there were 73,326,608</w:t>
      </w:r>
      <w:r>
        <w:rPr>
          <w:color w:val="000000"/>
        </w:rPr>
        <w:t xml:space="preserve"> </w:t>
      </w:r>
      <w:r>
        <w:rPr>
          <w:rFonts w:ascii="Times New Roman;sans-serif" w:hAnsi="Times New Roman;sans-serif"/>
          <w:b w:val="false"/>
          <w:color w:val="000000"/>
          <w:sz w:val="18"/>
        </w:rPr>
        <w:t>shares of the Registrant’s common stock, par value $0.001 per share, outstanding.</w:t>
      </w:r>
    </w:p>
    <w:p>
      <w:pPr>
        <w:pStyle w:val="TextBody"/>
        <w:bidi w:val="0"/>
        <w:spacing w:lineRule="auto" w:line="288" w:before="120" w:after="283"/>
        <w:jc w:val="center"/>
        <w:rPr>
          <w:rFonts w:ascii="Times New Roman;sans-serif" w:hAnsi="Times New Roman;sans-serif"/>
          <w:b/>
          <w:color w:val="000000"/>
          <w:sz w:val="18"/>
        </w:rPr>
      </w:pPr>
      <w:r>
        <w:rPr>
          <w:rFonts w:ascii="Times New Roman;sans-serif" w:hAnsi="Times New Roman;sans-serif"/>
          <w:b/>
          <w:color w:val="000000"/>
          <w:sz w:val="18"/>
        </w:rPr>
        <w:t>DOCUMENTS INCORPORATED BY REFERENCE</w:t>
      </w:r>
    </w:p>
    <w:p>
      <w:pPr>
        <w:pStyle w:val="TextBody"/>
        <w:bidi w:val="0"/>
        <w:spacing w:lineRule="auto" w:line="288" w:before="60" w:after="283"/>
        <w:ind w:left="0" w:right="0" w:firstLine="495"/>
        <w:jc w:val="left"/>
        <w:rPr>
          <w:rFonts w:ascii="Times New Roman;sans-serif" w:hAnsi="Times New Roman;sans-serif"/>
          <w:b w:val="false"/>
          <w:color w:val="000000"/>
          <w:sz w:val="18"/>
        </w:rPr>
      </w:pPr>
      <w:r>
        <w:rPr>
          <w:rFonts w:ascii="Times New Roman;sans-serif" w:hAnsi="Times New Roman;sans-serif"/>
          <w:b w:val="false"/>
          <w:color w:val="000000"/>
          <w:sz w:val="18"/>
        </w:rPr>
        <w:t>Portions of the registrant’s definitive Proxy Statement for the 2024 Annual Stockholders’ Meeting, which the registrant expects to file with the Securities and Exchange Commission within 120 days of December 31, 2023, are incorporated by reference into Part III (Items 10, 11,12, 13 and 14) of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45" w:before="120" w:after="283"/>
        <w:jc w:val="center"/>
        <w:rPr>
          <w:rFonts w:ascii="Times New Roman;sans-serif" w:hAnsi="Times New Roman;sans-serif"/>
          <w:b/>
          <w:color w:val="000000"/>
          <w:sz w:val="20"/>
        </w:rPr>
      </w:pPr>
      <w:r>
        <w:rPr>
          <w:rFonts w:ascii="Times New Roman;sans-serif" w:hAnsi="Times New Roman;sans-serif"/>
          <w:b/>
          <w:color w:val="000000"/>
          <w:sz w:val="20"/>
        </w:rPr>
        <w:t>FORM 10-K</w:t>
      </w:r>
    </w:p>
    <w:p>
      <w:pPr>
        <w:pStyle w:val="TextBody"/>
        <w:bidi w:val="0"/>
        <w:spacing w:lineRule="auto" w:line="312" w:before="180" w:after="12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409"/>
        <w:gridCol w:w="2999"/>
        <w:gridCol w:w="3003"/>
        <w:gridCol w:w="109"/>
        <w:gridCol w:w="109"/>
        <w:gridCol w:w="109"/>
        <w:gridCol w:w="136"/>
        <w:gridCol w:w="136"/>
        <w:gridCol w:w="195"/>
      </w:tblGrid>
      <w:tr>
        <w:trPr/>
        <w:tc>
          <w:tcPr>
            <w:tcW w:w="3409" w:type="dxa"/>
            <w:tcBorders/>
            <w:vAlign w:val="center"/>
          </w:tcPr>
          <w:p>
            <w:pPr>
              <w:pStyle w:val="TableContents"/>
              <w:bidi w:val="0"/>
              <w:spacing w:before="0" w:after="283"/>
              <w:jc w:val="left"/>
              <w:rPr>
                <w:sz w:val="4"/>
                <w:szCs w:val="4"/>
              </w:rPr>
            </w:pPr>
            <w:r>
              <w:rPr>
                <w:sz w:val="4"/>
                <w:szCs w:val="4"/>
              </w:rPr>
            </w:r>
          </w:p>
        </w:tc>
        <w:tc>
          <w:tcPr>
            <w:tcW w:w="2999" w:type="dxa"/>
            <w:tcBorders/>
            <w:vAlign w:val="center"/>
          </w:tcPr>
          <w:p>
            <w:pPr>
              <w:pStyle w:val="TableContents"/>
              <w:bidi w:val="0"/>
              <w:spacing w:before="0" w:after="283"/>
              <w:jc w:val="left"/>
              <w:rPr>
                <w:sz w:val="4"/>
                <w:szCs w:val="4"/>
              </w:rPr>
            </w:pPr>
            <w:r>
              <w:rPr>
                <w:sz w:val="4"/>
                <w:szCs w:val="4"/>
              </w:rPr>
            </w:r>
          </w:p>
        </w:tc>
        <w:tc>
          <w:tcPr>
            <w:tcW w:w="30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10">
              <w:r>
                <w:rPr>
                  <w:rStyle w:val="InternetLink"/>
                  <w:rFonts w:ascii="Times New Roman;sans-serif" w:hAnsi="Times New Roman;sans-serif"/>
                  <w:b w:val="false"/>
                  <w:color w:val="0000FF"/>
                  <w:sz w:val="20"/>
                  <w:u w:val="single"/>
                </w:rPr>
                <w:t>SPECIAL NOTE REGARDING FORWARD-LOOKING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0">
              <w:r>
                <w:rPr>
                  <w:rStyle w:val="InternetLink"/>
                  <w:rFonts w:ascii="Times New Roman;sans-serif" w:hAnsi="Times New Roman;sans-serif"/>
                  <w:b w:val="false"/>
                  <w:color w:val="0000FF"/>
                  <w:sz w:val="20"/>
                  <w:u w:val="single"/>
                </w:rPr>
                <w:t>2</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312" w:before="120" w:after="283"/>
              <w:jc w:val="center"/>
              <w:rPr/>
            </w:pPr>
            <w:hyperlink w:anchor="i29c07625a5e743748e3fcbf777f29f13_13">
              <w:r>
                <w:rPr>
                  <w:rStyle w:val="InternetLink"/>
                  <w:rFonts w:ascii="Times New Roman;sans-serif" w:hAnsi="Times New Roman;sans-serif"/>
                  <w:b w:val="false"/>
                  <w:color w:val="0000FF"/>
                  <w:sz w:val="20"/>
                  <w:u w:val="single"/>
                </w:rPr>
                <w:t>PART I</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pPr>
            <w:hyperlink w:anchor="i29c07625a5e743748e3fcbf777f29f13_16">
              <w:r>
                <w:rPr>
                  <w:rStyle w:val="InternetLink"/>
                  <w:rFonts w:ascii="Times New Roman;sans-serif" w:hAnsi="Times New Roman;sans-serif"/>
                  <w:b w:val="false"/>
                  <w:color w:val="0000FF"/>
                  <w:sz w:val="20"/>
                  <w:u w:val="single"/>
                </w:rPr>
                <w:t>ITEM 1. Business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6">
              <w:r>
                <w:rPr>
                  <w:rStyle w:val="InternetLink"/>
                  <w:rFonts w:ascii="Times New Roman;sans-serif" w:hAnsi="Times New Roman;sans-serif"/>
                  <w:b w:val="false"/>
                  <w:color w:val="0000FF"/>
                  <w:sz w:val="20"/>
                  <w:u w:val="single"/>
                </w:rPr>
                <w:t>4</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pPr>
            <w:hyperlink w:anchor="i29c07625a5e743748e3fcbf777f29f13_64">
              <w:r>
                <w:rPr>
                  <w:rStyle w:val="InternetLink"/>
                  <w:rFonts w:ascii="Times New Roman;sans-serif" w:hAnsi="Times New Roman;sans-serif"/>
                  <w:b w:val="false"/>
                  <w:color w:val="0000FF"/>
                  <w:sz w:val="20"/>
                  <w:u w:val="single"/>
                </w:rPr>
                <w:t>ITEM 1A.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64">
              <w:r>
                <w:rPr>
                  <w:rStyle w:val="InternetLink"/>
                  <w:rFonts w:ascii="Times New Roman;sans-serif" w:hAnsi="Times New Roman;sans-serif"/>
                  <w:b w:val="false"/>
                  <w:color w:val="0000FF"/>
                  <w:sz w:val="20"/>
                  <w:u w:val="single"/>
                </w:rPr>
                <w:t>15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pPr>
            <w:hyperlink w:anchor="i29c07625a5e743748e3fcbf777f29f13_67">
              <w:r>
                <w:rPr>
                  <w:rStyle w:val="InternetLink"/>
                  <w:rFonts w:ascii="Times New Roman;sans-serif" w:hAnsi="Times New Roman;sans-serif"/>
                  <w:b w:val="false"/>
                  <w:color w:val="0000FF"/>
                  <w:sz w:val="20"/>
                  <w:u w:val="single"/>
                </w:rPr>
                <w:t>ITEM 1B. Unresolved Staff Comments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67">
              <w:r>
                <w:rPr>
                  <w:rStyle w:val="InternetLink"/>
                  <w:rFonts w:ascii="Times New Roman;sans-serif" w:hAnsi="Times New Roman;sans-serif"/>
                  <w:b w:val="false"/>
                  <w:color w:val="0000FF"/>
                  <w:sz w:val="20"/>
                  <w:u w:val="single"/>
                </w:rPr>
                <w:t>48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pPr>
            <w:hyperlink w:anchor="i29c07625a5e743748e3fcbf777f29f13_2155">
              <w:r>
                <w:rPr>
                  <w:rStyle w:val="InternetLink"/>
                  <w:rFonts w:ascii="Times New Roman;sans-serif" w:hAnsi="Times New Roman;sans-serif"/>
                  <w:b w:val="false"/>
                  <w:color w:val="000080"/>
                  <w:sz w:val="20"/>
                  <w:u w:val="single"/>
                </w:rPr>
                <w:t>ITEM 1</w:t>
              </w:r>
            </w:hyperlink>
            <w:hyperlink w:anchor="i29c07625a5e743748e3fcbf777f29f13_2155">
              <w:r>
                <w:rPr>
                  <w:rStyle w:val="InternetLink"/>
                  <w:rFonts w:ascii="Times New Roman;sans-serif" w:hAnsi="Times New Roman;sans-serif"/>
                  <w:b w:val="false"/>
                  <w:color w:val="000080"/>
                  <w:sz w:val="20"/>
                  <w:u w:val="single"/>
                </w:rPr>
                <w:t>C</w:t>
              </w:r>
            </w:hyperlink>
            <w:hyperlink w:anchor="i29c07625a5e743748e3fcbf777f29f13_2155">
              <w:r>
                <w:rPr>
                  <w:rStyle w:val="InternetLink"/>
                  <w:rFonts w:ascii="Times New Roman;sans-serif" w:hAnsi="Times New Roman;sans-serif"/>
                  <w:b w:val="false"/>
                  <w:color w:val="000080"/>
                  <w:sz w:val="20"/>
                  <w:u w:val="single"/>
                </w:rPr>
                <w:t xml:space="preserve">. </w:t>
              </w:r>
            </w:hyperlink>
            <w:r>
              <w:rPr>
                <w:rFonts w:ascii="Times New Roman;sans-serif" w:hAnsi="Times New Roman;sans-serif"/>
                <w:b w:val="false"/>
                <w:color w:val="0000FF"/>
                <w:sz w:val="20"/>
                <w:u w:val="single"/>
              </w:rPr>
              <w:t>Cybersecurity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155">
              <w:r>
                <w:rPr>
                  <w:rStyle w:val="InternetLink"/>
                  <w:rFonts w:ascii="Times New Roman;sans-serif" w:hAnsi="Times New Roman;sans-serif"/>
                  <w:b w:val="false"/>
                  <w:color w:val="0000FF"/>
                  <w:sz w:val="20"/>
                  <w:u w:val="single"/>
                </w:rPr>
                <w:t>48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pPr>
            <w:hyperlink w:anchor="i29c07625a5e743748e3fcbf777f29f13_70">
              <w:r>
                <w:rPr>
                  <w:rStyle w:val="InternetLink"/>
                  <w:rFonts w:ascii="Times New Roman;sans-serif" w:hAnsi="Times New Roman;sans-serif"/>
                  <w:b w:val="false"/>
                  <w:color w:val="0000FF"/>
                  <w:sz w:val="20"/>
                  <w:u w:val="single"/>
                </w:rPr>
                <w:t>ITEM 2. Properties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70">
              <w:r>
                <w:rPr>
                  <w:rStyle w:val="InternetLink"/>
                  <w:rFonts w:ascii="Times New Roman;sans-serif" w:hAnsi="Times New Roman;sans-serif"/>
                  <w:b w:val="false"/>
                  <w:color w:val="0000FF"/>
                  <w:sz w:val="20"/>
                  <w:u w:val="single"/>
                </w:rPr>
                <w:t>50</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pPr>
            <w:hyperlink w:anchor="i29c07625a5e743748e3fcbf777f29f13_73">
              <w:r>
                <w:rPr>
                  <w:rStyle w:val="InternetLink"/>
                  <w:rFonts w:ascii="Times New Roman;sans-serif" w:hAnsi="Times New Roman;sans-serif"/>
                  <w:b w:val="false"/>
                  <w:color w:val="0000FF"/>
                  <w:sz w:val="20"/>
                  <w:u w:val="single"/>
                </w:rPr>
                <w:t>ITEM 3.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73">
              <w:r>
                <w:rPr>
                  <w:rStyle w:val="InternetLink"/>
                  <w:rFonts w:ascii="Times New Roman;sans-serif" w:hAnsi="Times New Roman;sans-serif"/>
                  <w:b w:val="false"/>
                  <w:color w:val="0000FF"/>
                  <w:sz w:val="20"/>
                  <w:u w:val="single"/>
                </w:rPr>
                <w:t>50</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pPr>
            <w:hyperlink w:anchor="i29c07625a5e743748e3fcbf777f29f13_76">
              <w:r>
                <w:rPr>
                  <w:rStyle w:val="InternetLink"/>
                  <w:rFonts w:ascii="Times New Roman;sans-serif" w:hAnsi="Times New Roman;sans-serif"/>
                  <w:b w:val="false"/>
                  <w:color w:val="0000FF"/>
                  <w:sz w:val="20"/>
                  <w:u w:val="single"/>
                </w:rPr>
                <w:t>ITEM 4. Mine Safety Disclosures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76">
              <w:r>
                <w:rPr>
                  <w:rStyle w:val="InternetLink"/>
                  <w:rFonts w:ascii="Times New Roman;sans-serif" w:hAnsi="Times New Roman;sans-serif"/>
                  <w:b w:val="false"/>
                  <w:color w:val="0000FF"/>
                  <w:sz w:val="20"/>
                  <w:u w:val="single"/>
                </w:rPr>
                <w:t>50</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29c07625a5e743748e3fcbf777f29f13_79">
              <w:r>
                <w:rPr>
                  <w:rStyle w:val="InternetLink"/>
                  <w:rFonts w:ascii="Times New Roman;sans-serif" w:hAnsi="Times New Roman;sans-serif"/>
                  <w:b w:val="false"/>
                  <w:color w:val="0000FF"/>
                  <w:sz w:val="20"/>
                  <w:u w:val="single"/>
                </w:rPr>
                <w:t>PART II</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64" w:before="0" w:after="0"/>
              <w:ind w:left="0" w:right="0" w:hanging="810"/>
              <w:jc w:val="left"/>
              <w:rPr/>
            </w:pPr>
            <w:hyperlink w:anchor="i29c07625a5e743748e3fcbf777f29f13_82">
              <w:r>
                <w:rPr>
                  <w:rStyle w:val="InternetLink"/>
                  <w:rFonts w:ascii="Times New Roman;sans-serif" w:hAnsi="Times New Roman;sans-serif"/>
                  <w:b w:val="false"/>
                  <w:color w:val="0000FF"/>
                  <w:sz w:val="20"/>
                  <w:u w:val="single"/>
                </w:rPr>
                <w:t>ITEM 5. Market for Registrant’s Common Equity, Related Stockholder Matters and Issuer Purchases of Equity Securities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82">
              <w:r>
                <w:rPr>
                  <w:rStyle w:val="InternetLink"/>
                  <w:rFonts w:ascii="Times New Roman;sans-serif" w:hAnsi="Times New Roman;sans-serif"/>
                  <w:b w:val="false"/>
                  <w:color w:val="0000FF"/>
                  <w:sz w:val="20"/>
                  <w:u w:val="single"/>
                </w:rPr>
                <w:t>51</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ind w:left="0" w:right="0" w:hanging="810"/>
              <w:jc w:val="left"/>
              <w:rPr/>
            </w:pPr>
            <w:hyperlink w:anchor="i29c07625a5e743748e3fcbf777f29f13_85">
              <w:r>
                <w:rPr>
                  <w:rStyle w:val="InternetLink"/>
                  <w:rFonts w:ascii="Times New Roman;sans-serif" w:hAnsi="Times New Roman;sans-serif"/>
                  <w:b w:val="false"/>
                  <w:color w:val="0000FF"/>
                  <w:sz w:val="20"/>
                  <w:u w:val="single"/>
                </w:rPr>
                <w:t>ITEM 6. Selected Financial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85">
              <w:r>
                <w:rPr>
                  <w:rStyle w:val="InternetLink"/>
                  <w:rFonts w:ascii="Times New Roman;sans-serif" w:hAnsi="Times New Roman;sans-serif"/>
                  <w:b w:val="false"/>
                  <w:color w:val="0000FF"/>
                  <w:sz w:val="20"/>
                  <w:u w:val="single"/>
                </w:rPr>
                <w:t>52</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88">
              <w:r>
                <w:rPr>
                  <w:rStyle w:val="InternetLink"/>
                  <w:rFonts w:ascii="Times New Roman;sans-serif" w:hAnsi="Times New Roman;sans-serif"/>
                  <w:b w:val="false"/>
                  <w:color w:val="0000FF"/>
                  <w:sz w:val="20"/>
                  <w:u w:val="single"/>
                </w:rPr>
                <w:t>ITEM 7.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88">
              <w:r>
                <w:rPr>
                  <w:rStyle w:val="InternetLink"/>
                  <w:rFonts w:ascii="Times New Roman;sans-serif" w:hAnsi="Times New Roman;sans-serif"/>
                  <w:b w:val="false"/>
                  <w:color w:val="0000FF"/>
                  <w:sz w:val="20"/>
                  <w:u w:val="single"/>
                </w:rPr>
                <w:t>52</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91">
              <w:r>
                <w:rPr>
                  <w:rStyle w:val="InternetLink"/>
                  <w:rFonts w:ascii="Times New Roman;sans-serif" w:hAnsi="Times New Roman;sans-serif"/>
                  <w:b w:val="false"/>
                  <w:color w:val="0000FF"/>
                  <w:sz w:val="20"/>
                  <w:u w:val="single"/>
                </w:rPr>
                <w:t>Overview</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91">
              <w:r>
                <w:rPr>
                  <w:rStyle w:val="InternetLink"/>
                  <w:rFonts w:ascii="Times New Roman;sans-serif" w:hAnsi="Times New Roman;sans-serif"/>
                  <w:b w:val="false"/>
                  <w:color w:val="0000FF"/>
                  <w:sz w:val="20"/>
                  <w:u w:val="single"/>
                </w:rPr>
                <w:t>53</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94">
              <w:r>
                <w:rPr>
                  <w:rStyle w:val="InternetLink"/>
                  <w:rFonts w:ascii="Times New Roman;sans-serif" w:hAnsi="Times New Roman;sans-serif"/>
                  <w:b w:val="false"/>
                  <w:color w:val="0000FF"/>
                  <w:sz w:val="20"/>
                  <w:u w:val="single"/>
                </w:rPr>
                <w:t>Key Operating and Financial Performance Metrics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94">
              <w:r>
                <w:rPr>
                  <w:rStyle w:val="InternetLink"/>
                  <w:rFonts w:ascii="Times New Roman;sans-serif" w:hAnsi="Times New Roman;sans-serif"/>
                  <w:b w:val="false"/>
                  <w:color w:val="0000FF"/>
                  <w:sz w:val="20"/>
                  <w:u w:val="single"/>
                </w:rPr>
                <w:t>54</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97">
              <w:r>
                <w:rPr>
                  <w:rStyle w:val="InternetLink"/>
                  <w:rFonts w:ascii="Times New Roman;sans-serif" w:hAnsi="Times New Roman;sans-serif"/>
                  <w:b w:val="false"/>
                  <w:color w:val="0000FF"/>
                  <w:sz w:val="20"/>
                  <w:u w:val="single"/>
                </w:rPr>
                <w:t>Key Components of Our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97">
              <w:r>
                <w:rPr>
                  <w:rStyle w:val="InternetLink"/>
                  <w:rFonts w:ascii="Times New Roman;sans-serif" w:hAnsi="Times New Roman;sans-serif"/>
                  <w:b w:val="false"/>
                  <w:color w:val="0000FF"/>
                  <w:sz w:val="20"/>
                  <w:u w:val="single"/>
                </w:rPr>
                <w:t>56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100">
              <w:r>
                <w:rPr>
                  <w:rStyle w:val="InternetLink"/>
                  <w:rFonts w:ascii="Times New Roman;sans-serif" w:hAnsi="Times New Roman;sans-serif"/>
                  <w:b w:val="false"/>
                  <w:color w:val="000080"/>
                  <w:sz w:val="20"/>
                  <w:u w:val="single"/>
                </w:rPr>
                <w:t>Results of Operations For the Years Ended December 31, 202</w:t>
              </w:r>
            </w:hyperlink>
            <w:hyperlink w:anchor="i29c07625a5e743748e3fcbf777f29f13_100">
              <w:r>
                <w:rPr>
                  <w:rStyle w:val="InternetLink"/>
                  <w:rFonts w:ascii="Times New Roman;sans-serif" w:hAnsi="Times New Roman;sans-serif"/>
                  <w:b w:val="false"/>
                  <w:color w:val="000080"/>
                  <w:sz w:val="20"/>
                  <w:u w:val="single"/>
                </w:rPr>
                <w:t>3</w:t>
              </w:r>
            </w:hyperlink>
            <w:hyperlink w:anchor="i29c07625a5e743748e3fcbf777f29f13_100">
              <w:r>
                <w:rPr>
                  <w:rStyle w:val="InternetLink"/>
                  <w:rFonts w:ascii="Times New Roman;sans-serif" w:hAnsi="Times New Roman;sans-serif"/>
                  <w:b w:val="false"/>
                  <w:color w:val="000080"/>
                  <w:sz w:val="20"/>
                  <w:u w:val="single"/>
                </w:rPr>
                <w:t xml:space="preserve"> and 202</w:t>
              </w:r>
            </w:hyperlink>
            <w:hyperlink w:anchor="i29c07625a5e743748e3fcbf777f29f13_100">
              <w:r>
                <w:rPr>
                  <w:rStyle w:val="InternetLink"/>
                  <w:rFonts w:ascii="Times New Roman;sans-serif" w:hAnsi="Times New Roman;sans-serif"/>
                  <w:b w:val="false"/>
                  <w:color w:val="000080"/>
                  <w:sz w:val="20"/>
                  <w:u w:val="single"/>
                </w:rPr>
                <w:t>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00">
              <w:r>
                <w:rPr>
                  <w:rStyle w:val="InternetLink"/>
                  <w:rFonts w:ascii="Times New Roman;sans-serif" w:hAnsi="Times New Roman;sans-serif"/>
                  <w:b w:val="false"/>
                  <w:color w:val="0000FF"/>
                  <w:sz w:val="20"/>
                  <w:u w:val="single"/>
                </w:rPr>
                <w:t>58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103">
              <w:r>
                <w:rPr>
                  <w:rStyle w:val="InternetLink"/>
                  <w:rFonts w:ascii="Times New Roman;sans-serif" w:hAnsi="Times New Roman;sans-serif"/>
                  <w:b w:val="false"/>
                  <w:color w:val="0000FF"/>
                  <w:sz w:val="20"/>
                  <w:u w:val="single"/>
                </w:rPr>
                <w:t>Liquidity and Capital Resources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03">
              <w:r>
                <w:rPr>
                  <w:rStyle w:val="InternetLink"/>
                  <w:rFonts w:ascii="Times New Roman;sans-serif" w:hAnsi="Times New Roman;sans-serif"/>
                  <w:b w:val="false"/>
                  <w:color w:val="0000FF"/>
                  <w:sz w:val="20"/>
                  <w:u w:val="single"/>
                </w:rPr>
                <w:t>60</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106">
              <w:r>
                <w:rPr>
                  <w:rStyle w:val="InternetLink"/>
                  <w:rFonts w:ascii="Times New Roman;sans-serif" w:hAnsi="Times New Roman;sans-serif"/>
                  <w:b w:val="false"/>
                  <w:color w:val="000080"/>
                  <w:sz w:val="20"/>
                  <w:u w:val="single"/>
                </w:rPr>
                <w:t xml:space="preserve">Contractual </w:t>
              </w:r>
            </w:hyperlink>
            <w:hyperlink w:anchor="i29c07625a5e743748e3fcbf777f29f13_106">
              <w:r>
                <w:rPr>
                  <w:rStyle w:val="InternetLink"/>
                  <w:rFonts w:ascii="Times New Roman;sans-serif" w:hAnsi="Times New Roman;sans-serif"/>
                  <w:b w:val="false"/>
                  <w:color w:val="000080"/>
                  <w:sz w:val="20"/>
                  <w:u w:val="single"/>
                </w:rPr>
                <w:t xml:space="preserve">and Other </w:t>
              </w:r>
            </w:hyperlink>
            <w:hyperlink w:anchor="i29c07625a5e743748e3fcbf777f29f13_106">
              <w:r>
                <w:rPr>
                  <w:rStyle w:val="InternetLink"/>
                  <w:rFonts w:ascii="Times New Roman;sans-serif" w:hAnsi="Times New Roman;sans-serif"/>
                  <w:b w:val="false"/>
                  <w:color w:val="000080"/>
                  <w:sz w:val="20"/>
                  <w:u w:val="single"/>
                </w:rPr>
                <w:t>Obligations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06">
              <w:r>
                <w:rPr>
                  <w:rStyle w:val="InternetLink"/>
                  <w:rFonts w:ascii="Times New Roman;sans-serif" w:hAnsi="Times New Roman;sans-serif"/>
                  <w:b w:val="false"/>
                  <w:color w:val="0000FF"/>
                  <w:sz w:val="20"/>
                  <w:u w:val="single"/>
                </w:rPr>
                <w:t>62</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109">
              <w:r>
                <w:rPr>
                  <w:rStyle w:val="InternetLink"/>
                  <w:rFonts w:ascii="Times New Roman;sans-serif" w:hAnsi="Times New Roman;sans-serif"/>
                  <w:b w:val="false"/>
                  <w:color w:val="0000FF"/>
                  <w:sz w:val="20"/>
                  <w:u w:val="single"/>
                </w:rPr>
                <w:t>Critical Accounting Policies and Estimates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09">
              <w:r>
                <w:rPr>
                  <w:rStyle w:val="InternetLink"/>
                  <w:rFonts w:ascii="Times New Roman;sans-serif" w:hAnsi="Times New Roman;sans-serif"/>
                  <w:b w:val="false"/>
                  <w:color w:val="0000FF"/>
                  <w:sz w:val="20"/>
                  <w:u w:val="single"/>
                </w:rPr>
                <w:t>63</w:t>
              </w:r>
            </w:hyperlink>
          </w:p>
        </w:tc>
      </w:tr>
      <w:tr>
        <w:trPr/>
        <w:tc>
          <w:tcPr>
            <w:tcW w:w="94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67" w:type="dxa"/>
            <w:gridSpan w:val="3"/>
            <w:tcBorders/>
            <w:vAlign w:val="center"/>
          </w:tcPr>
          <w:p>
            <w:pPr>
              <w:pStyle w:val="TableContents"/>
              <w:bidi w:val="0"/>
              <w:spacing w:before="0" w:after="283"/>
              <w:jc w:val="left"/>
              <w:rPr>
                <w:sz w:val="4"/>
                <w:szCs w:val="4"/>
              </w:rPr>
            </w:pPr>
            <w:r>
              <w:rPr>
                <w:sz w:val="4"/>
                <w:szCs w:val="4"/>
              </w:rPr>
            </w:r>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112">
              <w:r>
                <w:rPr>
                  <w:rStyle w:val="InternetLink"/>
                  <w:rFonts w:ascii="Times New Roman;sans-serif" w:hAnsi="Times New Roman;sans-serif"/>
                  <w:b w:val="false"/>
                  <w:color w:val="000080"/>
                  <w:sz w:val="20"/>
                  <w:u w:val="single"/>
                </w:rPr>
                <w:t>ITEM 7A. Quantitative and Qualitative Disclosure</w:t>
              </w:r>
            </w:hyperlink>
            <w:hyperlink w:anchor="i29c07625a5e743748e3fcbf777f29f13_112">
              <w:r>
                <w:rPr>
                  <w:rStyle w:val="InternetLink"/>
                  <w:rFonts w:ascii="Times New Roman;sans-serif" w:hAnsi="Times New Roman;sans-serif"/>
                  <w:b w:val="false"/>
                  <w:color w:val="000080"/>
                  <w:sz w:val="20"/>
                  <w:u w:val="single"/>
                </w:rPr>
                <w:t>s</w:t>
              </w:r>
            </w:hyperlink>
            <w:hyperlink w:anchor="i29c07625a5e743748e3fcbf777f29f13_112">
              <w:r>
                <w:rPr>
                  <w:rStyle w:val="InternetLink"/>
                  <w:rFonts w:ascii="Times New Roman;sans-serif" w:hAnsi="Times New Roman;sans-serif"/>
                  <w:b w:val="false"/>
                  <w:color w:val="000080"/>
                  <w:sz w:val="20"/>
                  <w:u w:val="single"/>
                </w:rPr>
                <w:t xml:space="preserve"> About Market Risk </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12">
              <w:r>
                <w:rPr>
                  <w:rStyle w:val="InternetLink"/>
                  <w:rFonts w:ascii="Times New Roman;sans-serif" w:hAnsi="Times New Roman;sans-serif"/>
                  <w:b w:val="false"/>
                  <w:color w:val="0000FF"/>
                  <w:sz w:val="20"/>
                  <w:u w:val="single"/>
                </w:rPr>
                <w:t>64</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115">
              <w:r>
                <w:rPr>
                  <w:rStyle w:val="InternetLink"/>
                  <w:rFonts w:ascii="Times New Roman;sans-serif" w:hAnsi="Times New Roman;sans-serif"/>
                  <w:b w:val="false"/>
                  <w:color w:val="0000FF"/>
                  <w:sz w:val="20"/>
                  <w:u w:val="single"/>
                </w:rPr>
                <w:t>ITEM 8. Financial Statements and Supplementary Data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15">
              <w:r>
                <w:rPr>
                  <w:rStyle w:val="InternetLink"/>
                  <w:rFonts w:ascii="Times New Roman;sans-serif" w:hAnsi="Times New Roman;sans-serif"/>
                  <w:b w:val="false"/>
                  <w:color w:val="0000FF"/>
                  <w:sz w:val="20"/>
                  <w:u w:val="single"/>
                </w:rPr>
                <w:t>66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64" w:before="0" w:after="0"/>
              <w:jc w:val="left"/>
              <w:rPr/>
            </w:pPr>
            <w:hyperlink w:anchor="i29c07625a5e743748e3fcbf777f29f13_199">
              <w:r>
                <w:rPr>
                  <w:rStyle w:val="InternetLink"/>
                  <w:rFonts w:ascii="Times New Roman;sans-serif" w:hAnsi="Times New Roman;sans-serif"/>
                  <w:b w:val="false"/>
                  <w:color w:val="0000FF"/>
                  <w:sz w:val="20"/>
                  <w:u w:val="single"/>
                </w:rPr>
                <w:t>ITEM 9. Changes in and Disagreements with Accountants on Accounting and Financial Disclosure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99">
              <w:r>
                <w:rPr>
                  <w:rStyle w:val="InternetLink"/>
                  <w:rFonts w:ascii="Times New Roman;sans-serif" w:hAnsi="Times New Roman;sans-serif"/>
                  <w:b w:val="false"/>
                  <w:color w:val="0000FF"/>
                  <w:sz w:val="20"/>
                  <w:u w:val="single"/>
                </w:rPr>
                <w:t>105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02">
              <w:r>
                <w:rPr>
                  <w:rStyle w:val="InternetLink"/>
                  <w:rFonts w:ascii="Times New Roman;sans-serif" w:hAnsi="Times New Roman;sans-serif"/>
                  <w:b w:val="false"/>
                  <w:color w:val="0000FF"/>
                  <w:sz w:val="20"/>
                  <w:u w:val="single"/>
                </w:rPr>
                <w:t>ITEM 9A.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02">
              <w:r>
                <w:rPr>
                  <w:rStyle w:val="InternetLink"/>
                  <w:rFonts w:ascii="Times New Roman;sans-serif" w:hAnsi="Times New Roman;sans-serif"/>
                  <w:b w:val="false"/>
                  <w:color w:val="0000FF"/>
                  <w:sz w:val="20"/>
                  <w:u w:val="single"/>
                </w:rPr>
                <w:t>105</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05">
              <w:r>
                <w:rPr>
                  <w:rStyle w:val="InternetLink"/>
                  <w:rFonts w:ascii="Times New Roman;sans-serif" w:hAnsi="Times New Roman;sans-serif"/>
                  <w:b w:val="false"/>
                  <w:color w:val="0000FF"/>
                  <w:sz w:val="20"/>
                  <w:u w:val="single"/>
                </w:rPr>
                <w:t>ITEM 9B.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05">
              <w:r>
                <w:rPr>
                  <w:rStyle w:val="InternetLink"/>
                  <w:rFonts w:ascii="Times New Roman;sans-serif" w:hAnsi="Times New Roman;sans-serif"/>
                  <w:b w:val="false"/>
                  <w:color w:val="0000FF"/>
                  <w:sz w:val="20"/>
                  <w:u w:val="single"/>
                </w:rPr>
                <w:t>106</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08">
              <w:r>
                <w:rPr>
                  <w:rStyle w:val="InternetLink"/>
                  <w:rFonts w:ascii="Times New Roman;sans-serif" w:hAnsi="Times New Roman;sans-serif"/>
                  <w:b w:val="false"/>
                  <w:color w:val="0000FF"/>
                  <w:sz w:val="20"/>
                  <w:u w:val="single"/>
                </w:rPr>
                <w:t>ITEM 9C. Disclosures Regarding Foreign Jurisdictions that Prevent Inspections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08">
              <w:r>
                <w:rPr>
                  <w:rStyle w:val="InternetLink"/>
                  <w:rFonts w:ascii="Times New Roman;sans-serif" w:hAnsi="Times New Roman;sans-serif"/>
                  <w:b w:val="false"/>
                  <w:color w:val="0000FF"/>
                  <w:sz w:val="20"/>
                  <w:u w:val="single"/>
                </w:rPr>
                <w:t>106</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29c07625a5e743748e3fcbf777f29f13_211">
              <w:r>
                <w:rPr>
                  <w:rStyle w:val="InternetLink"/>
                  <w:rFonts w:ascii="Times New Roman;sans-serif" w:hAnsi="Times New Roman;sans-serif"/>
                  <w:b w:val="false"/>
                  <w:color w:val="0000FF"/>
                  <w:sz w:val="20"/>
                  <w:u w:val="single"/>
                </w:rPr>
                <w:t>PART III</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14">
              <w:r>
                <w:rPr>
                  <w:rStyle w:val="InternetLink"/>
                  <w:rFonts w:ascii="Times New Roman;sans-serif" w:hAnsi="Times New Roman;sans-serif"/>
                  <w:b w:val="false"/>
                  <w:color w:val="0000FF"/>
                  <w:sz w:val="20"/>
                  <w:u w:val="single"/>
                </w:rPr>
                <w:t>ITEM 10. Directors, Executive Officers and Corporate Governance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14">
              <w:r>
                <w:rPr>
                  <w:rStyle w:val="InternetLink"/>
                  <w:rFonts w:ascii="Times New Roman;sans-serif" w:hAnsi="Times New Roman;sans-serif"/>
                  <w:b w:val="false"/>
                  <w:color w:val="0000FF"/>
                  <w:sz w:val="20"/>
                  <w:u w:val="single"/>
                </w:rPr>
                <w:t>107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17">
              <w:r>
                <w:rPr>
                  <w:rStyle w:val="InternetLink"/>
                  <w:rFonts w:ascii="Times New Roman;sans-serif" w:hAnsi="Times New Roman;sans-serif"/>
                  <w:b w:val="false"/>
                  <w:color w:val="0000FF"/>
                  <w:sz w:val="20"/>
                  <w:u w:val="single"/>
                </w:rPr>
                <w:t>ITEM 11. Executive Compensation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17">
              <w:r>
                <w:rPr>
                  <w:rStyle w:val="InternetLink"/>
                  <w:rFonts w:ascii="Times New Roman;sans-serif" w:hAnsi="Times New Roman;sans-serif"/>
                  <w:b w:val="false"/>
                  <w:color w:val="0000FF"/>
                  <w:sz w:val="20"/>
                  <w:u w:val="single"/>
                </w:rPr>
                <w:t>107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64" w:before="0" w:after="0"/>
              <w:ind w:left="0" w:right="0" w:hanging="900"/>
              <w:jc w:val="left"/>
              <w:rPr/>
            </w:pPr>
            <w:hyperlink w:anchor="i29c07625a5e743748e3fcbf777f29f13_220">
              <w:r>
                <w:rPr>
                  <w:rStyle w:val="InternetLink"/>
                  <w:rFonts w:ascii="Times New Roman;sans-serif" w:hAnsi="Times New Roman;sans-serif"/>
                  <w:b w:val="false"/>
                  <w:color w:val="0000FF"/>
                  <w:sz w:val="20"/>
                  <w:u w:val="single"/>
                </w:rPr>
                <w:t>ITEM 12. Security Ownership of Certain Beneficial Owners and Management and Related Stockholder Matters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20">
              <w:r>
                <w:rPr>
                  <w:rStyle w:val="InternetLink"/>
                  <w:rFonts w:ascii="Times New Roman;sans-serif" w:hAnsi="Times New Roman;sans-serif"/>
                  <w:b w:val="false"/>
                  <w:color w:val="0000FF"/>
                  <w:sz w:val="20"/>
                  <w:u w:val="single"/>
                </w:rPr>
                <w:t>107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23">
              <w:r>
                <w:rPr>
                  <w:rStyle w:val="InternetLink"/>
                  <w:rFonts w:ascii="Times New Roman;sans-serif" w:hAnsi="Times New Roman;sans-serif"/>
                  <w:b w:val="false"/>
                  <w:color w:val="0000FF"/>
                  <w:sz w:val="20"/>
                  <w:u w:val="single"/>
                </w:rPr>
                <w:t>ITEM 13. Certain Relationships and Related Transactions, and Director Independence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23">
              <w:r>
                <w:rPr>
                  <w:rStyle w:val="InternetLink"/>
                  <w:rFonts w:ascii="Times New Roman;sans-serif" w:hAnsi="Times New Roman;sans-serif"/>
                  <w:b w:val="false"/>
                  <w:color w:val="0000FF"/>
                  <w:sz w:val="20"/>
                  <w:u w:val="single"/>
                </w:rPr>
                <w:t>107</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26">
              <w:r>
                <w:rPr>
                  <w:rStyle w:val="InternetLink"/>
                  <w:rFonts w:ascii="Times New Roman;sans-serif" w:hAnsi="Times New Roman;sans-serif"/>
                  <w:b w:val="false"/>
                  <w:color w:val="0000FF"/>
                  <w:sz w:val="20"/>
                  <w:u w:val="single"/>
                </w:rPr>
                <w:t>ITEM 14. Principal Accountant Fees and Services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26">
              <w:r>
                <w:rPr>
                  <w:rStyle w:val="InternetLink"/>
                  <w:rFonts w:ascii="Times New Roman;sans-serif" w:hAnsi="Times New Roman;sans-serif"/>
                  <w:b w:val="false"/>
                  <w:color w:val="0000FF"/>
                  <w:sz w:val="20"/>
                  <w:u w:val="single"/>
                </w:rPr>
                <w:t>107</w:t>
              </w:r>
            </w:hyperlink>
          </w:p>
        </w:tc>
      </w:tr>
      <w:tr>
        <w:trPr/>
        <w:tc>
          <w:tcPr>
            <w:tcW w:w="9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29c07625a5e743748e3fcbf777f29f13_229">
              <w:r>
                <w:rPr>
                  <w:rStyle w:val="InternetLink"/>
                  <w:rFonts w:ascii="Times New Roman;sans-serif" w:hAnsi="Times New Roman;sans-serif"/>
                  <w:b w:val="false"/>
                  <w:color w:val="0000FF"/>
                  <w:sz w:val="20"/>
                  <w:u w:val="single"/>
                </w:rPr>
                <w:t>PART IV</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32">
              <w:r>
                <w:rPr>
                  <w:rStyle w:val="InternetLink"/>
                  <w:rFonts w:ascii="Times New Roman;sans-serif" w:hAnsi="Times New Roman;sans-serif"/>
                  <w:b w:val="false"/>
                  <w:color w:val="000080"/>
                  <w:sz w:val="20"/>
                  <w:u w:val="single"/>
                </w:rPr>
                <w:t>ITEM 15. Exhibits</w:t>
              </w:r>
            </w:hyperlink>
            <w:hyperlink w:anchor="i29c07625a5e743748e3fcbf777f29f13_232">
              <w:r>
                <w:rPr>
                  <w:rStyle w:val="InternetLink"/>
                  <w:rFonts w:ascii="Times New Roman;sans-serif" w:hAnsi="Times New Roman;sans-serif"/>
                  <w:b w:val="false"/>
                  <w:color w:val="000080"/>
                  <w:sz w:val="20"/>
                  <w:u w:val="single"/>
                </w:rPr>
                <w:t xml:space="preserve"> and</w:t>
              </w:r>
            </w:hyperlink>
            <w:hyperlink w:anchor="i29c07625a5e743748e3fcbf777f29f13_232">
              <w:r>
                <w:rPr>
                  <w:rStyle w:val="InternetLink"/>
                  <w:rFonts w:ascii="Times New Roman;sans-serif" w:hAnsi="Times New Roman;sans-serif"/>
                  <w:b w:val="false"/>
                  <w:color w:val="000080"/>
                  <w:sz w:val="20"/>
                  <w:u w:val="single"/>
                </w:rPr>
                <w:t xml:space="preserve"> </w:t>
              </w:r>
            </w:hyperlink>
            <w:hyperlink w:anchor="i29c07625a5e743748e3fcbf777f29f13_232">
              <w:r>
                <w:rPr>
                  <w:rStyle w:val="InternetLink"/>
                  <w:rFonts w:ascii="Times New Roman;sans-serif" w:hAnsi="Times New Roman;sans-serif"/>
                  <w:b w:val="false"/>
                  <w:color w:val="000080"/>
                  <w:sz w:val="20"/>
                  <w:u w:val="single"/>
                </w:rPr>
                <w:t>Financial Statement Schedules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32">
              <w:r>
                <w:rPr>
                  <w:rStyle w:val="InternetLink"/>
                  <w:rFonts w:ascii="Times New Roman;sans-serif" w:hAnsi="Times New Roman;sans-serif"/>
                  <w:b w:val="false"/>
                  <w:color w:val="0000FF"/>
                  <w:sz w:val="20"/>
                  <w:u w:val="single"/>
                </w:rPr>
                <w:t>108</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35">
              <w:r>
                <w:rPr>
                  <w:rStyle w:val="InternetLink"/>
                  <w:rFonts w:ascii="Times New Roman;sans-serif" w:hAnsi="Times New Roman;sans-serif"/>
                  <w:b w:val="false"/>
                  <w:color w:val="0000FF"/>
                  <w:sz w:val="20"/>
                  <w:u w:val="single"/>
                </w:rPr>
                <w:t>ITEM 16. Form 10–K Summary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29c07625a5e743748e3fcbf777f29f13_235">
              <w:r>
                <w:rPr>
                  <w:rStyle w:val="InternetLink"/>
                  <w:rFonts w:ascii="Times New Roman;sans-serif" w:hAnsi="Times New Roman;sans-serif"/>
                  <w:b w:val="false"/>
                  <w:color w:val="0000FF"/>
                  <w:sz w:val="20"/>
                  <w:u w:val="single"/>
                </w:rPr>
                <w:t>110</w:t>
              </w:r>
            </w:hyperlink>
          </w:p>
        </w:tc>
      </w:tr>
      <w:tr>
        <w:trPr/>
        <w:tc>
          <w:tcPr>
            <w:tcW w:w="941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29c07625a5e743748e3fcbf777f29f13_238">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238">
              <w:r>
                <w:rPr>
                  <w:rStyle w:val="InternetLink"/>
                  <w:rFonts w:ascii="Times New Roman;sans-serif" w:hAnsi="Times New Roman;sans-serif"/>
                  <w:b w:val="false"/>
                  <w:color w:val="0000FF"/>
                  <w:sz w:val="20"/>
                  <w:u w:val="single"/>
                </w:rPr>
                <w:t>111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This Annual Report on Form 10-K contains forward-looking statements within the meaning of Section 27A of the Securities Act of 1933 and Section 21E of the Securities Exchange Act of 1934, which involve substantial risks and uncertainties. These statements reflect the current views of our senior management with respect to future events and our financial performance. These forward-looking statements include statements with respect to our business, expenses, strategies, losses, growth plans, product and client initiatives, market growth projections, and our industry, including those set forth under “Management’s Discussion and Analysis of Financial Condition and Results of Operations” and elsewhere in this report. Statements that include the words “expect,” “intend,” “plan,” “believe,” “project,” “forecast,” “estimate,” “may,” “should,” “anticipate” and similar statements of a future or forward-looking nature identify forward-looking statements for purposes of the federal securities laws or otherwise.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Forward-looking statements address matters that involve risks and uncertainties. Accordingly, there are or will be important factors that could cause our actual results to differ materially from those indicated in these statements. These factors include the information set forth under the caption “Risk Factors” and elsewhere in this report, and include the following: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adverse economic conditions, including the impact of macroeconomic deterioration, including continued inflation, increased interest rates, supply chain disruptions, decreased economic output and fluctuations in currency rates, the impact of the Russia-Ukraine conflict, the impact of the conflict in Israel, and other factors, may continue to harm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if we are unable to attract new clients or sell additional services and functionality to our existing clients, our revenue and revenue growth will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if our existing clients terminate their subscriptions or reduce their subscriptions and related usage, or fail to grow subscriptions at the rate they have in the past or that we might expect, our revenues and gross margins will be harmed, and we will be required to spend more money to grow our client base;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if we fail to manage our technical operations infrastructure, our existing clients may experience service outages, our new clients may experience delays in the deployment of our solution and we could be subject to, among other things, claims for credits or damages;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established, and are continuing to increase, our network of technology solution distributors and resellers to sell our solution; our failure to effectively develop, manage, and maintain this network could materially harm our revenues;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bidi w:val="0"/>
        <w:spacing w:lineRule="auto" w:line="268" w:before="40" w:after="283"/>
        <w:ind w:left="0" w:right="0" w:hanging="360"/>
        <w:jc w:val="left"/>
        <w:rPr/>
      </w:pPr>
      <w:r>
        <w:rPr>
          <w:color w:val="000000"/>
        </w:rPr>
        <w:t>•</w:t>
      </w:r>
      <w:r>
        <w:rPr>
          <w:rFonts w:ascii="Times New Roman;sans-serif" w:hAnsi="Times New Roman;sans-serif"/>
          <w:b w:val="false"/>
          <w:color w:val="000000"/>
          <w:sz w:val="20"/>
        </w:rPr>
        <w:t xml:space="preserve">our historical growth may not be indicative of our future growth, and even if we continue to grow rapidly, we may fail to manage our growth effectively;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failure to adequately retain and expand our sales force will impede our growth;</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further development of our AI solutions may not be successful and may result in reputational harm and our future operating results could be materially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AI technology and features incorporated into our solution include new and evolving technologies that may present both legal and business risks;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use of AI by our workforce may present risks to our business; </w:t>
      </w:r>
    </w:p>
    <w:p>
      <w:pPr>
        <w:pStyle w:val="TextBody"/>
        <w:bidi w:val="0"/>
        <w:spacing w:lineRule="auto" w:line="256" w:before="0" w:after="0"/>
        <w:ind w:left="0" w:right="0" w:hanging="360"/>
        <w:jc w:val="left"/>
        <w:rPr/>
      </w:pPr>
      <w:r>
        <w:rPr>
          <w:color w:val="000000"/>
        </w:rPr>
        <w:t>•</w:t>
      </w:r>
      <w:r>
        <w:rPr>
          <w:rFonts w:ascii="Times New Roman;sans-serif" w:hAnsi="Times New Roman;sans-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continue to expand our international operations, which exposes us to significant macroeconomic and other risks;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security breaches and improper access to, use of, or disclosure of our data or our clients’ data, or other cyber attacks on our systems, could result in litigation and regulatory risk, harm our reputation, our business or financial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a history of losses and we may be unable to achieve or sustain profitability;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stock price has been volatile, may continue to be volatile and may decline, including due to factors beyond our control;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not be able to secure additional financing on favorable terms, or at all, to meet our future capital needs;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failure to comply with laws and regulations could harm our business and our reputation; and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may not have sufficient cash to service our convertible senior notes and repay such notes, if required.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factors should not be construed as exhaustive and should be read together with the other cautionary statements included in this report, including under the section titled “Risk Factors.” If one or more of these or other risks or uncertainties materialize, or if our underlying assumptions prove to be incorrect, our actual results may differ materially from what we anticipate. You should not place undue reliance on our forward-looking statements. Any forward-looking statements you read in this report reflect our views only as of the date of this report with respect to future events and are subject to these and other risks, uncertainties and assumptions relating to our operations, results of operations, growth strategy and liquidity. We undertake no obligation to update any forward-looking statements made in this report to reflect events or circumstances after the date of this report or to reflect new information or the occurrence of unanticipated events, except as required by law.</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ITEM 1. Business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Five9 is a pioneer and leading provider of intelligent cloud software for contact centers. We were “born in the cloud,” and since our inception, we have exclusively focused on delivering our platform in the cloud and are disrupting a significantly large market by replacing legacy on-premise contact center systems. Contact centers are vital hubs of interaction between organizations and their customers and, therefore, are essential to delivering successful customer service, sales and marketing strategies. Our mission is to empower organizations to transform their contact centers into customer engagement centers of excellence, while improving business agility and significantly lowering the cost and complexity of their contact center operations. Our purpose-built, reliable, scalable and secure Virtual Contact Center, or VCC, cloud platform delivers a comprehensive suite of easy-to-use applications that enable the breadth of contact center-related customer service, sales and marketing functions. We have become an established leader in the cloud contact center market with more than 3,000 clients. We believe our ability to combine software and telephony into a single unified platform that is delivered in the cloud creates a significant advantage. </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there are three key industry trends driving growth in the cloud contact center market. </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First is the rapid increase in adoption of cloud contact center software solutions as a result of several distinct factors. The increasing adoption of cloud computing, especially within customer relationship management, or CRM, is creating strong demand for integrated cloud contact center software solutions. In addition, cloud contact center software solutions now offer the functionality required by large, complex enterprise contact centers. Furthermore, we believe organizations typically refresh their on-premise contact center systems every eight to 10 years, which provides an opportunity for cloud solutions to replace legacy on-premise contact center systems when these replacement decisions arise. On-premise systems require large up-front investments, long deployment cycles, and are burdensome to maintain. These systems are also often inflexible, complex, and require significant duplication of effort and integration across multiple sites. In addition, commencing during the COVID-19 pandemic, agents increasingly work remotely, which presents a challenge to on-premise based systems that, by design, are focused on a particular physical location. This creates substantial challenges for clients with on-premise contact center systems. As a result, cloud contact center software solutions are continuing to replace legacy on-premise contact center systems.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Second is digital transformation. Consumers have the ability to easily and quickly switch brands after experiencing poor customer service. Therefore, it is more critical than ever to provide the tools and technologies to meet consumer demands for a seamless experience across their engagement channels of choice. Cloud contact center software solutions provide organizations with the agility to adapt to a rapidly evolving environment and innovative functionalities to reimagine the way they engage with customers.</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Third is advancements in artificial intelligence, or AI, which enable improved customer experience, significant operational efficiencies and business insights. The recent advances in Generative AI, including Large Language Models, or LLMs, enable new capabilities in contact centers that were not possible in prior generations. Our AI Summaries feature uses Generative AI to automatically summarize a call at the end, reducing after-call work time. Natural language voice and chat bots, using Generative AI, speech recognition, intent detection, and text-to-speech technologies quickly and effectively handle mundane contact center tasks, allowing agents to focus on more complex issues. Generative AI technologies are also used in our AI Insights product, which gives customers an understanding of reasons for customer calls, customer sentiment, and call resolution status, with little up-front configuration. AI technologies generally require cloud deployment and, therefore, provide additional incentives for customers to move off their legacy on-premise solutions.</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comprised of our VCC cloud platform with native AI and automation capabilities, including Interactive Virtual Agent, or IVA, Agent Assist, Workflow Automation, or WFA, Workforce Engagement Management, or WEM, AI Insights and AI Summaries, allows simultaneous management and optimization of customer interactions across voice, chat, email, web, social media and mobile channels, either directly or through our application programming interfaces, or APIs. Our VCC cloud platform matches each customer interaction with an appropriate agent resource and delivers relevant customer data to the agent in real-time through integrations with adjacent enterprise applications, such as CRM software, to optimize the customer experience and improve agent productivity. Our solution ensures our clients always have the latest version of our software. Delivered on-demand, our solution enables our clients to quickly deploy agent seats in any geographic location with only a computer,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headset and broadband internet connection, and rapidly adjust the number of contact center agent seats in response to changing business requirements. Unlike legacy on-premise contact center systems, our solution requires limited up-front investment, can be rapidly deployed and is maintained by us in the cloud.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sales model consists of a field sales team that sells our solution into larger opportunities and a telesales team that sells our solution into smaller opportunities. We have developed a proven, high velocity, metrics-driven sales and marketing strategy, designed to effectively identify, qualify and close sales opportunities. To complement this go-to-market strategy, we have developed a strategically-built ecosystem of technology alliances, solution providers and system integrator partners, which also provide sales leads, and independent software vendors to help increase awareness of our solution in the market and drive additional sales opportunities with new and existing clients. We have also established, and are continuing to increase, our network of technology solution distributors who provide sales leads and resellers that integrate our solution into their service offerings to new clients. Our partner ecosystem has helped us access new routes to market and increase our penetration in domestic and international markets.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provide our solution through a software-as-a-service, or SaaS, business model with recurring revenue made up of subscription revenue, based primarily on the number of agent seats, and usage, based on minutes, as well as the specific functionalities and applications our clients deploy such as virtual agents.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achieved significant growth in recent periods. For the years ended December 31, 2023, 2022 and 2021, our revenue was $910.5 million, $778.8 million and $609.6 million, respectively, representing year-over-year growth of 17% and 28%, respectively. We incurred net losses of $81.8 million, $94.7 million and $53.0 million for the years ended December 31, 2023, 2022 and 2021, respectively, primarily as a result of increased investment in our growth, along with higher stock-based compensation. As of December 31, 2023, 2022 and 2021, our total assets were $1,494.6 million, $1,244.5 million and $1,192.9 million, respectively. Our recurring revenue model combined with our Annual Dollar-Based Retention Rate, which was 110% as of December 31, 2023, have enhanced our ability to forecast our financial performance and plan future investments. For a description of how our Annual Dollar-Based Retention Rate is calculated, please refer to ITEM 7 “Management’s Discussion and Analysis of Financial Condition and Results of Operations” in Part II of this Annual Report on Form 10-K.</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operate in a single reportable segment. Please refer to the geographical information for each of the last three years in Note 11 of the notes to our consolidated financial statements. Please refer to the discussion of risks related to our foreign operations in the section entitled “ITEM 1A. Risk Factors.”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Solution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deliver a comprehensive, end-to-end cloud software solution for contact centers. Our solution is designed to enable our customers to increase and improve the efficiency of their operations, increase revenue opportunities and business agility, and provide insights into the behaviors of their workforce and customers as it relates to customer experience. Our platform facilitates this through key capabilities such as interaction routing and prioritization across channels, automation and integration of back and front end systems and the ability to leverage the power of AI through IVA and more. Our solution also empowers agents and supervisors through WEM. Organizations of a broad variety of sizes use our solution to improve customer service and create customer loyalty. These capabilities are offered across a wide variety of engagement channels from chat and SMS to e-mail and voice. Consumers are able to engage using their channel of choice and clients are able to facilitate fluid experiences that drive digital transformation.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agent interface is an intuitive modern browser-based design that provides easy visualization of customer profiles, context and cross-channel history. Our solution is built on a modern SaaS architecture, leveraging both our own global data centers and public cloud deployments in a scalable, secure, and redundant manner. Our VCC platform is based on a modern micro services-based open enterprise architecture built with representational state transfer, or REST, APIs and software development kits, or SDKs, that enable customers, partners and developers to bridge any operational gaps within their unique systems. AI is an embedded part of our platform. We provide high quality inbound and outbound voice services leveraging our global network infrastructure, key strategic carrier partnerships, complex real time call routing, and wide range of customer connectivity options for secure, resilient interconnectivity to our network. Our complete end-to-end capabilities include Computer-Telephony Integration, or CTI, IVA, Interactive Voice Response, or IVR, WFA, Agent Assist, AI Insights, AI Summaries, Automatic Call/Contact Distribution, or ACD, with skills-based routing, reporting, dashboards, agent and supervisor desktops, outbound dialer, pre-built third-party integrations, quality management, speech and desktop analytics, customer surveys and workforce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 provides the following advantages: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Rapid implementation, seamless updates and pre-built integrations.</w:t>
      </w:r>
      <w:r>
        <w:rPr>
          <w:color w:val="000000"/>
        </w:rPr>
        <w:t xml:space="preserve"> </w:t>
      </w:r>
      <w:r>
        <w:rPr>
          <w:rFonts w:ascii="Times New Roman;sans-serif" w:hAnsi="Times New Roman;sans-serif"/>
          <w:b w:val="false"/>
          <w:color w:val="000000"/>
          <w:sz w:val="20"/>
        </w:rPr>
        <w:t>Our solution is designed to be deployed quickly and seamlessly with minimal disruption to a client’s operations. The pre-built integrations with leading CRM and other enterprise applications reduce the complexity and burden of integrating with the client’s business applications. Our solution is designed to be seamlessly updated so that clients are always operating on the latest version of the software, while maintaining their existing configurations, ensuring minimal disruption to the client’s contact center operations.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 xml:space="preserve">Highly flexible platform. </w:t>
      </w:r>
      <w:r>
        <w:rPr>
          <w:rFonts w:ascii="Times New Roman;sans-serif" w:hAnsi="Times New Roman;sans-serif"/>
          <w:b w:val="false"/>
          <w:color w:val="000000"/>
          <w:sz w:val="20"/>
        </w:rPr>
        <w:t>Our solution provides easy administration, configuration and role-based functionalities for agents, supervisors and administrators, enabling the rapid adjustment of contact center resources to meet a changing mix of contact channels and peaks-and-troughs in contact center volumes.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Scalable, secure and reliable multi-tenant architecture.</w:t>
      </w:r>
      <w:r>
        <w:rPr>
          <w:color w:val="000000"/>
        </w:rPr>
        <w:t xml:space="preserve"> </w:t>
      </w:r>
      <w:r>
        <w:rPr>
          <w:rFonts w:ascii="Times New Roman;sans-serif" w:hAnsi="Times New Roman;sans-serif"/>
          <w:b w:val="false"/>
          <w:color w:val="000000"/>
          <w:sz w:val="20"/>
        </w:rPr>
        <w:t>Our solution provides organizations of all sizes with the robust contact center functionality, scalability, flexibility and security required in the most sophisticated and distributed environments.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is designed to provide the following key benefits to clients: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 xml:space="preserve">Improved customer experience. </w:t>
      </w:r>
      <w:r>
        <w:rPr>
          <w:rFonts w:ascii="Times New Roman;sans-serif" w:hAnsi="Times New Roman;sans-serif"/>
          <w:b w:val="false"/>
          <w:color w:val="000000"/>
          <w:sz w:val="20"/>
        </w:rPr>
        <w:t>Our intelligent contact routing and self-service IVA and IVR capabilities, pre-built CRM and other integrations, and multichannel engagement ensure that customers receive an omnichannel experience. Each new contact is quickly routed to an appropriate agent resource. Using the rich contact history and additional context through integrations with CRM and other applications, agents have immediate access to the most current, relevant and accurate information about the customer, resulting in increased first contact resolutions and a more satisfying experience for the customer.</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Higher agent productivity.</w:t>
      </w:r>
      <w:r>
        <w:rPr>
          <w:color w:val="000000"/>
        </w:rPr>
        <w:t xml:space="preserve"> </w:t>
      </w:r>
      <w:r>
        <w:rPr>
          <w:rFonts w:ascii="Times New Roman;sans-serif" w:hAnsi="Times New Roman;sans-serif"/>
          <w:b w:val="false"/>
          <w:color w:val="000000"/>
          <w:sz w:val="20"/>
        </w:rPr>
        <w:t>Our solution empowers agent productivity and effectiveness by allowing agents to handle both inbound and outbound calls and interact with customers across multiple digital engagement channels, including voice, chat, email, web, social media and mobile. Our solution gives agents the ability to switch between media channels through an easy-to-use, unified interface that provides agents with all of the relevant content and tools needed to complete the task at hand. Furthermore, our AI enabled automation features are designed to enable agent efficiency and cost reductions, including through the utilization of LLMs and natural language processing, or NLP.</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Enhanced end-to-end visibility.</w:t>
      </w:r>
      <w:r>
        <w:rPr>
          <w:color w:val="000000"/>
        </w:rPr>
        <w:t xml:space="preserve"> </w:t>
      </w:r>
      <w:r>
        <w:rPr>
          <w:rFonts w:ascii="Times New Roman;sans-serif" w:hAnsi="Times New Roman;sans-serif"/>
          <w:b w:val="false"/>
          <w:color w:val="000000"/>
          <w:sz w:val="20"/>
        </w:rPr>
        <w:t>Our solution provides clients’ operations staff, quality team and leadership with a complete view of contact center performance through a comprehensive set of historical reports, real-time dashboards, and quality and performance management tools. Clients can also extract reporting data from our solution for further analysis using a spreadsheet application or using the sophistication of an enterprise business intelligence application. Our advanced reporting solution enables us to connect to external data sources such as ACDs, WEM platforms, CRM solutions, and many more pre-built integrations. This insight provides an organization-wide view of customer engagement performance and allows clients to quickly address changing circumstances.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Greater operational efficiency.</w:t>
      </w:r>
      <w:r>
        <w:rPr>
          <w:color w:val="000000"/>
        </w:rPr>
        <w:t xml:space="preserve"> </w:t>
      </w:r>
      <w:r>
        <w:rPr>
          <w:rFonts w:ascii="Times New Roman;sans-serif" w:hAnsi="Times New Roman;sans-serif"/>
          <w:b w:val="false"/>
          <w:color w:val="000000"/>
          <w:sz w:val="20"/>
        </w:rPr>
        <w:t>Our solution provides contact center managers and supervisors with significant visibility into their agents’ productivity and effectiveness and the performance of their inbound queues and outbound campaigns. Our solution has robust intelligence and analytics capabilities to help supervisors optimize operations and campaigns in real-time to drive increased efficiency. Our role-based interfaces deliver specific functionality to both desktops and mobile devices to meet the unique needs of agents, supervisors and administrators.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Compelling value proposition.</w:t>
      </w:r>
      <w:r>
        <w:rPr>
          <w:color w:val="000000"/>
        </w:rPr>
        <w:t xml:space="preserve"> </w:t>
      </w:r>
      <w:r>
        <w:rPr>
          <w:rFonts w:ascii="Times New Roman;sans-serif" w:hAnsi="Times New Roman;sans-serif"/>
          <w:b w:val="false"/>
          <w:color w:val="000000"/>
          <w:sz w:val="20"/>
        </w:rPr>
        <w:t xml:space="preserve">We provide a unified cloud-based software platform for contact center operations, including software applications, technology infrastructure, maintenance, monitoring, storage, security, client support and upgrades, which enables our clients to simplify their technology infrastructure and streamline IT costs. We manage upgrades and deployments remotely, resulting in lower total cost of operations relative to legacy on-premise contact center systems that often require in-house technical support staff.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Our Competitive Strengths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position as a leading provider of cloud contact center software results from several key competitive strengths, including:</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 xml:space="preserve">Global Cloud-based, enterprise-grade platform and end-to-end application suite. </w:t>
      </w:r>
      <w:r>
        <w:rPr>
          <w:rFonts w:ascii="Times New Roman;sans-serif" w:hAnsi="Times New Roman;sans-serif"/>
          <w:b w:val="false"/>
          <w:color w:val="000000"/>
          <w:sz w:val="20"/>
        </w:rPr>
        <w:t>We deliver a cloud-based enterprise-grade platform and applications suite with multi-channel capabilities that allows our clients to manage their entire contact center operation. Our highly scalable, secure and multi-tenant architecture enables us to serve large multi-national enterprises with complex contact center requirements, as well as smaller organizations, all from our platform comprised of globally distributed physical data centers and public cloud deployments, all interconnected with a robust, redundant, private WAN and diverse regionalized Internet connectivity. We have also commenced investments in a dedicated U.S.-based data center deployment to support Federal Risk and Authorization Management Program, or FedRAMP, customers.</w:t>
      </w:r>
    </w:p>
    <w:p>
      <w:pPr>
        <w:pStyle w:val="TextBody"/>
        <w:bidi w:val="0"/>
        <w:spacing w:lineRule="auto" w:line="276" w:before="120" w:after="283"/>
        <w:ind w:left="0" w:right="0" w:hanging="270"/>
        <w:jc w:val="left"/>
        <w:rPr/>
      </w:pPr>
      <w:r>
        <w:rPr>
          <w:color w:val="000000"/>
        </w:rPr>
        <w:t>•</w:t>
      </w:r>
      <w:r>
        <w:rPr>
          <w:rFonts w:ascii="Times New Roman;sans-serif" w:hAnsi="Times New Roman;sans-serif"/>
          <w:b w:val="false"/>
          <w:i/>
          <w:color w:val="000000"/>
          <w:sz w:val="20"/>
        </w:rPr>
        <w:t>Rapid deployment and support of our comprehensive solution.</w:t>
      </w:r>
      <w:r>
        <w:rPr>
          <w:color w:val="000000"/>
        </w:rPr>
        <w:t xml:space="preserve"> </w:t>
      </w:r>
      <w:r>
        <w:rPr>
          <w:rFonts w:ascii="Times New Roman;sans-serif" w:hAnsi="Times New Roman;sans-serif"/>
          <w:b w:val="false"/>
          <w:color w:val="000000"/>
          <w:sz w:val="20"/>
        </w:rPr>
        <w:t xml:space="preserve">Our high-touch engagement model for larger implementations accelerates agent activation and targets desired business outcomes by leveraging a proven lifecycle approach including detailed discovery, design, testing, training and optimization. Through the use of tools and processes that have been refined over thousands of customers, we can also efficiently meet the needs of our smaller clients. We offer flexibility and integrate with a number of leading CRM vendors, including: Microsoft Corporation, or Microsoft, Oracle Corporation, or Oracle, Salesforce.com, Inc., or Salesforce, ServiceNow, Inc., or ServiceNow, Zendesk, Inc., or Zendesk, and others. We also offer integrations into UC partners such as Microsoft Teams, Nextiva, RingCentral, Zoom Video Communications, or Zoom, and others. We combine these comprehensive integrations with out-of-the-box application adapters that allow our customers to easily build workflow integrations without the need for dedicated developers. Once operational, we offer a high touch premium support service where we assign a technical account manager who has intimate knowledge of the customers’ operations so we can quickly resolve issues and fine tune the solution. In addition, we assign customer success representatives to every customer. These customer success representatives build deep relationships with our customers to help maximize the value of our platform. As a result, our clients’ contact centers become fully operational faster and they recognize time to value quicker than with legacy on-premise contact center systems.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 xml:space="preserve">Reliable, secure, compliant and scalable platform. </w:t>
      </w:r>
      <w:r>
        <w:rPr>
          <w:rFonts w:ascii="Times New Roman;sans-serif" w:hAnsi="Times New Roman;sans-serif"/>
          <w:b w:val="false"/>
          <w:color w:val="000000"/>
          <w:sz w:val="22"/>
        </w:rPr>
        <w:t>Our pla</w:t>
      </w:r>
      <w:r>
        <w:rPr>
          <w:rFonts w:ascii="Times New Roman;sans-serif" w:hAnsi="Times New Roman;sans-serif"/>
          <w:b w:val="false"/>
          <w:color w:val="000000"/>
          <w:sz w:val="20"/>
        </w:rPr>
        <w:t xml:space="preserve">tform delivers what we believe is industry leading reliability utilizing public and private cloud technology; cybersecurity using a defense-in-depth approach; scalability to accommodate the requirements of larger clients; and legal and regulatory compliance features designed to assist our clients in complying with applicable laws, regulations and industry standards. </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 xml:space="preserve">Proven, repeatable and scalable go-to-market model. </w:t>
      </w:r>
      <w:r>
        <w:rPr>
          <w:rFonts w:ascii="Times New Roman;sans-serif" w:hAnsi="Times New Roman;sans-serif"/>
          <w:b w:val="false"/>
          <w:color w:val="000000"/>
          <w:sz w:val="20"/>
        </w:rPr>
        <w:t>We engage with our clients through a highly scalable and metrics-driven sales and marketing organization that effectively identifies, qualifies and closes sales opportunities. The deep domain expertise of our field sales team is instrumental in selling to larger opportunities, and our highly efficient telesales model enables us to cost-effectively identify, qualify and close a high volume of smaller opportunities. Our ecosystem of technology, system integrator and channel partners increases awareness of our solution and helps generate new sales opportunities. We believe our go-to-market model gives us an efficient and effective means of targeting organizations of all sizes.</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 xml:space="preserve">Established market presence and a large, diverse client base. </w:t>
      </w:r>
      <w:r>
        <w:rPr>
          <w:rFonts w:ascii="Times New Roman;sans-serif" w:hAnsi="Times New Roman;sans-serif"/>
          <w:b w:val="false"/>
          <w:color w:val="000000"/>
          <w:sz w:val="20"/>
        </w:rPr>
        <w:t>We have a large, diverse client base of over 3,000 organizations across multiple industries. We believe our clients view us as a key strategic solution provider. The performance, reliability, ease-of-use and comprehensive nature of our solution has resulted in high client retention.</w:t>
      </w:r>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Extensive partner ecosystem.</w:t>
      </w:r>
      <w:r>
        <w:rPr>
          <w:color w:val="000000"/>
        </w:rPr>
        <w:t xml:space="preserve"> </w:t>
      </w:r>
      <w:r>
        <w:rPr>
          <w:rFonts w:ascii="Times New Roman;sans-serif" w:hAnsi="Times New Roman;sans-serif"/>
          <w:b w:val="false"/>
          <w:color w:val="000000"/>
          <w:sz w:val="20"/>
        </w:rPr>
        <w:t>We have cultivated a robust ecosystem of partners including a variety of leading CRM software vendors such as Microsoft, Oracle, Salesforce, ServiceNow and Zendesk; WEM vendors such as Calabrio, Inc., or Calabrio, and Verint Systems Inc., or Verint; unified communications vendors such as Microsoft Teams, Nextiva, RingCentral and Zoom; system integrators such as Accenture PLC, Deloitte Consulting LLP, IBM, Kyndryl, Inc., PwC LLP and Slalom Consulting, LLC; technology solution distributors such as Avant, LLC, Intelysis and Telarus, value-added resellers such as British Telecom, CDW Corporation, NWN Carousel, Presidio Networked Solutions Group, LLC, and Worldwide Technologies; independent software vendors; and telephony providers. We believe this ecosystem has enabled us to increase our brand awareness and enhance the functionality and value of our solution for our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hanging="270"/>
        <w:jc w:val="left"/>
        <w:rPr/>
      </w:pPr>
      <w:r>
        <w:rPr>
          <w:color w:val="000000"/>
        </w:rPr>
        <w:t>•</w:t>
      </w:r>
      <w:r>
        <w:rPr>
          <w:rFonts w:ascii="Times New Roman;sans-serif" w:hAnsi="Times New Roman;sans-serif"/>
          <w:b w:val="false"/>
          <w:i/>
          <w:color w:val="000000"/>
          <w:sz w:val="20"/>
        </w:rPr>
        <w:t>Focus on innovation and thought leadership</w:t>
      </w:r>
      <w:r>
        <w:rPr>
          <w:rFonts w:ascii="Times New Roman;sans-serif" w:hAnsi="Times New Roman;sans-serif"/>
          <w:b w:val="false"/>
          <w:color w:val="000000"/>
          <w:sz w:val="20"/>
        </w:rPr>
        <w:t xml:space="preserve">. Since our inception, we have been an innovator of intelligent cloud contact center software. Our investment in research and development has driven our growth and enabled us to deliver a cloud contact center software solution with the features and functionality to power the most complex contact centers. We strive to be a thought leader in our industry, identifying and developing cloud capabilities to transform traditional contact center operations into customer engagement centers of excellence. Contact centers are a rich source of the data that powers AI, from call detail records to full recordings of calls and customer interactions. Recent advances in Generative AI enable us to deliver even more innovation by integrating it deep into our VCC platform. We believe that AI, and Generative AI in particular, will profoundly impact how businesses deliver services to their customers.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Clients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 large, diverse and global client base comprised of more than 3,000 organizations as of December 31, 2023, with no single client representing more than 10% of our revenues in 2023, 2022 or 2021. Our client base spans organizations of all sizes across multiple industries, including banking and financial services, business process outsourcers, retail, healthcare, technology and education.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Sales and Marketing </w:t>
      </w:r>
    </w:p>
    <w:p>
      <w:pPr>
        <w:pStyle w:val="TextBody"/>
        <w:bidi w:val="0"/>
        <w:spacing w:lineRule="auto" w:line="268" w:before="120" w:after="283"/>
        <w:ind w:left="0" w:right="0" w:firstLine="540"/>
        <w:jc w:val="left"/>
        <w:rPr/>
      </w:pPr>
      <w:r>
        <w:rPr>
          <w:rFonts w:ascii="Times New Roman;sans-serif" w:hAnsi="Times New Roman;sans-serif"/>
          <w:b w:val="false"/>
          <w:i/>
          <w:color w:val="000000"/>
          <w:sz w:val="20"/>
        </w:rPr>
        <w:t>Marketing.</w:t>
      </w:r>
      <w:r>
        <w:rPr>
          <w:color w:val="000000"/>
        </w:rPr>
        <w:t xml:space="preserve"> </w:t>
      </w:r>
      <w:r>
        <w:rPr>
          <w:rFonts w:ascii="Times New Roman;sans-serif" w:hAnsi="Times New Roman;sans-serif"/>
          <w:b w:val="false"/>
          <w:color w:val="000000"/>
          <w:sz w:val="20"/>
        </w:rPr>
        <w:t xml:space="preserve">To build client awareness and adoption of our solution, our lead generation activities consist of a mix of organic activities such as social, digital presence and search engine optimization, and paid for activations such as search engine marketing, internet advertising, digital marketing campaigns, content syndication, trade shows, industry events, co-marketing with strategic partners, account-based marketing, client referrals and other promotional campaigns. In addition, our industry analyst, press and media outreach programs, and web site marketing initiatives are designed to build brand awareness and preference for our solution. We offer online self-service demos and instructional videos to help prospective clients learn about the features and functionality of our cloud platform. We also offer proof of concept service packages and trial opportunities, which include return-on-investment analyses conducted by third parties, to allow prospects to experience the quality and ease-of-use of our cloud solution and quantify the potential benefits of our deployment model. </w:t>
      </w:r>
    </w:p>
    <w:p>
      <w:pPr>
        <w:pStyle w:val="TextBody"/>
        <w:bidi w:val="0"/>
        <w:spacing w:lineRule="auto" w:line="276" w:before="120" w:after="283"/>
        <w:ind w:left="0" w:right="0" w:firstLine="540"/>
        <w:jc w:val="both"/>
        <w:rPr/>
      </w:pPr>
      <w:r>
        <w:rPr>
          <w:rFonts w:ascii="Times New Roman;sans-serif" w:hAnsi="Times New Roman;sans-serif"/>
          <w:b w:val="false"/>
          <w:i/>
          <w:color w:val="000000"/>
          <w:sz w:val="20"/>
        </w:rPr>
        <w:t xml:space="preserve">Direct Sales. </w:t>
      </w:r>
      <w:r>
        <w:rPr>
          <w:rFonts w:ascii="Times New Roman;sans-serif" w:hAnsi="Times New Roman;sans-serif"/>
          <w:b w:val="false"/>
          <w:color w:val="000000"/>
          <w:sz w:val="20"/>
        </w:rPr>
        <w:t xml:space="preserve">Our sales model consists of a field sales team that sells our solution into larger opportunities and a telesales team that sells our solution into smaller opportunities. Our field and telesales teams are also responsible for selling to existing clients that may renew their subscriptions, increase the number of agents using our cloud solution, add new applications from our solution and expand the deployment of our solution across their contact centers. </w:t>
      </w:r>
    </w:p>
    <w:p>
      <w:pPr>
        <w:pStyle w:val="TextBody"/>
        <w:bidi w:val="0"/>
        <w:spacing w:lineRule="auto" w:line="276" w:before="120" w:after="283"/>
        <w:ind w:left="0" w:right="0" w:firstLine="540"/>
        <w:jc w:val="both"/>
        <w:rPr/>
      </w:pPr>
      <w:r>
        <w:rPr>
          <w:rFonts w:ascii="Times New Roman;sans-serif" w:hAnsi="Times New Roman;sans-serif"/>
          <w:b w:val="false"/>
          <w:i/>
          <w:color w:val="000000"/>
          <w:sz w:val="20"/>
        </w:rPr>
        <w:t>Indirect Sales.</w:t>
      </w:r>
      <w:r>
        <w:rPr>
          <w:color w:val="000000"/>
        </w:rPr>
        <w:t xml:space="preserve"> </w:t>
      </w:r>
      <w:r>
        <w:rPr>
          <w:rFonts w:ascii="Times New Roman;sans-serif" w:hAnsi="Times New Roman;sans-serif"/>
          <w:b w:val="false"/>
          <w:color w:val="000000"/>
          <w:sz w:val="20"/>
        </w:rPr>
        <w:t xml:space="preserve">We have cultivated strong partner relationships with technology solution distributors, global system integrators and resellers to drive sales of our solution. We have established, and continue to increase, our network of technology solution distributors, which provide sales leads, global system integrators, which also provide sales leads and help integrate our solution with our client systems, and resellers, which sell our solution to new clients. This network has helped us attract additional clients, and we continue to empower these partnerships to participate in the delivery of our solution and extend the total customer value gained from unique integrated value propositions.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Professional Services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offer global comprehensive professional services to our clients to assist in the successful implementation and optimization of our solution. Our professional services include application configuration, system integration, and education and training. Our clients may use our professional services team for implementing our solution or, in many cases, they may choose to perform these services themselves or engage with one of our certified implementation partners to perform these services. Our cloud solution allows us to eliminate the need for lengthy and complex technology integrations, such as deploying equipment or maintaining hardware infrastructure for individual clients. As a result, we are typically able to deploy and optimize our solution in significantly less time than required for deployments of legacy on-premise contact center systems.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Research and Development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ability to compete depends in large part on our continuous commitment to research and development and our ability to improve the functionality of, and add new features to, our VCC cloud platform. Our core research and development center is based in our San Ramon, California headquarters, with additional engineers located in Australia and Portugal, which allows us to benefit from relatively low-cost and highly skilled software developers. In January 2023, we opened our new European Research and Development Hub in Porto, Portugal, which serves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European engineering headquarters. Our engineering team has deep software and telecommunications skills, and works closely with our sales team to identify our clients’ product requirements. In addition, continuous interactions with our partners enable our engineers to enhance the usability and performance of our platform and its integration with best-in-class CRM and other business applications and telephony technologies.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Technology and Operations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highly scalable and flexible cloud platform is the result of our extensive research, development, client engagement and operational experience. Our platform is comprised of in-house developed intellectual property, open source products and commercially available hardware and software. Our platform is designed to be redundant. We believe that all components can be upgraded, expanded or replaced with minimal or no interruption in service. </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deliver our services globally from third-party co-location data center facilities located in the United States, the United Kingdom, Europe and Australia and from public cloud locations in Canada, the United Kingdom and Europe. We also host some of our voice services on the public cloud in Europe, Asia, South America and Australia as well as additional core services in Europe. Our infrastructure, including our third-party co-location facilities, is designed to support real-time critical telecommunications, applications and operational support systems. Our infrastructure is built with redundant, fault-tolerant components divided into distinct security zones forming protective layers for our applications and customer data.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designed and maintain an operations, capacity and security program to monitor and maintain our platform, ensure efficient utilization of our platform capacity and protect against security threats or data breaches. Our global operations team monitors our data centers for potential performance issues, unauthorized attempts to access secure data or applications and the overall integrity of the platform.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Competition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contact center software is fragmented, highly competitive and evolving rapidly in response to shifting consumer behavior, especially the transition to mobile devices and use of different channels of engagement, such as social media. The proliferation of each is driving change in contact center technology, as customers expect companies to give them the option of seamless communication across all channels without losing the overall context of customer interactions according to their preferences and needs. Combined with the disruptive nature of the cloud in the contact center, this has resulted in competitors who come from different market and product heritages, and who vary in size, breadth and scope of products and services offered. We currently compete with large legacy vendors that offer on-premise contact center systems, such as Avaya Inc., or Avaya, and Cisco Systems, Inc., or Cisco. These legacy telephony vendors are increasingly supplementing their traditional on-premise contact center systems with competing cloud offerings, through a combination of acquisitions, partnerships and in-house development. Additionally, we compete with vendors that historically provided other contact center services and technologies and expanded to offer cloud contact center software such as Genesys Telecommunications Laboratories, Inc., or Genesys, and NICE Ltd., or NICE. We also face competition from many smaller contact center service providers such as Content Guru and Talkdesk, as well as vendors offering both unified communications and contact center solutions such as Zoom. In addition, Amazon.com, Inc., or Amazon, Twilio Inc., or Twilio, and most recently, Microsoft, have introduced solutions aimed at companies who wish to build their own contact centers and/or contact center components with developers. In addition, CRM vendors are increasingly offering features and functionality that were traditionally provided by contact center service providers. CRM and customer experience vendors also continue to partner with contact center service providers to provide integrated solutions and may, in the future, acquire competitive contact center service providers. These factors could cause CRM vendors to reduce or terminate their partnerships with us, and could result in increased competition. Because CRM integration and partnerships are critical to the success of our solution, these factors could harm our revenue and results of operations.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actual and potential competitors may enjoy competitive advantages over us, including greater name recognition, longer operating histories, broader product offerings, larger marketing and product development budgets, as well as greater financial and technical resources. With the introduction of new technologies and market entrants, we expect competition to continue to intensify in the future. Our recent, and any future, acquisitions will subject us to new competitors and cause us to face additional and different competition in the markets served by these businesses. We believe the principal competitive factors in our market include: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breadth and depth of solution features;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reliability, scalability and quality of the platform;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ease and speed of deployment;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ease of application administration and use;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level of client satisfaction;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domain expertise in contact center operations;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integration with third-party applications;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ability to quickly adapt and upgrade to new and evolving technologies, including AI;</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pricing;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ability to quickly adjust agent seats based on business requirements;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breadth and domain expertise of the sales, marketing and support organization;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ability to keep pace with client requirements;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extent and efficiency of professional services;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ability to offer multiple channels of engagement; and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size and financial stability.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we currently compete effectively with respect to each of the factors identified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Intellectual Property</w:t>
      </w:r>
      <w:r>
        <w:rPr>
          <w:color w:val="EE2724"/>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a combination of patent, copyright, and trade secret laws in the U.S. and other jurisdictions, as well as license agreements, confidentiality agreements and other contractual protections, to protect our proprietary technology. We also rely on a number of registered and unregistered trademarks to protect our brand. In addition, we require our employees and independent contractors involved in development of intellectual property to enter into agreements acknowledging that all works, or other intellectual property generated or conceived by them on our behalf, are our property, and assigning to us any rights, including intellectual property rights, that they may claim or otherwise have in those works or property, to the extent allowable under applicable law.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our intellectual property portfolio included three registered U.S. trademarks, two pending U.S. trademark applications, 16 issued U.S. patents, one pending U.S. patent application and one registered U.S. copyright. As of December 31, 2023, outside the U.S. we also had 10 trademark registrations, five issued patents and three pending international Patent Cooperation Treaty, or PCT, patent applications. The expiration dates of our issued patents range from 2030 to 2041. In general, our patents and patent applications apply to aspects of our VCC cloud platform.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a party to various license agreements with third parties that typically grant us the right to use certain third-party technology in conjunction with our solution. We expect that software and other applications in our industry may be subject to third-party infringement claims as the number of competitors grows and the functionality of applications in different industry segments overlaps. Any of these third parties might make a claim of infringement against us at any time.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Seasonality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there are seasonal factors that cause our revenues in the first half of a year to be lower than our revenues in the second half of the year. During 2023, 2022 and 2021, 52%, 52%, and 54% of our total revenues were generated in the second half of each year. We believe this is due to increased activities in retail, healthcare and education in the second half of each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pPr>
      <w:r>
        <w:rPr>
          <w:rFonts w:ascii="Times New Roman;sans-serif" w:hAnsi="Times New Roman;sans-serif"/>
          <w:b/>
          <w:color w:val="000000"/>
          <w:sz w:val="20"/>
        </w:rPr>
        <w:t>Employees and Human Capital Resources</w:t>
      </w:r>
      <w:r>
        <w:rPr>
          <w:color w:val="EE2724"/>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employees and the culture we have established are the key to our success. As of December 31, 2023, we had 2,684 full-time employees. 46% of our employees are in various cost of revenue functions, 19% in research and development, 24% in sales and marketing and 11% in general and administrative. Our employee turnover for the last three years has averaged 8.8%.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key human capital measures and objectives that we focus on in managing our business are maintaining our company values, promoting our diversity and inclusion, our total rewards philosophy, our talent development, and our employees’ safety and wellness.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56"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Five9 Values - Bringing Passion and Purpose</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At Five9 we are focused on delivering success for our customers, partners and employees. Living our values everyday results in a unique and powerful culture that we call “winning culture” in which every member on our team is passionately committed to achieve collective success. This powerful team-first culture enables us to overcome obstacles and win year after year, while enjoying the journey together.</w:t>
      </w:r>
    </w:p>
    <w:p>
      <w:pPr>
        <w:pStyle w:val="TextBody"/>
        <w:bidi w:val="0"/>
        <w:spacing w:before="120" w:after="283"/>
        <w:jc w:val="left"/>
        <w:rPr/>
      </w:pPr>
      <w:r>
        <w:rPr/>
        <w:drawing>
          <wp:inline distT="0" distB="0" distL="0" distR="0">
            <wp:extent cx="5772150" cy="25527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5772150" cy="2552700"/>
                    </a:xfrm>
                    <a:prstGeom prst="rect">
                      <a:avLst/>
                    </a:prstGeom>
                  </pic:spPr>
                </pic:pic>
              </a:graphicData>
            </a:graphic>
          </wp:inline>
        </w:drawing>
      </w:r>
    </w:p>
    <w:p>
      <w:pPr>
        <w:pStyle w:val="TextBody"/>
        <w:bidi w:val="0"/>
        <w:spacing w:lineRule="auto" w:line="268" w:before="120" w:after="283"/>
        <w:ind w:left="0" w:right="0" w:firstLine="540"/>
        <w:jc w:val="left"/>
        <w:rPr/>
      </w:pPr>
      <w:r>
        <w:rPr>
          <w:rFonts w:ascii="Times New Roman;sans-serif" w:hAnsi="Times New Roman;sans-serif"/>
          <w:b w:val="false"/>
          <w:color w:val="000000"/>
          <w:sz w:val="20"/>
        </w:rPr>
        <w:t>Our values are woven throughout the entire employee lifecycle and used in the interview process</w:t>
      </w:r>
      <w:r>
        <w:rPr>
          <w:color w:val="000000"/>
        </w:rPr>
        <w:t xml:space="preserve"> </w:t>
      </w:r>
      <w:r>
        <w:rPr>
          <w:rFonts w:ascii="Times New Roman;sans-serif" w:hAnsi="Times New Roman;sans-serif"/>
          <w:b w:val="false"/>
          <w:color w:val="000000"/>
          <w:sz w:val="20"/>
        </w:rPr>
        <w:t>to ensure we hire candidates that have personal values that align with ours. Our values are instrumental in the semi-annual employee performance self-reflection cycle, and we request that employees share how they have lived our values. In addition, we regularly celebrate employees that live our values through recognition and rewards.</w:t>
      </w:r>
      <w:r>
        <w:rPr>
          <w:color w:val="000000"/>
        </w:rPr>
        <w:t xml:space="preserve"> </w:t>
      </w:r>
      <w:r>
        <w:rPr>
          <w:rFonts w:ascii="Times New Roman;sans-serif" w:hAnsi="Times New Roman;sans-serif"/>
          <w:b w:val="false"/>
          <w:color w:val="000000"/>
          <w:sz w:val="20"/>
        </w:rPr>
        <w:t>We introduce new employees to our values during new hire orientation and our values are visible in the offer package as well as company employee resource pages.</w:t>
      </w:r>
      <w:r>
        <w:rPr>
          <w:color w:val="000000"/>
        </w:rPr>
        <w:t xml:space="preserve"> </w:t>
      </w:r>
      <w:r>
        <w:rPr>
          <w:rFonts w:ascii="Times New Roman;sans-serif" w:hAnsi="Times New Roman;sans-serif"/>
          <w:b w:val="false"/>
          <w:color w:val="000000"/>
          <w:sz w:val="20"/>
        </w:rPr>
        <w:t>Our CEO also weaves these values into quarterly company meetings and regular smaller meetings, where one of the values may be highlighted through a story and employee example.</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regularly collect feedback to better understand and improve the employee experience and identify opportunities to continually strengthen our culture. 85% of our employees participated in our most recent employee survey in 2023. Last year we maintained the highest level of employee engagement according to our vendor, Culture Amp, as noted in its Engagement and Inclusion benchmark (top quartile) based upon responses from approximately 2,000 companies. Employees’ highest rated areas were the following: employee productivity (91%) and engagement (90%).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Diversity &amp; Inclusion at Five9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At Five9, we celebrate diversity and foster an inclusive environment by creating a culture where our employees can be their authentic selves. We integrate our core values of honesty and respect and lead with transparency and inclusivity. We are committed to building belonging in our workplace and society at large. Our goal is to empower our employees to have a voice that’s heard and foster a community where they feel they belong. Our recruiting programs support and encourage diversity. We recruit from various diversity organizations, including historically black colleges and universities, the Professional Diversity Network, Military 2 Career, Ability Careers, Asian Career Network, Women’s Career Channel, Black Career Network, LGBTQ+ Career Network, and Ihispano. In addition, we have several Employee Resource Groups, or ERGs, that are committed to diversity and creating and fostering a culture of inclusion. Our ERGs include Women In Tech, Blatinx, Veterans, Five9 Faith, APIDA and Pride @ Five9. We have implemented an annual ERG leadership summit where our ERG leader’s share ideas and the HR People team shares current Diversity and Inclusion initiatives for feedback and to foster partnership.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Women represented 31% of our worldwide employees and racial and ethnic minorities represented 31% of our U.S. employees as of December 31, 2023. Women and ethnic minorities each represented 27% and 9%, respectively, of our executive leadership team and 22% and 11%, respectively, of our Board of Directors, or Board, as of December 31, 2023.</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Total Rewards Philosophy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rewards philosophy is a comprehensive approach designed to attract, engage, and retain the best talent in our industry by providing a total rewards package that is at or above market rates and, in cases where business demands are unique, we may lead the competitive market. This philosophy is rooted in our understanding that our employees are the cornerstone of our success and that their well-being and satisfaction are paramount to our sustained growth and market leadership.</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Central to our philosophy is the principle of equity and inclusivity. We strive to ensure that our rewards system is fair and transparent. This approach fosters a sense of belonging and commitment among our workforce, driving engagement and productivity.</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rewards philosophy reflects our commitment to creating a supportive and empowering environment for our employees, where they can thrive professionally and personally. By investing in our people in this way, we not only enhance individual well-being but also drive organizational performance and stakeholder value, securing our position as a leader in our industry.</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rewards system encompasses not just competitive cash compensation, but a holistic package that addresses the diverse needs of our workforce. This includes healthcare benefits, mental health benefits to employees and their dependents, financial and physical well-being programs, parental leave, fertility reimbursement, retirement plans, performance bonuses, equity awards, and work-life balance initiatives.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total rewards strategy is dynamic and responsive to the changing marketplace and workforce demographics. We regularly benchmark our offerings against prevailing industry practices to ensure we remain competitive and appealing as an employer. Additionally, we embrace a culture of continuous feedback, allowing us to adapt and refine our rewards in alignment with employee needs and business objectives.</w:t>
      </w:r>
    </w:p>
    <w:p>
      <w:pPr>
        <w:pStyle w:val="TextBody"/>
        <w:bidi w:val="0"/>
        <w:spacing w:lineRule="auto" w:line="276"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Talent Development</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Talent development is a pivotal element of our organizational strategy and is essential for maintaining our competitive advantage in a dynamic global market. We are deeply committed to the growth of our employees, as evidenced by our multifaceted talent development programs.</w:t>
      </w:r>
      <w:r>
        <w:rPr>
          <w:color w:val="000000"/>
        </w:rPr>
        <w:t xml:space="preserve"> </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Our Leadership Principles guide the cultivation of a forward-thinking and agile leadership pipeline at all levels within our organization. Leadership Principles inform our Talent Acquisition, Learning and Development and Performance Management practices to ensure we identify, grow and develop the right leadership skills for the future.</w:t>
      </w:r>
      <w:r>
        <w:rPr>
          <w:color w:val="000000"/>
        </w:rPr>
        <w:t xml:space="preserve"> </w:t>
      </w:r>
      <w:r>
        <w:rPr>
          <w:rFonts w:ascii="Times New Roman;sans-serif" w:hAnsi="Times New Roman;sans-serif"/>
          <w:b w:val="false"/>
          <w:color w:val="000000"/>
          <w:sz w:val="20"/>
        </w:rPr>
        <w:t>Our talent review process focuses on identifying employees that are high potential and high performing.</w:t>
      </w:r>
    </w:p>
    <w:p>
      <w:pPr>
        <w:pStyle w:val="TextBody"/>
        <w:bidi w:val="0"/>
        <w:spacing w:lineRule="auto" w:line="288" w:before="120" w:after="283"/>
        <w:ind w:left="0" w:right="0" w:firstLine="540"/>
        <w:jc w:val="left"/>
        <w:rPr/>
      </w:pPr>
      <w:r>
        <w:rPr>
          <w:rFonts w:ascii="Times New Roman;sans-serif" w:hAnsi="Times New Roman;sans-serif"/>
          <w:b w:val="false"/>
          <w:color w:val="000000"/>
          <w:sz w:val="20"/>
        </w:rPr>
        <w:t>We believe learning happens at every part of an employee’s tenure at our company. We continuously strengthen our onboarding practices to ensure employees have the skillset to be successful in their jobs. To support ongoing in-role development, we have semi-annual development conversations between employees and managers to ensure employees have individualized career discussions that align both with organizational goals and the employee’s professional development. We also make learning pathways available through a platform where all employees can take courses to grow their skillsets.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By investing in our Leadership Principles, employee onboarding, ongoing development, and talent reviews, we create a dynamic and resilient workforce, poised to drive innovation and growth. </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Workplace Practices and Policies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committed to providing a workplace free of harassment or discrimination based on race, color, religion, sex, sexual orientation, gender identity, national origin, disability, veteran status, caste or other legally protected characteristic. We are an equal opportunity employer committed to inclusion and diversity.</w:t>
      </w:r>
    </w:p>
    <w:p>
      <w:pPr>
        <w:pStyle w:val="TextBody"/>
        <w:bidi w:val="0"/>
        <w:spacing w:lineRule="auto" w:line="288" w:before="120" w:after="283"/>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 xml:space="preserve">Environmental Sustainability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committed to reducing workplace-related resource consumption through our site selection, facilities design and energy procurement practices through our landlords, to ensure our corporate responsibility goals are achieved. We participate in building sustainability by occupying LEED certified and 5-Star NABERS Energy Rated multi-tenant buildings. Our corporate headquarters offers a transportation program to cut down on emissions. We have made strides in reducing energy consumption by upgrading our lighting system and installing motion sensors for lighting and convenience electrical outlets. To reduce waste, we use source compostable/recyclable kitchen products, centralized waste collection with an emphasis on recycling, established an E-waste program, implemented software tools to minimize printing waste and reduce equipment and toner purchases, and expanded our battery recycling program to include work-related and personal battery recycling.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committed to complying with California’s climate legislation, SB-253 and SB-261. This commitment involves the reporting to Scope 1, 2, and 3 emissions within the mandated reporting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Regulatory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important, but not all, federal, state and foreign regulations that could impact our operations. Federal and state regulations are subject to judicial review, administrative revision and statutory changes through legislation that could materially affect how we and others in this industry operate.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Telecommunications Act of 1996 vests the Federal Communications Commission, or FCC, with jurisdiction over interstate telecommunications services, while preserving state and local jurisdiction over many aspects of these services. As a result, telecommunications services are regulated at both the federal and state levels in the United States.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classified as a telecommunications service provider for federal regulatory purposes. Since our business is regulated by the FCC, we are subject to existing or potential FCC regulations relating to privacy, disability access, Enhanced 911 access, access to and porting of numbers, automatic number dialing, contributions to the federal Universal Service Fund and related funds, or USF, and other requirements. If we do not comply with FCC rules and regulations, we could be subject to FCC enforcement actions, fines and possibly restrictions on our ability to operate or offer certain of our services. Any enforcement action by the FCC, which may be a public process, would hurt our reputation in the industry, possibly impair our ability to sell our services to clients and could harm our business and results of operations. The Federal Trade Commission, or FTC, also has jurisdiction over some of our business practices, including advertising, trade practices, privacy and telemarketing. If we do not comply with FTC rules and regulations, we could be subject to an FTC enforcement action, fines or restrictions on our business practices.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must comply with numerous federal regulations, including:</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Telephone Consumer Protection Act of 1991, or TCPA, which regulates the use of automatic dialing equipment and pre-recorded messages to contact consumers, and the Telemarketing Sales Rule, which has similar obligations as to telemarketing activities;</w:t>
      </w:r>
    </w:p>
    <w:p>
      <w:pPr>
        <w:pStyle w:val="TextBody"/>
        <w:bidi w:val="0"/>
        <w:spacing w:lineRule="auto" w:line="276" w:before="0" w:after="0"/>
        <w:ind w:left="0" w:right="0" w:hanging="270"/>
        <w:jc w:val="left"/>
        <w:rPr/>
      </w:pPr>
      <w:r>
        <w:rPr>
          <w:color w:val="000000"/>
        </w:rPr>
        <w:t>•</w:t>
      </w:r>
      <w:r>
        <w:rPr>
          <w:rFonts w:ascii="Times New Roman;sans-serif" w:hAnsi="Times New Roman;sans-serif"/>
          <w:b w:val="false"/>
          <w:color w:val="000000"/>
          <w:sz w:val="20"/>
        </w:rPr>
        <w:t>the TRACED Act and corresponding regulations from the FCC, which require carriers to authenticate incoming calls using the STIR/SHAKEN caller ID framework and correspondingly compels providers of telecommunications services to implement capabilities to certify as authentic the traffic they provide to those carriers and to block transmission of certain calls;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CALEA, which requires telecommunications service providers to assist law enforcement in undertaking electronic surveillance;</w:t>
      </w:r>
    </w:p>
    <w:p>
      <w:pPr>
        <w:pStyle w:val="TextBody"/>
        <w:bidi w:val="0"/>
        <w:spacing w:lineRule="auto" w:line="276" w:before="0" w:after="0"/>
        <w:ind w:left="0" w:right="0" w:hanging="270"/>
        <w:jc w:val="left"/>
        <w:rPr/>
      </w:pPr>
      <w:r>
        <w:rPr>
          <w:color w:val="000000"/>
        </w:rPr>
        <w:t>•</w:t>
      </w:r>
      <w:r>
        <w:rPr>
          <w:rFonts w:ascii="Times New Roman;sans-serif" w:hAnsi="Times New Roman;sans-serif"/>
          <w:b w:val="false"/>
          <w:color w:val="000000"/>
          <w:sz w:val="20"/>
        </w:rPr>
        <w:t>enhanced 911 rules, KARI’s Law and RAY BAUM’s Act, which, in certain circumstances, require telecommunications service providers to ensure their users can directly dial 911 emergency services and, if technically feasible, automatically convey dispatchable location information with the call;</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contributions to the USF, which requires that we pay a percentage of our revenues resulting from the provision of interstate and some international telecommunications services to support certain federal programs;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payment of annual FCC regulatory fees based on our interstate and international revenues;</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rules pertaining to access to our services by people with disabilities and contributions to the Telecommunications Relay Services fund;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 xml:space="preserve">FCC rules regarding Customer Proprietary Network Information, or CPNI, which require that we limit disclosure of certain information received from customers as a result of a service provider/customer relationship without customer approval, subject to certain exceptions; </w:t>
      </w:r>
    </w:p>
    <w:p>
      <w:pPr>
        <w:pStyle w:val="TextBody"/>
        <w:bidi w:val="0"/>
        <w:spacing w:lineRule="auto" w:line="288" w:before="60" w:after="283"/>
        <w:ind w:left="0" w:right="0" w:hanging="270"/>
        <w:jc w:val="left"/>
        <w:rPr/>
      </w:pPr>
      <w:r>
        <w:rPr>
          <w:color w:val="000000"/>
        </w:rPr>
        <w:t>•</w:t>
      </w:r>
      <w:r>
        <w:rPr>
          <w:rFonts w:ascii="Times New Roman;sans-serif" w:hAnsi="Times New Roman;sans-serif"/>
          <w:b w:val="false"/>
          <w:color w:val="000000"/>
          <w:sz w:val="20"/>
        </w:rPr>
        <w:t>Federal Trade Commission Act and rules promulgated thereunder, which generally relate to avoiding unfair and deceptive trade practices, our advertising, use and deployment of certain AI-based services, and privacy practices; and</w:t>
      </w:r>
    </w:p>
    <w:p>
      <w:pPr>
        <w:pStyle w:val="TextBody"/>
        <w:bidi w:val="0"/>
        <w:spacing w:lineRule="auto" w:line="268" w:before="0" w:after="0"/>
        <w:ind w:left="0" w:right="0" w:hanging="270"/>
        <w:jc w:val="left"/>
        <w:rPr/>
      </w:pPr>
      <w:r>
        <w:rPr>
          <w:color w:val="000000"/>
        </w:rPr>
        <w:t>•</w:t>
      </w:r>
      <w:r>
        <w:rPr>
          <w:rFonts w:ascii="Times New Roman;sans-serif" w:hAnsi="Times New Roman;sans-serif"/>
          <w:b w:val="false"/>
          <w:color w:val="000000"/>
          <w:sz w:val="20"/>
        </w:rPr>
        <w:t xml:space="preserve">state privacy laws require compliance with privacy frameworks and include disclosure obligations to consumers for whom we hold or process personal data including, but not limited to: </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California Consumer Privacy Act of 2018, as amended by the California Privacy Rights Act of 2020, or the CCPA, which took effect on January 1, 2023;</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 xml:space="preserve">Virginia Consumer Data Protection Act, or the VCDPA, which took effect on January 1,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Colorado Privacy Act, or the CPA, which took effect on July 1, 2023;</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Connecticut Data Privacy Act, or CDPA, which took effect on July 1, 2023; and</w:t>
      </w:r>
    </w:p>
    <w:p>
      <w:pPr>
        <w:pStyle w:val="TextBody"/>
        <w:bidi w:val="0"/>
        <w:spacing w:lineRule="auto" w:line="288" w:before="0" w:after="0"/>
        <w:ind w:left="0" w:right="0" w:hanging="270"/>
        <w:jc w:val="left"/>
        <w:rPr/>
      </w:pPr>
      <w:r>
        <w:rPr>
          <w:color w:val="000000"/>
        </w:rPr>
        <w:t>◦</w:t>
      </w:r>
      <w:r>
        <w:rPr>
          <w:rFonts w:ascii="Times New Roman;sans-serif" w:hAnsi="Times New Roman;sans-serif"/>
          <w:b w:val="false"/>
          <w:color w:val="000000"/>
          <w:sz w:val="20"/>
        </w:rPr>
        <w:t xml:space="preserve">Utah Consumer Privacy Act, or the UCPA, which took effect on December 31, 2023.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we must make contributions and other payments on our usage-based fees to state and local governmental entities. The tax and fee structure for communications services such as ours is complex, ambiguous and subject to interpretation. If taxing and regulatory authorities enact new rules or regulations or expand their interpretations of existing rules and regulations, we could incur additional liabilities. The amount that we are required to pay under certain of these tax and regulatory structures also continues to increase as a percentage of our telecommunications revenues. The collection of additional taxes, fees or surcharges in the future could increase our prices or reduce our profit margins. Compliance with these regulations may also make us less competitive with those competitors who are not subject to, or choose not to comply with, these regulations. See Note 10 of the notes to the consolidated financial statements under ITEM 8 of this Form 10-K for a discussion of our potential liability related to USF matters.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we expand internationally, we will be subject to laws and regulations in the countries in which we offer our services. Regulation of the solutions we provide outside the U.S. varies from country to country, is often unclear, and may be more onerous than those imposed on our services in the U.S. For example, in the European Union, the General Data Protection Regulation, or the GDPR, requires companies to meet new and extended requirements regarding the processing of personal data. Non-compliance with the GDPR can trigger steep fines of up to €20 million or 4% of total worldwide annual turnover, whichever is higher. In addition, among other comprehensive privacy laws around the world, we are subject to the UK’s Data Protection Act, Canada’s Personal Information Protection and Electronic Documents Act, or PIPEDA, and analogous provincial laws, and emerging U.S. state privacy laws, which collectively impose similar data privacy and security obligations on our processing of personal data. Our regulatory obligations in foreign jurisdictions could impact the use or cost of our solution in international locations as data protection and privacy laws and regulations around the world continue to evolve, and which may also address the use of certain types of AI-based systems and solutions within their scope.</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have defined and implemented a layered information governance program comprising a defined framework of policies, operational processes and controls. Our framework was developed using international, sector or "data type" specific standards including, but not limited to: </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International Organization for Standardization - ISO 27001:2013 Information Security Management Systems Standard;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Payment Card Industry Data Security Standard. PCI DSS 3.2;</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AICPA - System and Organization Controls SOC 2, Type 2 Security and Availability criteria;</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Health Insurance Portability and Accountability Act (HIPAA) that is designed to protect the privacy and security of protected health information (PHI);</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ISO 27017 - Information technology – Security techniques – Code of practice for information security controls based on ISO/IEC 27002 for cloud services;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ISO 27018 - Information technology — Security techniques — Code of practice for protection of personally identifiable information (PII) in public clouds acting as PII processors; and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 xml:space="preserve">NIST 800-53 Rev 5 - Security and Privacy Controls for Information Systems and Organizations. </w:t>
      </w:r>
    </w:p>
    <w:p>
      <w:pPr>
        <w:pStyle w:val="TextBody"/>
        <w:bidi w:val="0"/>
        <w:spacing w:lineRule="auto" w:line="268" w:before="120" w:after="283"/>
        <w:ind w:left="0" w:right="0" w:firstLine="547"/>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component of our framework is that it evolves based on the changing needs of our business, customer and regulatory framework requirements. Additionally, our framework is subject to annual independent verification audits performed by qualified and experienced external third parties who issue to us SOC 2 Type 2, PCI AOC, and HIPAA HiTech attestation reports, and who certify us to the ISO 27001:2013 Information Security Management System standard.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legislative and regulatory scheme, as well as the information governance programs, relevant to telecommunications service providers and other solutions we provide will continue to evolve and can be expected to change the competitive environment for these services. It is not possible to predict how such evolution and changes will affect our business or our industry. If we do not comply with current or future rules or regulations that apply to our business, we could be subject to substantial fines and penalties, we may have to restructure our service offerings,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exit certain markets, accept lower margins or raise the price of our services, any of which could harm our business and results of operations. See “Risk Factors — Risks Related to Regulatory Matters” under ITEM 1A of this Form 10-K for more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Company Information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were incorporated in Delaware in 2001. We operate in a single reportable segment. Our principal executive office is located at 3001 Bishop Drive, Suite 350, San Ramon, CA 94583 and our telephone number is (925) 201-2000. Our website address is www.five9.com. Our website and the information contained therein or connected thereto shall not be deemed to be incorporated into this annual report on Form 10-K. We own or have rights to trademarks or trade names that we use in connection with the operation of our business, including our corporate names, logos and domain names. In addition, we own or have the rights to copyrights, trade secrets and other proprietary rights that protect the content of our solution. Solely for convenience, some of the copyrights, trademarks and trade names referred to in this annual report on Form 10-K are listed without ©, ® and ™ symbols, but we own and will assert, to the fullest extent under applicable law, our rights to our copyrights, trademarks and trade names.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Available Information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annual report on Form 10-K, quarterly reports on Form 10-Q, current reports on Form 8-K, proxy and information statements and amendments to reports are filed with, or furnished to, the United States Securities and Exchange Commission, or SEC, pursuant to the Securities Exchange Act of 1934, as amended, or the Exchange Act. The SEC maintains a website at https://www.sec.gov that contains reports, proxy and information statements and other information regarding Five9 and other companies that file materials with the SEC electronically. Copies of our reports on Form 10-K, Forms 10-Q and Forms 8-K, and amendments thereto, may be obtained, free of charge, electronically through our internet website, http://investors.five9.com/sec.cfm as soon as reasonably practicable after such material is filed electronically with, or furnished to, the SEC. The information on our website is not a part of, or incorporated by reference into,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Our operations and financial results are subject to various risks and uncertainties. You should consider carefully the risks and uncertainties described below, together with all of the other information in this report. If any of the following risks or other risks actually occur, our business, financial condition, results of operations, and future prospects could be materially harmed, and the price of our common stock could decline.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 Factors Summary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principal risks that could adversely affect our business, financial condition, results of operations, and future prospects.</w:t>
      </w:r>
    </w:p>
    <w:p>
      <w:pPr>
        <w:pStyle w:val="TextBody"/>
        <w:bidi w:val="0"/>
        <w:spacing w:lineRule="auto" w:line="276" w:before="120" w:after="283"/>
        <w:ind w:left="0" w:right="0" w:hanging="360"/>
        <w:jc w:val="left"/>
        <w:rPr/>
      </w:pPr>
      <w:r>
        <w:rPr>
          <w:color w:val="000000"/>
        </w:rPr>
        <w:t>•</w:t>
      </w:r>
      <w:r>
        <w:rPr>
          <w:rFonts w:ascii="Times New Roman;sans-serif" w:hAnsi="Times New Roman;sans-serif"/>
          <w:b w:val="false"/>
          <w:color w:val="000000"/>
          <w:sz w:val="20"/>
        </w:rPr>
        <w:t>Adverse economic conditions, including the impact of macroeconomic deterioration, including continued inflation, increased interest rates, supply chain disruptions, decreased economic output and fluctuations in currency rates, the impact of the Russia-Ukraine conflict, the impact of the conflict in Israel, and other factors, may continue to harm our business.</w:t>
      </w:r>
    </w:p>
    <w:p>
      <w:pPr>
        <w:pStyle w:val="TextBody"/>
        <w:bidi w:val="0"/>
        <w:spacing w:lineRule="auto" w:line="276" w:before="40" w:after="283"/>
        <w:ind w:left="0" w:right="0" w:hanging="360"/>
        <w:jc w:val="left"/>
        <w:rPr/>
      </w:pPr>
      <w:r>
        <w:rPr>
          <w:color w:val="000000"/>
        </w:rPr>
        <w:t>•</w:t>
      </w:r>
      <w:r>
        <w:rPr>
          <w:rFonts w:ascii="Times New Roman;sans-serif" w:hAnsi="Times New Roman;sans-serif"/>
          <w:b w:val="false"/>
          <w:color w:val="000000"/>
          <w:sz w:val="20"/>
        </w:rPr>
        <w:t xml:space="preserve">If we are unable to attract new clients or sell additional services and functionality to our existing clients, our revenue and revenue growth will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If our existing clients terminate their subscriptions or reduce their subscriptions and related usage, or fail to grow subscriptions at the rate they have in the past or that we might expect, our revenues and gross margins will be harmed, and we will be required to spend more money to grow our client base.</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If we fail to manage our technical operations infrastructure, our existing clients may experience service outages, our new clients may experience delays in the deployment of our solution and we could be subject to, among other things, claims for credits or damages.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established, and are continuing to increase, our network of technology solution distributors and resellers to sell our solution; our failure to effectively develop, manage, and maintain this network could materially harm our revenues.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Our quarterly and annual results may fluctuate significantly, including as a result of the timing and success of new product and feature introductions by us, may not fully reflect the underlying performance of our business and may result in decreases in the price of our common stock. </w:t>
      </w:r>
    </w:p>
    <w:p>
      <w:pPr>
        <w:pStyle w:val="TextBody"/>
        <w:bidi w:val="0"/>
        <w:spacing w:lineRule="auto" w:line="268" w:before="40" w:after="283"/>
        <w:ind w:left="0" w:right="0" w:hanging="360"/>
        <w:jc w:val="left"/>
        <w:rPr/>
      </w:pPr>
      <w:r>
        <w:rPr>
          <w:color w:val="000000"/>
        </w:rPr>
        <w:t>•</w:t>
      </w:r>
      <w:r>
        <w:rPr>
          <w:rFonts w:ascii="Times New Roman;sans-serif" w:hAnsi="Times New Roman;sans-serif"/>
          <w:b w:val="false"/>
          <w:color w:val="000000"/>
          <w:sz w:val="20"/>
        </w:rPr>
        <w:t xml:space="preserve">Our historical growth may not be indicative of our future growth, and even if we continue to grow rapidly, we may fail to manage our growth effectively.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Failure to adequately retain and expand our sales force will impede our growth.</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Further development of our AI solutions may not be successful and may result in reputational harm and our future operating results could be materially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The AI technology and features incorporated into our solution include new and evolving technologies that may present both legal and business risks.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use of AI by our workforce may present risks to our business.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contact center software solutions market is subject to rapid technological change, and we must develop and sell incremental and new solutions in order to maintain and grow our business.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continue to expand our international operations, which exposes us to significant macroeconomic and other risks.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Security breaches and improper access to, use of, or disclosure of our data or our clients’ data, or other cyber attacks on our systems, could result in litigation and regulatory risk, harm our reputation, our business or financial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have a history of losses and we may be unable to achieve or sustain profitability.</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Our stock price has been volatile, may continue to be volatile and may decline, including due to factors beyond our control.</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We may not be able to secure additional financing on favorable terms, or at all, to meet our future capital needs.</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Failure to comply with laws and regulations could harm our business and our reputation. </w:t>
      </w:r>
    </w:p>
    <w:p>
      <w:pPr>
        <w:pStyle w:val="TextBody"/>
        <w:bidi w:val="0"/>
        <w:spacing w:lineRule="auto" w:line="288" w:before="40" w:after="283"/>
        <w:ind w:left="0" w:right="0" w:hanging="360"/>
        <w:jc w:val="left"/>
        <w:rPr/>
      </w:pPr>
      <w:r>
        <w:rPr>
          <w:color w:val="000000"/>
        </w:rPr>
        <w:t>•</w:t>
      </w:r>
      <w:r>
        <w:rPr>
          <w:rFonts w:ascii="Times New Roman;sans-serif" w:hAnsi="Times New Roman;sans-serif"/>
          <w:b w:val="false"/>
          <w:color w:val="000000"/>
          <w:sz w:val="20"/>
        </w:rPr>
        <w:t xml:space="preserve">We may not have sufficient cash to service our convertible senior notes and repay such notes, if required.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Financial Results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quarterly and annual results may fluctuate significantly, may not fully reflect the underlying performance of our business and may result in decreases in the price of our common stock.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quarterly and annual results of operations, including our revenues, profitability and cash flow have varied, and may vary significantly in the future, and period-to-period comparisons of our operating results may not be meaningful. Accordingly, the results of any one quarter or period, or series of quarters or periods, should not be relied upon as an indication of future performance. Our quarterly and annual financial results may fluctuate as a result of a variety of factors, many of which are outside our control and, as a result, may not fully reflect the underlying performance of our business. Fluctuation in quarterly and annual results may harm the value of our common stock. Factors that may cause fluctuations in our quarterly and annual results include, without limitation: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market acceptance of our solution, including new features and AI components that are added to our solution;</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if our existing clients terminate their subscriptions or reduce their subscriptions and related usage, or fail to grow subscriptions at the rate they have in the past or that we expect;</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adverse economic conditions, including the impact of macroeconomic deterioration, including continued inflation, increased interest rates, supply chain disruptions, decreased economic output and fluctuations in currency rates, the impact of the Russia-Ukraine conflict, the impact of the conflict in Israel, or other factors;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attract new clients and grow our business with existing clients;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client renewal rates;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client attrition rates;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network outages or security incidents, which may result in additional expenses or losses, legal or regulatory actions, the loss of clients, the provision of client credits, and harm to our reputation;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our ability to make technological advancements, add more features to our solution, and integrate those features within our client’s technology infrastructure;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adequately expand our sales and service team;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acquire and maintain strategic and client relationships;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and success of new product and feature introductions by us or our competitors or any other change in the competitive dynamics of our industry, including consolidation, partnership or collaboration among competitors, clients or strategic partners;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successfully integrate companies, businesses and technology that we acquire and achieve a positive return on our investment;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amount and timing of costs and expenses related to the maintenance and expansion of our business, operations and infrastructure;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seasonal factors that tend to cause our revenues in the first half of a year to be relatively lower than our revenues in the second half of a year;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inaccessibility or failure of our cloud contact center software due to failures in the products or services provided by third parties;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amount and timing of costs and expenses related to our research and development efforts or in the acquisition of technologies or businesses and potential future charges for impairment of goodwill from acquired companies;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ability to expand, and effectively utilize, our network of technology solution distributors, resellers and systems integrators;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timing of recognition of revenues under current and future GAAP;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changes in our pricing policies or those of our competitors;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increases or decreases in the costs to provide our solution or pricing changes upon any renewals of client agreements;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level of professional services and support we provide our clients;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addition or loss of key clients, including through acquisitions or consolidations;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compliance with, or changes in, the current and future domestic and international regulatory environment;</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hiring, training and retention of key employees;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outcome of litigation or other claims against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ability to expand internationally, and to do so profitability;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our ability to obtain additional financing on acceptable terms if and when needed;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timing of expenses related to any future acquisition transactions; and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advances and trends in new technologies and industry standards.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Because a significant percentage of our revenue is derived from existing clients, downturns or upturns in new sales will not be immediately reflected in our operating results and may be difficult to discern.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generally recognize subscription revenue from clients monthly as services are delivered. As a result, the vast majority of the subscription revenue we report in each quarter is derived from existing clients. Consequently, a decline in new subscriptions in any single quarter will likely have only a small impact on our revenue results for that quarter. However, the cumulative impact of such declines could negatively impact our business and results of operations in future quarters. Accordingly, the effect of potential changes in our pricing policies or renewal rates, and significant downturns in sales, number of agent seats, market acceptance and implementation of our solution, within our installed base or from new clients, including as a result of the impact of macroeconomic deterioration, continued inflation, increased interest rates, decreased economic output and fluctuations in currency exchange rates, will typically not be reflected in our results of operations until future periods. For example, our installed base business, which typically contributes approximately half of our annual revenue growth, continues to experience macroeconomic headwinds. We also may be unable to adjust our cost structure to reflect the changes in revenue, resulting in lower margins and earnings. In addition, our subscription model makes it difficult for us to rapidly increase our revenue through additional sales in any period, as revenue from new clients will be recognized over time as services are delivered. Moreover, many of our clients initially deploy our solution to support only a portion of their contact center agents and, therefore, we may not generate significant revenue from these new clients at the outset of our relationship, if at all. Any increase to our revenue and the value of these existing client relationships will only be reflected in our results of operations as subscription revenue is recognized, and if and when these clients increase the number of agent seats and the number of components of our solution they deploy over time.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Shifts over time or from quarter-to-quarter in the mix of sizes or types of organizations that purchase our solution could affect our gross margins and operating results.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strategy is to sell our solution to both smaller and larger organizations. Our gross margins can vary depending on numerous factors related to the implementation and use of our solution, including the features and number of agent seats purchased by our clients, the increasing reliance on public cloud providers, and the level of usage and professional services and support required by our clients. For example, our larger clients typically require more professional services, and because our professional services offerings typically have lower margins, any increase in sales of professional services could harm our gross margins and operating results. We also have lower margins on our usage revenues. Sales to larger organizations may also entail longer sales cycles and more significant selling efforts and expense. Selling to smaller clients may involve smaller contract sizes, fewer opportunities to sell additional services, a higher likelihood of contract terminations, lower returns on sales and marketing expense, fewer potential agent seats and greater credit risk and uncertainty. If the mix of organizations that purchase our solution changes, our revenues and gross margins could decrease, and our operating results could be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a history of losses and we may be unable to achieve or sustain profitability.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incurred losses in each annual period since our inception in 2001. We incurred net losses of $81.8 million, $94.7 million and $53.0 million for the years ended December 31, 2023, 2022 and 2021, respectively. As of December 31, 2023, we had an accumulated deficit of $404.9 million. These losses and our accumulated deficit reflect the substantial investments we have made, and continue to make, to develop our solution and acquire new clients, among other expenses. We expect the dollar amount of our costs and expenses to increase in the future as revenue increases, although at a slower rate. We expect our losses to continue for the foreseeable future as we continue to invest in sales and marketing and research and development and expand our business. In addition, as a public company, we incur significant legal, accounting and other expenses. Our historical or recent growth in revenues is not necessarily indicative of our future performance. Accordingly, there is no assurance that we will achieve profitability in the future or that, if we do become profitable, we will sustain profitability.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Growth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historical growth may not be indicative of our future growth, and if we continue to grow rapidly, we may fail to manage our growth effectively.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years ended December 31, 2023, 2022 and 2021, our revenues were $910.5 million, $778.8 million and $609.6 million, respectively, representing year-over-year growth of 17% and 28%, respectively. In the future, as our revenue increases, our annual revenue growth rate may decline. We believe our revenue growth will depend on a number of factors, including our ability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compete with other vendors of cloud-based enterprise contact center systems, including recent market entrants, and with providers of legacy on-premise systems;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 our existing clients’ use of our solution, including additional and new features of our solution;</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 xml:space="preserve">maintain our existing clients and their level of subscriptions and related usage, and grow subscriptions within our existing client base;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respond to adverse economic conditions, including the impact of macroeconomic deterioration, including continued inflation, increased interest rates, supply chain disruptions, decreased economic output and fluctuations in currency rates, the impact of the Russia-Ukraine conflict, the impact of the conflict in Israel, or other factors;</w:t>
      </w:r>
    </w:p>
    <w:p>
      <w:pPr>
        <w:pStyle w:val="TextBody"/>
        <w:bidi w:val="0"/>
        <w:spacing w:lineRule="auto" w:line="288" w:before="0" w:after="0"/>
        <w:ind w:left="0" w:right="0" w:hanging="360"/>
        <w:jc w:val="left"/>
        <w:rPr/>
      </w:pPr>
      <w:r>
        <w:rPr>
          <w:color w:val="000000"/>
        </w:rPr>
        <w:t xml:space="preserve">• </w:t>
      </w:r>
      <w:r>
        <w:rPr>
          <w:rFonts w:ascii="Times New Roman;sans-serif" w:hAnsi="Times New Roman;sans-serif"/>
          <w:b w:val="false"/>
          <w:color w:val="000000"/>
          <w:sz w:val="20"/>
        </w:rPr>
        <w:t>respond to general macro economic factors and industry and market conditions;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further develop our partner ecosystem;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strengthen and improve our solution through significant investments in research and development and the introduction of new and enhanced features and functionality, such as our AI enabled automation features;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introduce our solution to new markets outside the United States and increase global awareness of our brand;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selectively pursue acquisitions that enhance our solution offerings.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are not successful in achieving these objectives, our ability to grow our revenue may be harmed. In addition, we plan to continue to invest in future growth, including expending substantial financial and other resources on: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sales and marketing, including a significant expansion of our sales and professional services organization;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technology infrastructure, including systems architecture, management tools, scalability, availability, performance and security, as well as disaster recovery measures;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solution development, including investments in our solution development team, the development of new solutions and in the acquisition of companies and technologies to enhance our solution, as well as new applications and features for our existing solution;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international expansion;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general administration, including legal, regulatory compliance and accounting expenses. </w:t>
      </w:r>
    </w:p>
    <w:p>
      <w:pPr>
        <w:pStyle w:val="TextBody"/>
        <w:bidi w:val="0"/>
        <w:spacing w:lineRule="auto" w:line="276" w:before="120" w:after="283"/>
        <w:ind w:left="0" w:right="0" w:firstLine="495"/>
        <w:jc w:val="left"/>
        <w:rPr/>
      </w:pPr>
      <w:r>
        <w:rPr>
          <w:rFonts w:ascii="Times New Roman;sans-serif" w:hAnsi="Times New Roman;sans-serif"/>
          <w:b w:val="false"/>
          <w:color w:val="000000"/>
          <w:sz w:val="20"/>
        </w:rPr>
        <w:t>Moreover, we continue to expand our headcount and operations. We grew from 1,549 employees as of December 31, 2020, to 2,138 employees as of December 31, 2021, to 2,380 employees as of December 31, 2022, and to 2,684 employees as of December 31, 2023. We anticipate that we will continue to expand our operations and headcount in the near term and beyond in accordance with our overall strategy and taking into consideration macroeconomic conditions. This growth has placed, and future growth will place, a significant strain on our management, administrative, operational and financial resources, company culture and infrastructure. For example, we have continued to expand our international operations, including the formation of new legal entities, which will increase the complexity of our operations, administration and infrastructure.</w:t>
      </w:r>
      <w:r>
        <w:rPr>
          <w:color w:val="000000"/>
        </w:rPr>
        <w:t xml:space="preserve"> </w:t>
      </w:r>
      <w:r>
        <w:rPr>
          <w:rFonts w:ascii="Times New Roman;sans-serif" w:hAnsi="Times New Roman;sans-serif"/>
          <w:b w:val="false"/>
          <w:color w:val="000000"/>
          <w:sz w:val="20"/>
        </w:rPr>
        <w:t xml:space="preserve">Our success will depend in part on our ability to manage this growth effectively while retaining personnel. To manage the expected growth of our operations and personnel, we will need to continue to improve our operational, financial and management controls and our reporting systems and procedures. Failure to effectively manage growth could result in difficulties or delays in adding new clients, declines in quality or client satisfaction, increases in costs, system failures, difficulties in introducing new features or solutions, the need for more capital than we anticipate or other operational difficulties, and any of these difficulties could harm our business performance and results of operations.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expected addition of new employees, particularly outside the United States, and the capital investments that we anticipate will be necessary to help us grow and to manage that growth will make it more difficult for us to generate earnings or offset any future revenue shortfalls by reducing costs and expenses in the short term. If we fail to manage our anticipated growth, we will be unable to execute our business plan successfully.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growth depends in part on the success of our strategic relationships with third parties and our failure to successfully maintain, grow and manage these relationships could harm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leverage strategic relationships with third parties, such as CRM providers, WEM providers, systems integrators, telephony and other technology providers. For example, our relationship with CRM providers and systems integrators provide significant lead generation for new client opportunities. These relationships are typically not exclusive and our partners often also offer products of our competitors. As we grow our business, we will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continue to depend on both existing and new strategic relationships. Our competitors may be more successful than we are in establishing or expanding relationships with third parties or may provide incentives to third parties to favor their products over our solution. Our competitors may also have deeper or broader relationships with third parties, including a broader suite of products that are outside our core markets, that could give these competitors an advantage in establishing and maintaining relationships with these third parties. These strategic partners may cease to recommend our solution to prospective clients due to actual or perceived lack of features, technological or security issues or failures, reputational concerns, economic incentives, or other factors, which would harm our business, financial condition and operations. Furthermore, there has and continues to be a significant amount of consolidation in our industry and adjacent industries, and if our partners are acquired, fail to work effectively with us or go out of business, they may no longer support or promote our solution, or may be less effective in doing so, which could harm our business, financial condition and operations. If we are unsuccessful in establishing or maintaining our strategic relationships with third parties, or these partners fail to recommend our solution, our ability to compete in the marketplace or to grow our revenues could be impaired and our operating results may suffer. Even if we are successful, we cannot assure you that these relationships will result in increased client usage of our solution or increased 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identifying new partners, and negotiating and documenting relationships with them, requires significant time and resources. As the complexity of our solution and our third-party relationships increases, the management of those relationships and the negotiation of contractual terms sufficient to protect our rights and promote our interests and limit our potential liabilities will become more complicated. We also license technology from certain third parties, including through OEM relationships. Certain of these agreements permit either party to terminate all or a portion of the relationship without cause at any time and for any reason. If one of these agreements is terminated by the other party, we would have to find an alternative source or develop new technology ourselves, which preclude, limit or delay our ability to offer our solution or certain product features to our clients, result in increased expense and harm our business. Our inability to successfully manage and maintain these complex relationships or negotiate sufficient and favorable contractual terms could harm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historical growth and recent adverse economic conditions make it difficult to evaluate and predict our current business and future prospects.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been in existence since 2001, much of our employee, revenue and operations growth has occurred in recent years. Our historical growth may make it difficult for investors to evaluate our current business and our future prospects. We have encountered and will continue to encounter risks and difficulties frequently experienced by growing companies in rapidly changing industries, including increasing and unforeseen expenses as we continue to grow our business.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forecast our future operating results is limited and subject to a number of uncertainties, including our ability to predict revenue and expense levels, and plan for and model future growth. These uncertainties are exacerbated by the effects of recent adverse economic conditions, including macroeconomic deterioration, including continued inflation, increased interest rates, supply chain disruptions, decreased economic output and fluctuations in currency rates, the Russia-Ukraine conflict, the impact of the conflict in Israel, or other factors. We have encountered and will continue to encounter risks and uncertainties frequently experienced by growing companies in rapidly changing industries, such as the risks and uncertainties described in this annual report. If our assumptions regarding these risks and uncertainties, which we use to plan our business, are incorrect or change due to adjustments in our markets or our competitors and their product offerings, or if we do not address these risks successfully, our operating and financial results could differ materially from our expectations and our business could suffer.</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Clients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attract new clients or sell additional seats, functionality and services to our existing clients, our revenue and revenue growth will be harmed. </w:t>
      </w:r>
    </w:p>
    <w:p>
      <w:pPr>
        <w:pStyle w:val="TextBody"/>
        <w:bidi w:val="0"/>
        <w:spacing w:lineRule="auto" w:line="288" w:before="6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increase our revenue, we must add new clients, add additional agent seats and sell additional seats, functionality and services to existing clients, and successfully get existing clients to renew their subscriptions on terms favorable to us. As our industry matures, as our clients experience macroeconomic issues or seasonal trends in their business, or as competitors introduce lower cost or differentiated products or services that are perceived to compete favorably with ours, our ability to add new clients and renew, maintain or sell additional services to existing clients could be harmed. As a result, our existing clients may not renew our agreements or may decrease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their number of agent seats, and we may be unable to attract new clients or grow or maintain our business with existing clients, which could harm our revenue and growth. For example, our installed base business, which typically contributes approximately half of our annual revenue growth, continues to experience macroeconomic headwinds.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grow our business, we plan to add new clients that are government entities. We have made, and plan to continue to make, investments to support future client opportunities in the government sector. Some U.S. government customers require that we be authorized under the FedRAMP to help satisfy their own legal and regulatory compliance requirements, which may require us to undertake additional actions and expense to ensure compliance. We are currently undergoing processes and procedures to obtain FedRAMP authorization, which processes and procedures are costly and time consuming. There are no assurances that we will be able to obtain such authorizations or that if obtained, this authorization will result in increased revenue or a sufficient return on our investment.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a portion of our revenue is generated by acquiring domestic and international telecommunications minutes from wholesale telecommunication service providers and reselling those minutes to our clients. As telecommunications rates continue to decrease, we may not be able to resell more minutes to maintain our level of usage revenue.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our existing clients terminate their subscriptions or reduce their subscriptions and related usage, our revenues and gross margins will be harmed and we will be required to spend more money to grow our client base.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expect to continue to derive a significant portion of our revenues from existing clients. As a result, retaining our existing clients is critical to our future operating results. 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Subscriptions and related usage by our existing clients may decrease if: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clients’ business or demand for our services slows or declines due to industry cycles, seasonality, business difficulties or other reasons, including the impact of macroeconomic deterioration, including continued inflation, increased interest rates, supply chain disruptions, decreased economic output and fluctuations in currency rates, the Russia-Ukraine conflict, the impact of the conflict in Israel, or other factors;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clients are not satisfied with our services, prices or the functionality of our solution;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stability, performance or security of our solution are not satisfactory;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U.S. or global economy declines;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clients favor products offered by other contact center providers, particularly as competition continues to increase;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fewer clients purchase usage from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alternative technologies, products or features emerge or gain popularity that we do not provide; or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our clients or potential clients experience financial difficulties, including as a result of macroeconomic deterioration.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our existing clients’ subscriptions and related usage decrease or are terminated, we will need to spend more money to acquire new clients and still may not be able to maintain, or increase, our existing level of revenues. We incur significant costs and expenses, including sales and marketing expenses, to acquire new clients, and those costs and expenses are an important factor in determining our profitability. There can be no assurance that our efforts to acquire new clients will be successful.</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loss of one or more of our key clients, or a failure to renew our subscription agreements with one or more of our key clients, could harm our ability to market our solution.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our reputation and recommendations from key clients in order to market and sell our solution. The loss of any of our key clients, or a failure of some of them to renew or to continue to recommend our solution, could have a significant impact on our revenues, reputation and our ability to obtain new clients. In addition, acquisitions of our clients could lead to cancellation of our contracts with those clients, thereby reducing the number of our existing and potential clients and key reference clients.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clients may fail to comply with the terms of their agreements, necessitating action by us to collect payment, or may terminate their subscriptions for our solution.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clients fail to pay us under the terms of our agreements or fail to comply with the terms of our agreements, including compliance with regulatory requirements and intellectual property terms, we may terminate clients, lose revenue, be unable to collect amounts due to us, be subject to legal or regulatory action and incur costs in enforcing the terms of our contracts, including litigation. Some of our clients may seek bankruptcy protection or other similar relief and fail to pay amounts due to us, seek reimbursement for amounts already paid, or pay those amounts more slowly, all of which risks may be exacerbated by the effects of macroeconomic deterioration, including increased inflation, increased interest rates, supply chain disruptions, decreased economic output and fluctuations in currency rates, the Russia-Ukraine conflict, the impact of the conflict in Israel, or other factors, any of which could harm our operating results, financial position and cash flow.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Our business could be harmed if our clients are not satisfied with the professional services and technical support provided by us or our partners.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our ability to satisfy our clients, not only with respect to our solution, but also with the professional services and technical support that are required for our clients to implement and use our solution to address their business needs. Professional services and technical support may be performed by our own staff or, in a select subset of cases, by third parties. Our professional services offerings currently have negative margins. Accordingly, any increase in sales of professional services could harm our gross margins and operating results. We will need to continue to considerably expand our professional services and technical support in order to implement and support new and larger global client installations. Identifying and recruiting qualified service personnel and training them in our solution is difficult and competitive and requires significant time, expense and attention. We may be unable to respond quickly enough to accommodate short-term increases in client demand for support services. We also may be unable to modify the format of our support services or change our pricing to compete with changes in support services provided by our competitors. Increased client demand for these services, without corresponding revenues, would increase our costs and harm our operating results. If a client is not satisfied with the deployment and ongoing services performed by us or a third party, we could lose clients, miss opportunities to expand our business with these clients, incur additional costs, or suffer reduced (including negative) margins on our service revenue, any of which could damage our ability to grow our business. In addition, negative publicity related to our professional services and technical support, regardless of its accuracy, may damage our business by affecting our ability to compete for new business with current and prospective clients.</w:t>
      </w:r>
    </w:p>
    <w:p>
      <w:pPr>
        <w:pStyle w:val="TextBody"/>
        <w:bidi w:val="0"/>
        <w:spacing w:lineRule="auto" w:line="288" w:before="240" w:after="283"/>
        <w:jc w:val="left"/>
        <w:rPr/>
      </w:pPr>
      <w:r>
        <w:rPr>
          <w:rFonts w:ascii="Times New Roman;sans-serif" w:hAnsi="Times New Roman;sans-serif"/>
          <w:b/>
          <w:color w:val="000000"/>
          <w:sz w:val="20"/>
        </w:rPr>
        <w:t>Risks Related to the Sale of our Solution</w:t>
      </w:r>
      <w:r>
        <w:rPr>
          <w:color w:val="EE2724"/>
        </w:rPr>
        <w:t xml:space="preserv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Failure to adequately retain and expand our direct sales force will impede our growth.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Key to our success is the continuity and growth of our direct sales force. We need to continue to retain key members of our direct sales force while expanding and optimizing our sales infrastructure and headcount in order to grow our client base and business. We plan to continue to expand our direct sales force, both domestically and internationally. Identifying and recruiting qualified personnel and training them in the use and sale of our solution requires significant time, expense and attention. It can take several months before our sales representatives are fully trained and productive. Our business may be harmed if we fail to retain key members of our direct sales force or if our efforts, and the expense incurred, to expand and train our direct sales force do not generate a corresponding increase in revenues. In particular, if we are unable to hire, develop and retain talented sales personnel or if new sales personnel, including those joining our company as a result of an acquisition, are unable to achieve desired productivity levels in a reasonable period of time, we may not be able to realize the expected benefits of this investment or increase our revenues.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have established, and are continuing to increase, our network of technology solution distributors and resellers to sell our solution; our failure to effectively develop, manage, and maintain this network could materially harm our revenues.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established, and are continuing to increase, our network of technology solution distributors, which provide sales leads, and resellers. This network has helped us attract additional clients. Our resellers have assisted us in expanding in both domestic and international markets. These technology solution distributors and resellers sell, or may in the future decide to sell, solutions for our competitors. Our competitors may be able to cause our current or potential technology solution distributors or resellers to favor their services over ours, either through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incentives, technological innovation, solution features or performance, by offering a broader array of products to these service providers or otherwise, which could reduce the effectiveness of our use of these third parties. If we fail to maintain relationships with current technology solution distributors and resellers, fail to develop relationships with new technology solution distributors and resellers in new and existing markets, if we fail to manage, train, enable, or provide appropriate incentives to our existing technology solution distributors and resellers, or if our technology solution distributors and resellers are not successful in their sales efforts, sales of our subscriptions may decrease or not grow at an appropriate rate and our operating results could be harmed. Additionally, in order to effectively utilize our resellers, we must enhance our systems, develop specialized marketing materials and invest in educating resellers regarding our systems, product offerings and services. Our failure to accomplish these objectives could limit our success in marketing and selling our solution.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identifying new resellers, and negotiating and documenting relationships with them, requires significant time and resources. As the complexity of our solution and our reseller relationships increases, the management of those relationships and the negotiation of contractual terms sufficient to protect our rights and limit our potential liabilities will become more complicated. Our inability to successfully manage these complex relationships or negotiate sufficient contractual terms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sell our solution to larger organizations that require longer sales and implementation cycles and often demand more configuration and integration services or customized features and functions that we may not offer, any of which could delay or prevent these sales and harm our growth rates, business and operating results.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we continue to target our sales efforts at larger organizations, we face greater costs, longer sales and implementation cycles and less predictability in closing sales. These larger organizations typically require more configuration and integration services, which increases our upfront investment in sales and deployment efforts, with no guarantee that these clients will subscribe to our solution or increase the scope of their subscription. Furthermore, with larger organizations, we must provide greater levels of education regarding the use and benefits of our solution to a broader group of people in order to generate a sale. As a result of these factors, we must devote a significant amount of sales support and professional services resources to individual clients and prospective clients, thereby increasing the cost and time required to complete sales. Our typical sales cycle for larger organizations is four to six months, but can be significantly longer, and we expect that our average sales cycle may increase as sales to larger organizations continue to grow as a percentage of our business. Longer sales cycles could cause our operating and financial results to be less predictable and to fluctuate from period to period. In addition, many of our clients that are larger organizations initially deploy our solution to support only a portion of their contact center agents. Our success depends on our ability to increase the number of agent seats and the number of applications utilized by these larger organizations over time and requires the expenditure of additional sales and marketing expenses in these efforts. There is no guarantee that these clients will increase their subscriptions for our solution. If we do not expand our initial relationships with larger organizations, the return on our investments in sales and deployment efforts for these clients will decrease and our business may suffer.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Furthermore, we may not be able to provide the configuration and integration services that larger organizations typically require. For example, our solution does not currently permit clients to modify our software code, but instead requires them to use our set of APIs. If prospective clients require customized features or functions that we do not offer, and that would be difficult for them to deploy themselves, they will need to use our professional services or third-party service providers or we may lose sales opportunities with larger organizations and our business could suffer.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markets in which we participate involve a high number of competitors that is continuing to increase, and if we do not compete effectively, our operating results could be harmed.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market for contact center solutions is highly competitive. Generally, we do not have long-term contracts with our clients and our clients can terminate our service and switch to competitors’ offerings on short notice.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compete with large legacy technology vendors that offer on-premise contact center systems, such as Avaya and Cisco. These legacy technology and software companies are increasingly supplementing their traditional on-premise contact center systems with competing cloud offerings, through a combination of acquisitions, partnerships and in-house development. Additionally, we compete with vendors that historically provided other contact center services and technologies and expanded to offer cloud contact center software such as Genesys and NICE. We also face competition from many smaller contact center service providers such as Content Guru and Talkdesk, as well as vendors offering unified communications and contact center solutions such as Zoom.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Amazon, Twilio and, most recently, Microsoft, have introduced solutions aimed at companies who wish to build their own contact centers and/or contact center components with developers. In addition, CRM vendors are increasingly offering features and functionality that were traditionally provided by contact center providers. CRM vendors also continue to partner with contact center service providers to provide integrated solutions and may, in the future, acquire competitive contact center service providers. These factors could cause CRM vendors to reduce or terminate their partnerships with us, and could result in increased competition. Because CRM integration and partnerships are critical to the success of our solution, these factors could harm our revenue and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Some of our competitors can devote significantly greater resources than we can to the development, promotion and sale of their products and services and many have the ability to initiate or withstand substantial price competition. Current or potential competitors may also be acquired by third parties with significantly greater resources. Many of our competitors have stronger name recognition, longer operating histories, larger marketing budgets, greater financial or technical resources, better established relationships with clients, more comprehensive product offerings, larger installed bases and major distribution agreements with consultants, system integrators and resellers. Our competitors may also establish cooperative relationships among themselves or with third parties that may further enhance their product offerings or resources and ability to compete. With the introduction of new technologies and market entrants, we expect competition to continue to intensify in the future. Our recent, and any future, acquisitions will subject us to new competitors and cause us to face additional and different competition in the markets served by these businesses. If our competitors’ products, services or technologies become more accepted than our solution, if they are successful in bringing their products or services to market earlier than ours, or if their products or services are less expensive or more technologically capable than ours, our revenues could be harmed. Pricing pressures and increased competition could result in reduced sales and revenues, reduced margins and loss of, or a failure to maintain or improve, our competitive market position, any of which could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grow our marketing capabilities and develop widespread brand awareness cost effectively, our business may suffer.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increase our client base and achieve broader market acceptance of our cloud contact center software solution will depend to a significant extent on our ability to expand our marketing operations. We plan to continue to dedicate significant resources to our marketing programs, including internet advertising, digital marketing campaigns, social media, trade shows, industry events, co-marketing with strategic partners, telemarketing and out of home campaigns. The effectiveness of our internet advertising and the overall cost of internet advertising has varied over time and may vary in the future due to competition for key search terms, changes in search engine use, changes in the manner in which the leading internet advertising companies approach internet advertising, including through their policies, and changes in the search algorithms used by major search engines, any of which could result in an increase in the time spent and other financial expenditures associated with our internet advertising and a decrease in the effectiveness of our internet advertising. All of these efforts will continue to require us to invest significant financial and other resources in our marketing efforts. Our business will be seriously harmed if our efforts and expenditures do not generate a proportionate increase in revenue.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believe that developing and maintaining widespread awareness of our brand in a cost-effective manner, both in the United States and internationally, is critical to achieving widespread acceptance of our solution, expanding our business with existing clients and attracting new clients. Brand promotion activities may not generate client awareness or increase revenues, and even if they do, any increase in revenues typically occurs after the expense has been incurred, and may not offset the costs and expenses of building our brand. If we fail to successfully promote, maintain and protect our brand, or incur substantial costs and expenses, we may fail to attract or retain clients necessary to realize a sufficient return on our brand-building efforts, or to achieve the widespread brand awareness that is critical to increasing client adoption of our solution.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Solution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fail to manage our technical operations infrastructure, our existing clients may experience service outages, our new clients may delay or decide against deployment of our solution, existing clients may decide to move to another vendor, and we could be subject to claims for credits, damages or other actions.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depends in large part upon the capacity, stability, security and performance of our technical operations infrastructure, which currently relies upon a mix of external data centers and, increasingly, public cloud providers. From time-to-time, we have experienced interruptions in service, and may experience such interruptions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future. These service interruptions may be caused by a variety of factors, including infrastructure changes, human or software errors, telecom network outages, viruses, security attacks, fraud, spikes in client usage and denial of service issues. In some instances, we may not be able to identify the cause or causes of these performance problems, or remediate them within an acceptable period of time. Our failure to achieve or maintain expected performance levels, stability and security, particularly as we increase our number of larger clients and attract increasingly larger clients than in the past, the number of users of our service and the product applications that run on our system, could harm our relationships with our clients, result in claims for credits or damages or other actions, damage our reputation, significantly reduce client demand for our solution, cause us to incur significant expense and personnel time replacing and upgrading our infrastructure, cause customer attrition, and harm our business.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significant growth in the number of our larger clients, as well as the number of agent seats and interactions that our infrastructure supports. As the number of agent seats within our client base grows and our clients’ use of our service increases, we need to continue to make additional investments in our capacity to maintain adequate and reliable availability, stability and performance, the availability of which may be limited or the cost of which may be prohibitive, and any failure may cause interruptions in service that may harm our business. In addition, we need to properly manage our operations infrastructure in order to support version control, changes in hardware and software parameters and the evolution of our solution. If we do not accurately predict our infrastructure requirements or efficiently improve our infrastructure, our business could be harmed.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host our solution at geographically redundant data centers in the United States, the United Kingdom, Europe and Australia and from public cloud locations in Canada, the United Kingdom and Europe. Any failure or downtime in one of our data center facilities could affect a significant percentage of our clients. While we control and have access to our servers and all of the components of our network that are located in our external data centers, we do not control the operation of these facilities. The owners of our data center facilities have no obligation to renew their agreements with us on commercially reasonable terms, or at all. If we are unable to renew these agreements on commercially reasonable terms, or if one of our data center operators is acquired, closes, suffers financial difficulty or is unable to meet our growing capacity needs, we may be required to transfer our servers and other infrastructure to new data center facilities, and we may incur significant costs and service interruptions in connection with doing so. While our data centers have redundant power, cooling and infrastructure, they are subject to various points of failure. Problems with cooling equipment, generators, uninterruptible power supply, routers, switches, or other equipment, most of which is under the control of our data center operators, could result in service interruptions for our clients as well as equipment damage. Our data centers are subject to disasters such as earthquakes, floods, fires, hurricanes, cyber attacks, acts of terrorism, sabotage, break-ins, acts of vandalism and other events, which could cause service interruptions or the operators of these data centers to close their facilities for an extended period of time or permanently. The destruction or impairment of any of our data center facilities could result in significant downtime for our solution and the loss of client data. Because our ability to attract and retain clients depends on our providing clients with highly reliable service, even minor interruptions in our service could harm our business, revenues and reputation. Additionally, in connection with the continuing expansion of our existing data center facilities, there is a risk that service interruptions may occur as a result of server addition, relocation or other issues.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host some of our voice services on the public cloud in Europe, Asia, South America and Australia as well as additional core services in Europe. We are also establishing new public cloud deployments of our platform in certain additional international markets. Our public cloud-based platform offering is critical to developing and providing our solution to our clients, scaling our business for future growth, accurately maintaining data and otherwise operating our business. We have little or no control over public cloud providers. Any disruption of the public cloud, deficiencies in the design, implementation, maintenance, or migration from one public cloud provider to another, or any failure of our public cloud providers to effectively design and implement sufficient security systems or plan for increases in capacity could, in turn, cause delays or disruptions in our services. In addition, using the public cloud presents a variety of additional risks, including risks related to sharing the same computing resources with others, reliance on public cloud providers’ authentication, security, authorization and access control mechanisms, a lack of control over the public cloud’s redundancy and security systems and fault tolerances, a reduced ability to control data security and privacy, and future unpredictable costs of these services.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Further development of our AI solutions may not be successful and may result in reputational harm and our future operating results could be materially harmed.</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plan to continue to further develop and enhance our AI-powered features, including integration of Generative AI technologies. While we aim for our AI-powered features to make agents more efficient and improve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experience, our AI features may not achieve sufficient levels of accuracy or may not otherwise meet the needs of our clients. In addition, we may not be able to incorporate sufficient customer data and such data may contain biased or otherwise inaccurate information, resulting in unacceptable user experiences. Furthermore, our competitors or other organizations may incorporate AI features into their products more quickly or more successfully and their AI features may achieve higher market acceptance than ours, which may result in us failing to recoup our investments in developing AI-powered features and result in lost business. Should any of these factors or others occur, our ability to compete, our reputation and operating results may be materially and adversely affected.</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AI technology and features incorporated into our solution include new and evolving technologies that may present both legal and business risks.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have incorporated a number of AI-powered features into our solution, and are making investments in expanding our AI capabilities with Generative AI. Generative AI technologies are complex and rapidly evolving, and we face significant competition from other companies as well as an evolving legal and regulatory landscape. The incorporation of Generative AI-powered features into our solution may subject us to new or enhanced governmental or regulatory scrutiny, litigation, confidentiality or security risks, ethical concerns, or other complications that could harm our business, reputation, financial condition or results of operations. Intellectual property ownership and license rights, including copyright, surrounding AI and Generative AI technologies has not been fully addressed by federal or state laws or by U.S. courts, and the manner in which we configure and use these technologies may expose us to claims of copyright infringement or other intellectual property misappropriation. New laws have been adopted in the EU, and it is possible that new laws and regulations will be adopted in the United States and in other countries, or that existing laws and regulations will be interpreted in ways that would affect the operation of our solution and the way in which we use AI. Further, the cost to comply with such laws or regulations could be significant and would increase our operating expenses, which could harm our business, reputation, financial condition and results of operations.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Uncertainty around and rapid evolution of Generative AI technologies may require additional investment, including research and development of new approaches and processes, which will be costly and increase our expenses. AI can generate written content which contains bias, factual errors, misrepresentations, offensive language, or inappropriate statements. While we seek to use Generative AI in a way that is designed to minimize these risks, there are still risks of such events occurring. Our failure to address these risks could harm our business, reputation, financial condition and results of operations. In addition, the use of AI, including Generative AI, involves significant technical complexity and requires specialized expertise, and competition for specialized personnel in the AI industry is intense. Any disruption or failure in our AI systems or infrastructure could result in delays or errors in our operations, which could harm our business, reputation, financial condition and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use of AI by our workforce may present risks to our business. </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workforce is exposed to and uses AI technologies for certain tasks related to our business. We have guidelines specifically directed at the use of AI tools in the workplace, including our code of conduct, confidentiality obligations, IT internal use policies and other corporate policies. Nevertheless, our workforce may use these authorized or unauthorized tools, which poses potential risks relating to the protection of data, including cybersecurity risk, exposure of our proprietary confidential information to unauthorized recipients and the misuse of our or third-party intellectual property. Use of AI technology by our workforce even when used consistent with our guidelines, may result in allegations or claims against us related to violation of third-party intellectual property rights, unauthorized access to or use of proprietary information and failure to comply with open source software requirements. AI technology may also produce inaccurate responses that could lead to errors in our decision-making, solution development or other business activities, which could have a negative impact on our business, operating results and financial condition. Our ability to mitigate these risks will depend on our continued effective training, monitoring and enforcement of appropriate policies, guidelines and procedures governing the use of AI technology, and compliance by our workforce.</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our solution fails, or is perceived to fail, to perform properly or if it contains technical defects, our reputation could be harmed, our market share may decline and we could be subject to product liability claims.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may contain undetected errors or defects that may result in failures or otherwise cause our solution to fail to perform in accordance with client expectations and contractual obligations. Moreover, our clients could incorrectly implement or inadvertently misuse our solution, which could result in client dissatisfaction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harm the perceived utility of our solution and our brand. Because our clients use our solution for critical aspects of their business, any real or perceived errors or defects in, or other performance problems with, our solution may damage our clients’ businesses and could significantly harm our reputation. If that occurs, we could lose future sales, or our existing clients could cancel or reduce the use of our solution, seek payment credits or damages against us, or delay or withhold payment to us, which could result in reduced revenues, an increase in our provision for uncollectible accounts and service credits, an increase in collection cycles for accounts receivable, and harm our financial results. In addition, since telecommunications billing and associated telecom taxes and the related calculations and billing of telecom taxes are inherently complex and require highly sophisticated information systems to administer, our billing system may experience errors or we may improperly operate the system, which could result in the system incorrectly calculating the fees owed by our clients or related taxes and administrative fees. Clients also may make indemnification or warranty claims against us, which could result in significant expense and risk of litigation. Product performance problems could result in loss of market share, reputational harm, failure to achieve market acceptance and the diversion of development resources.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Any product liability, intellectual property, warranty or other claims against us could damage our reputation and relationships with our clients, and could require us to spend significant time and money in litigation or pay significant settlements or damages. Although we maintain general liability insurance, including coverage for errors and omissions, this coverage may not be available or sufficient to cover liabilities resulting from such claims. Also, our insurers may disclaim coverage. Our liability insurance also may not continue to be available to us on reasonable terms, in sufficient amounts, or at all. Any contract or product liability claims successfully brought against us would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contact center software solutions market is subject to rapid technological change, and we must develop and sell incremental and new features and components of our solution in order to maintain and grow our business. </w:t>
      </w:r>
    </w:p>
    <w:p>
      <w:pPr>
        <w:pStyle w:val="TextBody"/>
        <w:bidi w:val="0"/>
        <w:spacing w:lineRule="auto" w:line="268" w:before="120" w:after="283"/>
        <w:ind w:left="0" w:right="0" w:firstLine="495"/>
        <w:jc w:val="left"/>
        <w:rPr/>
      </w:pPr>
      <w:r>
        <w:rPr>
          <w:rFonts w:ascii="Times New Roman;sans-serif" w:hAnsi="Times New Roman;sans-serif"/>
          <w:b w:val="false"/>
          <w:color w:val="000000"/>
          <w:sz w:val="20"/>
        </w:rPr>
        <w:t>The contact center software solutions market is characterized by rapid changes in client requirements, frequent introductions of new and enhanced products and features and continuing and rapid technological advancement. To compete successfully, we must continue to devote significant resources to design, develop, deploy and sell new and enhanced contact center solutions, applications and features that provide increasingly higher capabilities, performance and stability at lower cost. If we are unable to develop or acquire new features for our existing solution or new applications that achieve market acceptance or that keep pace with technological developments, our business would be harmed. We are focused on enhancing the reliability, features and functionality of our contact center solution to enhance its utility to our clients, particularly larger clients, with complex, dynamic and global operations. In addition, cloud-based technology advancements in areas such as AI are designed to enable improved customer experience, significant operational efficiencies and business insights.</w:t>
      </w:r>
      <w:r>
        <w:rPr>
          <w:color w:val="000000"/>
        </w:rPr>
        <w:t xml:space="preserve"> </w:t>
      </w:r>
      <w:r>
        <w:rPr>
          <w:rFonts w:ascii="Times New Roman;sans-serif" w:hAnsi="Times New Roman;sans-serif"/>
          <w:b w:val="false"/>
          <w:color w:val="000000"/>
          <w:sz w:val="20"/>
        </w:rPr>
        <w:t>The success of these enhancements depends on many factors, including timely development, introduction and market acceptance, as well as our ability to transition our existing clients to these new solutions, applications and features. To the extent that these enhancements are made as a result of acquisitions, our success also depends on our ability to integrate the acquired technology with our existing solution. Any failure may significantly impair our revenue growth. In addition, because our solution is designed to operate on a variety of systems, we need to continuously modify and enhance our solution to keep pace with changes in hardware, operating systems, the increasing trend toward multi-channel communications and other changes to software technologies. We may not be successful in developing, acquiring or integrating these modifications and enhancements or bringing them to market in a timely fashion. Furthermore, uncertainties about the timing and nature of new network platforms or technologies, or modifications to existing platforms or technologies, could delay introduction of changes and updates to our solution and increase our research and development expenses. Any failure of our solution to operate effectively, including with future network platforms and technologies, could reduce the demand for our solution, result in client dissatisfaction and harm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ability to continue to enhance our solution is dependent on adequate research and development resources. If we are not able to adequately fund our research and development efforts, we may not be able to compete effectively and our business and operating results may be harmed.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remain competitive, we must devote significant and increasing resources to develop new solution offerings, features and enhancements to our existing cloud contact center software, which will increase our research and development and operating expenses. Our research and development expenses totaled $156.6 million, $141.8 million and $106.9 million for the years ended December 31, 2023, 2022 and 2021, respectively. Maintaining adequate research and development personnel and resources to meet the demands of the market is essential. If we are unable to develop products, applications or features internally due to constraints, such as high employee turnover, insufficient cash, other cash needs of our business, inability to hire sufficient research and development personnel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lack of other research and development resources, we may miss market opportunities. Furthermore, many of our competitors have greater financial resources and expend greater amounts on their research and development programs than we do, and those that do not may be acquired by larger companies that would allocate greater resources to our competitors’ research and development programs. Our failure to devote adequate research and development resources or compete effectively with the research and development programs of our competitors could harm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maintain the compatibility of our software with other solutions and technologies, our business could be harmed.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clients often integrate our solution with their business applications, particularly third-party CRM solutions. These third-party providers or their partners could alter their products so that our solution no longer integrates well with them, or they could delay or deny our access to technology releases that allow us to adapt our solution to integrate with their products in a timely fashion. In addition, to the extent that third-party providers are adversely impacted by macroeconomic deterioration, their development of software that is integrated with our solution may be delayed, which could have an adverse impact on the implementation of, or demand for, our solution by our clients. Such third-party providers could also favor integration of our competitors’ products over our solution, making our solution less attractive to our clients. If we cannot adapt our solution to changes in complementary technology deployed by our clients, it may significantly impair our ability to compete effectively.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many hazards and operational risks that can disrupt our business, some of which may not be insured or fully covered by insurance.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operations are subject to many hazards inherent in the cloud contact center software business, including: </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damage to third-party and our infrastructure and data centers, related equipment and surrounding properties caused by earthquakes, hurricanes, tornadoes, floods, fires and other natural disasters, explosions, cyber attacks and acts of terrorism;</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security breaches resulting in loss or disclosure of confidential client and customer data and potential liability to clients and non-client third parties for such losses on disclosures; and</w:t>
      </w:r>
    </w:p>
    <w:p>
      <w:pPr>
        <w:pStyle w:val="TextBody"/>
        <w:bidi w:val="0"/>
        <w:spacing w:lineRule="auto" w:line="288" w:before="60" w:after="283"/>
        <w:ind w:left="0" w:right="0" w:hanging="180"/>
        <w:jc w:val="left"/>
        <w:rPr/>
      </w:pPr>
      <w:r>
        <w:rPr>
          <w:color w:val="000000"/>
        </w:rPr>
        <w:t>•</w:t>
      </w:r>
      <w:r>
        <w:rPr>
          <w:rFonts w:ascii="Times New Roman;sans-serif" w:hAnsi="Times New Roman;sans-serif"/>
          <w:b w:val="false"/>
          <w:color w:val="000000"/>
          <w:sz w:val="20"/>
        </w:rPr>
        <w:t>other hazards that could also result in suspension of operations, personal injury and even loss of life.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risks could result in substantial losses and the curtailment or suspension of our operations. For example, in the event of a major earthquake or flooding on the West Coast of the United States (where our corporate headquarters and one of our data centers are located), hurricane, tropical storm, flooding or severe weather in the southeastern United States (where our other U.S. data center is located) or catastrophic events such as fire, power loss, telecommunications failure, cyber-attack, global pandemic, war or terrorist attack, we may be unable to continue our operations and may endure system and service interruptions, reputational harm, delays in product development, breaches of data security and loss of critical data, any of which could harm our business and operating results.</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not insured against all claims, events or accidents that might occur. If a significant accident or event occurs that is not fully insured, if we fail to recover all anticipated insurance proceeds for significant accidents or events for which we are insured, or if we or our data center providers fail to reopen facilities damaged by such accidents or events, our operations and financial condition could be harmed. We may also incur significant expense in enforcing our rights against our insurance providers, whether or not successful. In addition to being denied coverage under existing insurance policies, we may not be able to maintain or obtain insurance of the type and amount we desire at reasonable rates.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Third-Party Technology Providers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rely on third-party telecommunications and internet service providers to provide our clients and their customers with telecommunication services and connectivity to our cloud contact center software and any failure by these service providers to provide reliable services could cause us to lose clients and subject us to claims for credits or damages, among other things.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on third-party telecommunication service providers to provide our clients and their customers with telecommunication services. These telephony services include the public switched telephone network, or PSTN, telephone numbers, call termination and origination services, and local number portability for our clients. In addition, we depend on our internet bandwidth suppliers to provide uninterrupted and error-free service through their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telecommunications networks. Some of our services may require that users of our service obtain their own internet bandwidth. We exercise little control over these third-party providers, which increases our vulnerability to problems with the services they provide.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problems occur, it may be difficult to identify the source of the problem. Service disruption or outages, whether caused by our service, the products or services of our third party service providers, or our clients’ or their customers’ equipment and systems, may result in loss of market acceptance of our solution and harm to our reputation and any necessary repairs or other remedial actions may force us to incur significant costs and 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any of these service providers fail to provide reliable services, suffer outages, degrade, disrupt, increase the cost of or terminate the services that we and our clients depend on, we may be required to switch to another service provider. Delays caused by switching our technology to another service provider, if available, and qualifying this new service provider could materially increase our costs, as well as harm our client relationships, business, financial condition and operating results. Further, any failure on the part of third party service providers to achieve or maintain expected performance levels, stability and security could harm our relationships with our clients, cause us to lose clients, result in claims for credits or damages, increase our costs or the costs incurred by our customers, damage our reputation, significantly reduce client demand for our solution and seriously harm our financial condition and operating results. </w:t>
      </w:r>
    </w:p>
    <w:p>
      <w:pPr>
        <w:pStyle w:val="TextBody"/>
        <w:bidi w:val="0"/>
        <w:spacing w:lineRule="auto" w:line="288" w:before="240" w:after="283"/>
        <w:jc w:val="left"/>
        <w:rPr/>
      </w:pPr>
      <w:r>
        <w:rPr>
          <w:rFonts w:ascii="Times New Roman;sans-serif" w:hAnsi="Times New Roman;sans-serif"/>
          <w:b/>
          <w:i/>
          <w:color w:val="000000"/>
          <w:sz w:val="20"/>
        </w:rPr>
        <w:t>Our clients and their customers rely on internet service providers to provide them with access and connectivity to our cloud contact center software and changes in how internet service providers handle and charge for access to the internet could materially harm our client relationships, business, financial condition and operations results.</w:t>
      </w:r>
      <w:r>
        <w:rPr>
          <w:color w:val="EE2724"/>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2015, the FCC released an order, commonly referred to as network neutrality, that, among other things, prohibited (i) the impairment or degradation of lawful internet traffic on the basis of content, application or service and (ii) the practice of favoring some internet traffic over other internet traffic based on the payment of higher fees. In June 2018, the FCC repealed the network neutrality regulations imposed by the 2015 order. Internet service providers in the U.S. may now be able to impair or degrade the use of, or increase the cost of using, our solution. The FCC’s 2018 repeal was largely upheld by the D.C. Circuit Court of Appeals in a decision issued in October 2019. That same court rejected the FCC’s attempt to preempt states from adopting their own network neutrality requirements. As a result, network neutrality regulations vary widely among both the domestic and international jurisdictions in which we operate. While certain jurisdictions have strong protections for services such as ours, others either lack a network neutrality framework or otherwise do not enforce network neutrality regulations. The impairment, degradation or prioritization of lawful internet traffic by internet service providers could materially harm the performance of our solution, our client relationships, business, financial condition and operating results.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International Operations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continue to expand our international operations, which exposes us to significant risks.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not generated significant revenues outside of the U.S., Canada, the U.K., Latin America and Australia. However, we already have significant operations outside these countries and regions, and we expect to grow our international presence in the future. Our international employees are primarily located in the Philippines, where technical support, training and other professional services are performed, Portugal, where we continue to increase our engineering and operations previously performed in Russia, and Australia, where additional portions of engineering and operations are now performed. In March 2022, we made a decision to close our Russia office and to establish a new European development center in Portugal. While approximately half of our Russian-citizen employees have received visas and have moved to Portugal, it was not feasible to move and retain all of the Russian-citizen employees in connection with growing our overall operations presence in Portugal, we have expanded recruiting and employment-related efforts in Portugal to further enhance our operations. We have and will continue to incur costs in connection with this transition, and during the transition we have and may continue to experience operational disruptions. There can be no assurance that our new Portuguese operations will be as effective or as efficient as our prior Russian operations, which could harm our business and results of operations. The future success of our business will depend, in part, on our ability to expand our operations and customer base to other countries, including our new location in Portugal.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Operating in international markets requires significant resources and management attention and will subject us to regulatory, economic, and political risks that are different from those in the U.S. In addition, in order to effectively market and sell our solution in international markets, we often must localize our solution, including the language in which our solution is offered, which increases our costs, could result in delays in offering our solution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markets and may decrease the effectiveness of our sales efforts. Due to our limited experience with international operations and developing and managing sales and distribution channels in international markets, our international expansion efforts may not be successful.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will continue to incur additional compliance costs associated with our international operations, including costs associated with expanding and rapidly changing sanctions and other trade controls. In addition, we may be unaware or unable to keep current with changes in foreign government requirements and laws as they change from time to time, which often occurs with minimal or no advance notice. Failure to comply with these regulations could harm our business. In many countries outside the United States, it is common for others to engage in business practices that are prohibited by our internal policies and procedures or United States or international laws and regulations applicable to us. Although we have implemented policies and procedures designed to ensure compliance with these laws and policies, there can be no assurance that all of our employees, contractors, strategic partners and agents will comply with these laws and policies. Violations of laws or key control policies by our employees, contractors, strategic partners or agents could result in delays in revenue recognition, financial reporting misstatements, fines, delays in filing financial reports required as a public company, penalties, prohibitions on selling our solution or harm to our reputation, any of which could harm our business.</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we have worked to avoid and mitigate any effects of the Russia-Ukraine conflict on our business, employees and clients, the conflict is ongoing, and its ultimate scope and broader impacts cannot be predicted with certainty. While the conflict has not yet had a negative impact on our employees, business, or operations outside of Russia, it could, and if the conflict or related geopolitical tensions extend to other countries, negative impacts could also expand. Our business and operations could be harmed and our costs could increase if our or our clients’ or other partners’ manufacturing, logistics or other operations, costs or financial performance are disrupted or adversely affected. The Russia-Ukraine conflict has also had an adverse impact on the global economy, including on the inflation rate, and has contributed to significant fluctuation in global stock markets, including The NASDAQ Stock Market, on which our common stock is listed. All of these risks and conditions could harm our future sales, business and operating results. </w:t>
      </w:r>
    </w:p>
    <w:p>
      <w:pPr>
        <w:pStyle w:val="TextBody"/>
        <w:bidi w:val="0"/>
        <w:spacing w:lineRule="auto" w:line="276"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Sales to clients outside the United States or with international operations and our international sales efforts and operations support expose us to risks inherent in international sales and operations.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key element of our growth strategy is to expand our international sales efforts and develop a worldwide client base. Because of our limited experience with international sales, our international expansion may not be successful and may not produce the return on investment we expect. To date, we have realized only a small portion of our revenues from clients outside the United States, with approximately 89% of our revenue for the year ended December 31, 2023 derived from clients with billing addresses in the United States.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increased and are continuing to increase our sales, marketing and support personnel in both the U.K. and the European Union. We have enlarged our data centers in the U.K. and Amsterdam and are increasing our use of public cloud solutions in the European Union as well. Operating in international markets requires significant resources and management attention and subjects us to intellectual property, regulatory, economic and political risks that are different from those in the United States. As we increase our international sales efforts and continue and increase our other international operations, we will face increased risks in doing business internationally that could harm our business, including: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need to establish and protect our brand in international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need to localize and adapt our solution for specific countries, including translation into foreign languages and associated costs and expenses;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in staffing and managing foreign operations, particularly hiring and training qualified sales and service personnel;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the need to implement and offer customer care, in various languages;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different pricing environments, longer sales and accounts receivable payment cycles and collections issues;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weaker protection for intellectual property and other legal rights than in the U.S. and practical difficulties in enforcing intellectual property and other rights outside of the U.S.;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privacy and data protection laws and regulations that are complex, expensive to comply with and may require that client data be stored and processed in a designated territory;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increased risk of piracy, counterfeiting and other misappropriation of our intellectual property in our locations outside the U.S.;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new and different sources of competition;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general economic conditions in international markets;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fluctuations in the value of the U.S. dollar and foreign currencies, which may make our solution more expensive in other countries or may increase our costs, impacting our operating results when translated into U.S. dollars;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compliance challenges related to the complexity of multiple, conflicting and changing governmental laws and regulations, including employment, tax, telecommunications and telemarketing laws and regulations;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increased risk of international telecom fraud;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laws and business practices favoring local competitors;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our ability to sell our solution in certain foreign markets, and the risks and costs of non-compliance;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increased financial accounting and reporting burdens and complexities;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restrictions or taxes on the transfer of funds;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adverse tax consequences;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unstable economic and political conditions and potential accompanying shifts in laws and regulations.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These risks could harm our international operations, increase our operating costs and hinder our ability to grow our international business and, consequently, our overall business and results of operations.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Other Operational Risks</w:t>
      </w:r>
    </w:p>
    <w:p>
      <w:pPr>
        <w:pStyle w:val="TextBody"/>
        <w:bidi w:val="0"/>
        <w:spacing w:lineRule="auto" w:line="288" w:before="240" w:after="283"/>
        <w:jc w:val="left"/>
        <w:rPr/>
      </w:pPr>
      <w:r>
        <w:rPr>
          <w:rFonts w:ascii="Times New Roman;sans-serif" w:hAnsi="Times New Roman;sans-serif"/>
          <w:b/>
          <w:i/>
          <w:color w:val="000000"/>
          <w:sz w:val="20"/>
        </w:rPr>
        <w:t>Adverse economic conditions may harm our business.</w:t>
      </w:r>
      <w:r>
        <w:rPr>
          <w:color w:val="EE2724"/>
        </w:rPr>
        <w:t xml:space="preserve">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depends on the overall demand for cloud contact center software solutions, the economic health of our current and prospective clients and worldwide economic conditions. In addition to the United States, Canada, Europe, Latin America and Australia, we plan in the future to market and sell our solution in Asia and other international markets. Adverse economic conditions in these markets, including the impact of macroeconomic deterioration, continued inflation, increased interest rates, supply chain disruptions, decreased economic output and fluctuations in currency exchange rates, the impact of the Russia-Ukraine conflict, the impact of the conflict in Israel, has and will likely continue to reduce overall demand for our solution, particularly in our installed base. These factors could also delay our clients' implementation of our solution, delay or lengthen sales cycles, delay international expansion, lower prices for our solution, and may also lead to longer collection cycles for payments due from our clients, as well as result in an increase in client bad debt. 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typically contributes approximately half of our annual revenue growth, continues to experience macroeconomic headwinds. All of these potential circumstances could lead to slower growth, or even a decline in, our revenues, operating results and cash flows.</w:t>
      </w:r>
    </w:p>
    <w:p>
      <w:pPr>
        <w:pStyle w:val="TextBody"/>
        <w:bidi w:val="0"/>
        <w:spacing w:lineRule="auto" w:line="288" w:before="240" w:after="283"/>
        <w:jc w:val="left"/>
        <w:rPr/>
      </w:pPr>
      <w:r>
        <w:rPr>
          <w:rFonts w:ascii="Times New Roman;sans-serif" w:hAnsi="Times New Roman;sans-serif"/>
          <w:b/>
          <w:i/>
          <w:color w:val="000000"/>
          <w:sz w:val="20"/>
        </w:rPr>
        <w:t>Security breaches and improper access to, use of, or disclosure of our data or our clients’ data, or other cyber attacks on our systems, or those of third parties on which we rely, could result in litigation and regulatory risk, harm our reputation and our business.</w:t>
      </w:r>
      <w:r>
        <w:rPr>
          <w:color w:val="EE2724"/>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solution involves the storage and transmission of our clients’ information, including information about our clients’ customers or other information treated by our clients as confidential. Unauthorized access, unauthorized use of our systems or those of third parties on which we rely or the data stored within those systems, security breaches or other cyber attacks could result in the loss of confidentiality, integrity and availability of such information or systems, leading to litigation, governmental investigations and enforcements actions, indemnity obligations, increased expense, and other liability. Such incidents could also cause interruptions to the solutions we provide, degrade the user experience, harm our reputation or cause clients to lose confidence in our solution.</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required to comply with laws and regulations that require us to protect personal data and we may have contractual and other legal obligations to notify customers or other relevant stakeholders of security breaches or other security events. While we have implemented security measures to protect client and other confidential information and minimize the risk of security breaches and other cyber attacks, if these measures fail as a result of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cyber-attack, software vulnerability, other third-party action, employee error, malfeasance or otherwise, and someone unlawfully or without authorization obtains access to our clients’ information, including personal data, our reputation could be damaged, our business may suffer and we could incur significant liability. Because the techniques used to obtain unauthorized access or sabotage systems change frequently and generally are not identified until they are launched against a target, we or our third party service providers may be unable to anticipate these techniques or implement adequate preventative measures. In addition, third parties may attempt to fraudulently induce employees or users to disclose information in order to gain access to our data or our users’ data or the systems on which our data is stored or hosted. Such security breaches could lead to negative publicity, may cause our customers to lose confidence in the effectiveness of our security measures and require us to respond to and/or mitigate the security breach. Accordingly, if our cybersecurity measures fail to protect against unauthorized access, attacks, compromise or the mishandling of data by our employees, then our reputation, business, results of operations and financial condition could be adversely affected. Moreover, any failure on the part of third parties, including our clients or other hosting or service providers, to maintain appropriate security measures for their own systems could harm our relationships with our clients, result in claims against us for credits or damages, damage our reputation and significantly reduce client demand for our solution. Any or all of these issues could harm our ability to attract new clients, cause existing clients to cancel, reduce or not renew their subscriptions, result in reputational damage or subject us to third-party lawsuits (including class actions), governmental investigations and enforcement actions, regulatory fines or other action or liability, including orders or consent decrees forcing us to modify our business practices, all of which could materially harm our business, reputation or financial results.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attract and retain highly skilled leaders and other employees, our business and results of operations may be adversely affected.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execute our growth plan, we must attract and retain highly qualified personnel, including key executives, senior management or other key employees, and we may incur significant costs, including stock-based compensation expense, to do so. Competition for these personnel is intense, especially for senior executives, engineers highly experienced in designing and developing cloud software and for senior sales personnel. We have, from time to time, experienced, and we expect to continue to experience, difficulty in hiring and retaining employees with appropriate qualifications, and this difficulty could be further exacerbated by any senior leadership or other key employee transitions we experience. We invest significant time and expense in training our employees, which increases their value to competitors who may seek to recruit them and increases our costs.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corporate culture is a critical component to our ability to attract and retain employees. As we grow, we will need to continually enhance our efforts to maintain our corporate culture, which is more difficult due to our policies that continue to allow limited work from home flexibility stemming from the COVID-19 pandemic. We may experience increased attrition of employees to other opportunities, as certain employees may seek more flexible work alternatives than we offer, may seek positions with companies outside of the geographic area in which they live that offer remote work opportunities, or may decide to scale back their work life for personal reasons. Many of the companies with which we compete for experienced personnel have greater resources than we have and may offer more flexible work alternatives such as permanent remote work or work from home. If we fail to attract new personnel or fail to retain and motivate our current personnel, particularly our senior leadership team and our other key employees, our business and future growth prospects would be harmed. In addition, if we hire employees from competitors or other companies, their former employers may attempt to assert that these employees or we have breached legal obligations, resulting in a diversion of our time and resources and, potentially, damages.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Volatility or lack of performance in the trading price of our common stock, including the declines in our trading price over the recent past, may also affect our ability to attract and retain qualified personnel because job candidates and existing employees often emphasize the value of stock awards when considering whether to accept or continue employment. If the perceived value of our stock awards is low or declines, it may harm our ability to recruit and retain highly skilled employees.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may acquire other companies, or technologies or be the target of strategic transactions, or be impacted by transactions by other companies, which could divert our management’s attention, result in additional dilution to our stockholders or use a significant amount of our cash resources, and otherwise disrupt our operations and harm our operating results.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may acquire or invest in businesses, applications or technologies that we believe could complement or expand our solution, enhance our technical capabilities or otherwise offer growth opportunities. For instance, in 2019, we acquired substantially all of the assets of Whendu LLC, or Whendu, including its iPaaS platform, in 2020, we acquired both Virtual Observer and Inference, and in 2023, we acquired Aceyus, Inc., or Aceyus. The pursuit of potential acquisitions may divert the attention of management, and cause us to incur various costs and expenses in identifying, investigating and pursuing acquisitions, whether or not they are consummated. We may not be able to identify desirable acquisition targets or be successful in entering into an agreement with any particular target. In addition, there has been a number of recent transactions in our industry and adjacent industries, which could have a negative impact on us.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the growth in our business has been primarily organic, and we have limited experience in acquiring other businesses. With respect to our recent acquisitions and any future acquisitions, we may not be able to successfully integrate acquired personnel, operations, product features and technologies, or effectively manage the combined business following the acquisition. We also may not achieve the anticipated benefits from these or any future acquisitions due to a number of factors, including: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inability to integrate or benefit from acquisitions in a profitable manner;</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unanticipated costs or liabilities associated with the acquisition, including legal claims to enforce our rights under the acquisition agreements or arising from the activities of the companies or businesses we acquire;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acquisition-related costs;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difficulty converting the clients of the acquired business to our solution and contract terms, including due to disparities in the revenue, licensing, support or professional services model of the acquired company;</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difficulty integrating the accounting systems, operations and personnel of the acquired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difficulties and additional costs and expenses associated with supporting legacy products and the hosting infrastructure of the acquired business;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diversion of management’s attention from other business concerns;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harm to our existing relationships with our partners and clients as a result of the acquisition;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loss of our or the acquired business’s key employees;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diversion of resources that could have been more effectively deployed in other parts of our business;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use of substantial portions of our available cash to consummate the acquisition.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a significant portion of the purchase price of companies and businesses we acquire may be allocated to acquired goodwill and other intangible assets, which must be assessed for impairment at least annually. If our acquisitions do not yield expected returns, we may be required to take charges to our operating results based on this impairment assessment process, which could harm our results of operations.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Acquisitions could also result in dilutive issuances of equity securities, the use of our available cash, or the incurrence of additional debt to fund such acquisitions, which could harm our operating results. To the extent that we intend to issue stock in any acquisitions, volatility in our stock price could make it more difficult or dilutive to make these acquisitions. If an acquired business fails to meet our expectations, our operating results, business and financial condition could suffer.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third parties may be interested in acquiring us. We will continue to consider, evaluate and negotiate any such transactions as we deem appropriate. Such potential transactions may divert the attention of management, and cause us to incur various costs and expenses in investigating, evaluating and negotiating such transactions, whether or not they are consummated.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may not be able to secure additional financing on favorable terms, or at all, to meet our future capital needs.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 date, we have financed our operations, primarily through sales of our solution, lease facilities and the net proceeds from our equity and debt financings, including the sale of our convertible senior notes. We do not know when or if our operations will generate sufficient cash to fund our ongoing operations. We may require additional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to respond to business opportunities, challenges, acquisitions, a decline in sales, increased regulatory obligations or unforeseen circumstances and may engage in equity or debt financings or enter into credit facilities.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a substantial amount of debt. As of December 31, 2023, we had approximately $747.5 million in principal outstanding under our convertible senior notes issued in May and June 2020 that mature on June 1, 2025. See Note 6 to the consolidated financial statements.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Any debt financing obtained by us in the future would cause us to incur additional debt service expenses and could include restrictive covenants relating to our capital raising activities and other financial and operational matters, which may make it more difficult for us to obtain additional capital and pursue business opportunities and future debt could be secured by all of our assets. If we raise additional funds through further issuances of equity or convertible debt securities, our existing stockholders could suffer significant dilution in their percentage ownership of our company, and any new equity securities we issue could have rights, preferences and privileges senior to those of holders of our common stock. If we are unable to obtain adequate financing or financing on terms satisfactory to us when we require it, our ability to continue to grow and support our business and to respond to business challenges could be significantly harmed.</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we are unable to maintain and further develop effective internal control over financial reporting, investors may lose confidence in the accuracy and completeness of our financial reports and the market price of our common stock may decrease.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required to maintain internal control over financial reporting and to report any material weaknesses in such internal controls. Section 404 of the Sarbanes-Oxley Act of 2002, or Section 404, requires that we evaluate and determine the effectiveness of our internal control over financial reporting and provide a management report and attestation from our independent registered public accountant on our internal control over financial reporting. This attestation has and will continue to increase our independent public accountant costs and expenses.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If we identify one or more material weaknesses in our internal control over financial reporting, we will be unable to assert that our internal controls are effective, which could cause our stock price to decline.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have material weaknesses in our internal control over financial reporting, we may not detect errors on a timely basis and our financial statements may be materially misstated. If we identify material weaknesses in our internal control over financial reporting, if we are unable to comply with the requirements of Section 404 in a timely manner, if we are unable to assert that our internal control over financial reporting is effective or if our independent registered public accounting firm is unable to attest that our internal control over financial reporting is effective, investors may lose confidence in the accuracy and completeness of our financial reports and the market price of our common stock could decrease. We could also become subject to stockholder or other third-party litigation as well as investigations by the stock exchange on which our securities are listed, the SEC or other regulatory authorities, which could require additional financial and management resources and could result in fines, penalties, trading suspensions or other remedies.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financial accounting standards or practices may cause adverse, unexpected financial reporting fluctuations and affect our reported operating results.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GAAP is subject to interpretation by the FASB, the SEC and various bodies formed to promulgate and interpret appropriate accounting principles. A change in accounting standards or practices can have a significant effect on our reported results and may even affect our financial statements issued before the change is effective. New accounting pronouncements and varying interpretations of accounting pronouncements have occurred and will occur in the future. Changes to existing rules or the questioning of current practices may harm our reported financial results, result in restatements of prior periods, or the way we account for or conduct our business.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application of any new accounting guidance is, and will be, based on all information available to us as of the date of adoption and up through subsequent interim reporting, including transition guidance published by the standard setters. However, the interpretation of these new standards may continue to evolve as other public companies adopt the new guidance and the standard setters issue new interpretative guidance related to these rules. As a result, changes in the interpretation of these rules could result in material adjustments to our application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guidance, which could have a material effect on our results of operations and financial condition. Additionally, any difficulties in implementing these pronouncements could cause us to fail to meet our financial reporting obligations, which could result in regulatory discipline, cessation or disruption of trading in our common stock and harm investors’ confidence in us.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certain factors have in the past and may in the future cause us to defer recognition of revenues. For example, the inclusion in our client contracts of non-standard terms, such as acceptance criteria, could require the deferral of revenue. To the extent that such contracts become more prevalent in the future our revenue may be harmed.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of these factors and other specific requirements under U.S. GAAP for revenue recognition, we must have precise terms and conditions in our arrangements in order to recognize revenue when we deliver our solution or perform our professional services. Negotiation of mutually acceptable terms and conditions can extend our sales cycle, and we may accept terms and conditions that do not permit revenue recognition at the time of delivery.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Our Intellectual Property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Any failure to protect our intellectual property rights could impair our ability to protect our proprietary technology and our brand.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success and ability to compete depend in part upon our intellectual property. As of December 31, 2023, our intellectual property portfolio included three registered U.S. trademarks, two pending U.S. trademark applications, 16 issued U.S. patents, one pending U.S. patent application and one registered U.S. copyright. As of December 31, 2023, outside the U.S. we also had 10 trademark registrations, five issued patents, and three pending international PCT patent applications. The expiration dates of our issued patents range from 2030 to 2041. We primarily rely on copyright, trade secret and trademark laws, trade secret protection and confidentiality or license agreements with our employees, clients, partners and others to protect our intellectual property rights. However, the steps we take to secure, protect and enforce our intellectual property rights may be inadequate. We may not be able to obtain any further patents or trademarks, our current patents could be invalidated or our competitors could design their products around our patented technology, and our pending applications may not result in the issuance of patents or trademarks. We have pending patent applications and trademark registrations outside the U.S., and we may have to expend significant additional resources to obtain additional protection and maintain current registrations as we expand our international operations. Furthermore, legal standards relating to the validity, enforceability and scope of protection of intellectual property rights in other countries are uncertain and may afford little or no effective protection of our proprietary technology, and the risk of intellectual property misappropriation may be higher in these countries. As we expand into additional countries, these risks will be further enhanced. Consequently, we may be unable to prevent our proprietary technology from being infringed or exploited abroad, which could affect our ability to expand into international markets or require costly efforts to protect our technology.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protect our intellectual property rights, we may be required to spend significant resources to monitor and protect these rights. Litigation brought to protect and enforce our intellectual property rights will be costly, time consuming and distracting to our management and could result in the impairment or loss of our intellectual property. Furthermore, our efforts to enforce our intellectual property rights may be met with defenses, counterclaims and countersuits attacking the validity and enforceability of our intellectual property rights, which could weaken our intellectual property protection. Accordingly, we may not be able to prevent third parties from infringing upon or misappropriating our intellectual property. Our failure to secure, protect and enforce our intellectual property rights could substantially harm the value of our technology, solutions, brand and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will likely continue to be subject to third-party intellectual property infringement claims.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is considerable patent and other intellectual property development activity and litigation in our industry. Our success depends upon our not infringing upon the intellectual property rights of others. Our competitors, as well as a number of other entities and individuals, may own or claim to own intellectual property relating to our industry. From time to time, third parties have claimed that we are infringing upon their intellectual property rights.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technology necessary for us to provide our solution may be patented, copyrighted or otherwise protected by other parties either now or in the future. In such case, we would have to negotiate a license for the use of that technology. We may not be able to negotiate such a license at a price that is acceptable, or at all. The existence of such a patent, copyright or other protections, or our inability to negotiate a license for any such technology on acceptable terms, could force us to cease using such technology and offering solutions incorporating such technology.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Others have claimed, or in the future may claim, that our solution and underlying technology infringe or violate their intellectual property rights. However, we may be unaware of the intellectual property rights that others may claim cover some or all of our technology or solution. Any claims or litigation could cause us to incur significant costs and expenses and, if successfully asserted against us, could require that we pay substantial damages or ongoing royalty payments, require that we refrain from using, manufacturing or selling certain offerings or features or using certain processes, prevent us from offering our solution or certain features thereof, or require that we comply with other unfavorable terms, any of which could harm our business and operating results. We may also be obligated to indemnify our clients or business partners and pay substantial settlement costs, including royalty payments, in connection with any such claim or litigation and to obtain licenses, which could be costly. Even if we were to prevail in any such dispute, any litigation regarding our intellectual property could be costly and time consuming and divert the attention of our management and key personnel from our business operations.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Indemnity provisions in various agreements potentially expose us to substantial liability for intellectual property infringement and other losses.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we enter into agreements of varying scope and terms pursuant to which we agree to indemnify clients, vendors, lessors, business partners and other parties for third party claims with respect to certain matters, including, but not limited to, losses arising out of breach of such agreements, certain claims related to third-party privacy or cyber security breaches or from intellectual property infringement claims made by third parties.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Large indemnity payments or damage claims from contractual breach could harm our business, results of operations and financial condition. Although we typically contractually limit our liability with respect to such obligations, we may still incur substantial liability related to them. Any dispute with a client with respect to such obligations could be expensive, even if we ultimately prevail, and could harm our relationship with that client and other current and prospective clients, reduce demand for our solution and harm our business, results of operations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We employ third-party licensed software for use in or with our solution, and the inability to maintain these licenses or errors in the software we license could result in increased costs, or reduced service levels, which could harm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incorporates certain third-party software obtained under licenses from other companies. We anticipate that we will continue to rely on current and new software from third parties in the future. Although we believe that there are commercially reasonable alternatives to the third-party software we currently license, this may not be the case, or may not be the case for new software that we license, or it may be difficult or costly to transition to other providers. In addition, integration of the software used in our solution with new third-party software may require significant work and require substantial investment of our time and resources. To the extent that our solution depends upon the successful operation of third-party software in conjunction with our software, any undetected errors or defects in this third-party software could prevent the deployment or impair the functionality of our solution, delay new product or solution introductions, result in increased costs, or a failure of our solution and injure our reputation. Our use of additional or alternative third-party software would require us to enter into license agreements with third parties and to integrate such software to our solution.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can be no assurance that the technology licensed by us will continue to provide competitive features and functionality or that licenses for technology currently utilized by us or other technology that we may seek to license in the future, including to replace current third-party software, will be available to us at a reasonable cost or on commercially reasonable terms, or at all. Third-party licensors may also be acquired or go out of business, which could preclude us from continuing to use such technology. The loss of, or inability to maintain, existing licenses could result in lost product features and litigation. The loss of existing licenses could also result in implementation delays or reductions until equivalent technology or suitable alternative solutions could be developed or identified, and licensed and these replacements integrated, and could increase our costs and harm our business.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solution utilizes open source software, and any failure to comply with the terms of one or more of these open source licenses could negatively affect our business.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solution includes software covered by open source licenses, which may include, for example, free general public use licenses, open source front-end libraries and open source applications. The terms of various open source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38"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licenses have not been interpreted by United States courts, and there is a risk that such licenses could be construed in a manner that imposes unanticipated conditions or restrictions on our ability to market our solution. By the terms of certain open source licenses, we could be required to release the source code of our proprietary software, and to make our proprietary software available under open source licenses, if we combine our proprietary software with open source software in a certain manner. In the event that portions of our proprietary software are determined to be subject to an open source license, we could be required to publicly release the affected portions of our source code, re-engineer all or a portion of our technologies, or otherwise be limited in the licensing of our technologies, each of which could reduce or eliminate the value of our intellectual property, technologies and solutions. In addition to risks related to license requirements, usage of open source software can lead to greater risks than use of third-party commercial software, as open source licensors generally do not provide warranties or controls on the origin of the software. Given the nature of open source software, there is also a risk that third parties may assert copyright and other intellectual property infringement claims against us based on our use of certain open source software. Many of the risks associated with the usage of open source software cannot be eliminated and could harm our business.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Risks Related to Regulatory and Tax Matters </w:t>
      </w:r>
    </w:p>
    <w:p>
      <w:pPr>
        <w:pStyle w:val="TextBody"/>
        <w:bidi w:val="0"/>
        <w:spacing w:lineRule="auto" w:line="288" w:before="120" w:after="283"/>
        <w:jc w:val="left"/>
        <w:rPr/>
      </w:pPr>
      <w:r>
        <w:rPr>
          <w:rFonts w:ascii="Times New Roman;sans-serif" w:hAnsi="Times New Roman;sans-serif"/>
          <w:b/>
          <w:i/>
          <w:color w:val="000000"/>
          <w:sz w:val="20"/>
        </w:rPr>
        <w:t>Failure to comply with laws and regulations could harm our business and our reputation.</w:t>
      </w:r>
      <w:r>
        <w:rPr>
          <w:color w:val="EE2724"/>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subject to regulation by various federal, state, local and foreign governmental agencies, including agencies responsible for monitoring and enforcing laws and regulations related to employment and labor laws, workplace safety, environmental protection, privacy or data security, consumer protection, telecommunications services, anti-bribery, import/export controls, federal securities and taxes. In certain jurisdictions, these regulatory requirements may be more stringent than those in the United States and in other circumstances these requirements may be more stringent in the United States. Noncompliance with applicable regulations or requirements could subject us to investigations, sanctions, mandatory recalls, notification obligations, enforcement actions, disgorgement of profits, fines, damages, civil and criminal penalties or injunctions. If any governmental sanctions, fines or penalties are imposed, or if we do not prevail in any civil or criminal litigation, our business, operating results, financial condition and reputation could be harmed. In addition, responding to any action will likely result in a significant diversion of management’s attention and resources and an increase in professional fees. Enforcement actions and sanctions could further harm our business, operating results, financial condition and reputation.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Alleged or actual failure to comply with the constantly evolving legal and contractual environment surrounding calling consumers and wireless phone numbers by other companies or our competitors or governmental or private enforcement actions related thereto, could harm our business, financial condition, results of operations and cash flows.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legal and contractual environment surrounding contacting consumers using voice calls or text messages to their wireless phones is constantly evolving. In the United States, two federal agencies, the Federal Trade Commission, or the FTC, and the FCC, and various states have laws including, at the federal level, the TCPA that restrict the placing of certain telephone calls and texts to residential and wireless telephone subscribers by means of automatic telephone dialing systems, prerecorded or artificial voice messages and fax machines, or placing non-autodialed telemarketing calls to individuals who do not wish to receive such calls. These laws require companies to institute processes and safeguards to comply with these restrictions. The legal interpretation of certain of the requirements of these laws continue to be in dispute before the courts and federal agencies, and it is possible that legal decisions and agency actions may further alter the legal requirements involved. Some of these laws, where a violation is established, can be enforced by the FTC, FCC, State Attorneys General, or private party litigants. In these types of actions, the plaintiff may seek damages, statutory penalties, costs and/or attorneys’ fees.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designed our solution to comply with these laws. To the extent that our solution is viewed by clients or potential clients as less functional, or more difficult to deploy or use, because of our solution’s compliance features, we may lose market share to competitors that do not include similar compliance safeguards. Our contractual arrangements with our clients who use our solution to place calls also expressly require them to comply with all such laws and to indemnify us for any failure to do so. We take numerous steps to reasonably confirm that the use of our services complies with applicable laws. Even with these efforts, it is possible that the FTC, FCC, private litigants or others may attempt to hold our clients, or us as a software solution provider, responsible for alleged violations of these laws. To the extent any court finds that the software solution violated a controlling legal standard, we could face indemnification demands from our clients for costs, fees and damages with respect to calls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39"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placed using that solution. It also is possible that we may not successfully enforce or collect upon our contractual indemnities from our clients. Defending such suits can be costly and time-consuming and could result in fines, damages, expenses and losses. Additionally, these laws, and any changes to them or the interpretation thereof, that further restrict calling consumers, including to wireless phone numbers, adverse publicity regarding the alleged or actual failure by companies, including our clients and competitors, to comply with such laws or governmental or private enforcement actions related thereto, could result in a reduction in the use of our solution by our clients and potential clients, which could harm our business, financial condition, results of operations and cash flows.</w:t>
      </w:r>
    </w:p>
    <w:p>
      <w:pPr>
        <w:pStyle w:val="TextBody"/>
        <w:bidi w:val="0"/>
        <w:spacing w:lineRule="auto" w:line="268" w:before="60" w:after="283"/>
        <w:ind w:left="0" w:right="0" w:firstLine="495"/>
        <w:jc w:val="left"/>
        <w:rPr/>
      </w:pPr>
      <w:r>
        <w:rPr>
          <w:rFonts w:ascii="Times New Roman;sans-serif" w:hAnsi="Times New Roman;sans-serif"/>
          <w:b w:val="false"/>
          <w:color w:val="000000"/>
          <w:sz w:val="20"/>
        </w:rPr>
        <w:t>On December 12, 2018, the FCC issued an order concluding that the Short Message Service, or SMS, or text messages, is an information service under federal law and not a telecommunications service. The regulatory significance to us is that the FCC’s decision gives wireless carriers the flexibility to block SMS messages if the carriers identify the messages as unwanted by their wireless customers. More recent FCC decisions also require wireless carriers to block certain calls and text messages. Such blocking efforts by carriers may make it more difficult for our clients to use SMS messages that are provided by us as a part of our overall communications and outreach solution for our clients. Further, on December 18, 2023, the FCC revised its mandate that a consumer’s prior written consent must be secured prior to initiating SMS messages to them that are telemarketing in nature.</w:t>
      </w:r>
      <w:r>
        <w:rPr>
          <w:color w:val="000000"/>
        </w:rPr>
        <w:t xml:space="preserve"> </w:t>
      </w:r>
      <w:r>
        <w:rPr>
          <w:rFonts w:ascii="Times New Roman;sans-serif" w:hAnsi="Times New Roman;sans-serif"/>
          <w:b w:val="false"/>
          <w:color w:val="000000"/>
          <w:sz w:val="20"/>
        </w:rPr>
        <w:t>The revised rules require that such consent cannot be shared between multiple sellers or between different product and service lines. Thus, although SMS comprises only a very small portion of our revenue base, its future availability as an effective tool for communication and outreach for our clients and their customers is uncertain and could cause our solution to be less valuable to clients and potential clients.</w:t>
      </w:r>
    </w:p>
    <w:p>
      <w:pPr>
        <w:pStyle w:val="TextBody"/>
        <w:bidi w:val="0"/>
        <w:spacing w:lineRule="auto" w:line="288" w:before="240" w:after="283"/>
        <w:jc w:val="left"/>
        <w:rPr/>
      </w:pPr>
      <w:r>
        <w:rPr>
          <w:rFonts w:ascii="Times New Roman;sans-serif" w:hAnsi="Times New Roman;sans-serif"/>
          <w:b/>
          <w:i/>
          <w:color w:val="000000"/>
          <w:sz w:val="20"/>
        </w:rPr>
        <w:t>Increased taxes on our service may increase our clients’ cost of using our service and/or increase our costs and reduce our profit margins to the extent the costs are not passed through to our clients, and we may be subject to liabilities for past sales and other taxes, surcharges and fees.</w:t>
      </w:r>
      <w:r>
        <w:rPr>
          <w:color w:val="EE2724"/>
        </w:rPr>
        <w:t xml:space="preserv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analysis of our activities, we have determined that we are obligated to collect and remit U.S. state or local sales, use, gross receipts, excise and utility user taxes, as well as fees or surcharges as a communications service provider in certain U.S. states, municipalities or local tax jurisdictions. We are registered for collecting and remitting applicable taxes where such a determination has been made. Prior to our making such determination, we neither collected nor remitted these taxes, fees or surcharges to applicable local, municipal or state jurisdictions. We continue to analyze our activities to determine if we are subject to these taxes in additional jurisdictions and based on our ongoing assessment of our U.S. state and local tax collection and remittance obligations, we register for tax and regulatory purposes in such jurisdictions and commence collecting and remitting applicable state and local taxes and surcharges to these jurisdictions.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accrued a contingent liability of $1.7 million for our best estimate of the probable amount of taxes and surcharges that may be imposed by various states and municipalities on our activities, including our usage-based and subscription services, prior to registration. This contingent liability is based on our analysis of a number of factors, including the source location of our usage-based fees, the taxability of our subscription services and the rules and regulations in each state. The actual amount of state and local taxes and surcharges paid may differ from our estimates. See Note 10 to the consolidated financial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we have accrued for these potential liabilities in each period, such accruals are based on analyses of our business activities, the operation of our solution, applicable statutes, regulations and rules in each state and locality and estimates of sales subject to sales tax or other charges. State and local taxing and regulatory authorities may challenge our position and may decide to audit our business and operations with respect to state or local sales, use, gross receipts, excise and utility user taxes, fees or surcharges, which could result in our being liable for taxes, fees, or surcharges, as well as related penalties and interest, above our recorded accrued liability or additional liability for taxes, fees, or surcharges, as well as penalties and interest for our clients, which could harm our results of operations and our relationships with our clients. In addition, if our international sales grow, additional foreign countries may seek to impose sales or other tax collection obligations on us, which would increase our exposure to liability.</w:t>
      </w:r>
    </w:p>
    <w:p>
      <w:pPr>
        <w:pStyle w:val="TextBody"/>
        <w:bidi w:val="0"/>
        <w:spacing w:lineRule="auto" w:line="276" w:before="120" w:after="283"/>
        <w:ind w:left="0" w:right="0" w:firstLine="495"/>
        <w:jc w:val="left"/>
        <w:rPr/>
      </w:pPr>
      <w:r>
        <w:rPr>
          <w:rFonts w:ascii="Times New Roman;sans-serif" w:hAnsi="Times New Roman;sans-serif"/>
          <w:b w:val="false"/>
          <w:color w:val="000000"/>
          <w:sz w:val="20"/>
        </w:rPr>
        <w:t>The applicability of state or local taxes, fees or surcharges relative to services such as ours is complex, ambiguous and subject to interpretation and change. If states enact new legislation or if taxing and regulatory authorities promulgate new rules or regulations or expand or otherwise alter their interpretations of existing rules and regulations, we could incur additional liabilities. The amount that we are required to pay under certain of these tax and regulatory structures also continues to increase as a percentage of our telecommunications revenues.</w:t>
      </w:r>
      <w:r>
        <w:rPr>
          <w:color w:val="000000"/>
        </w:rPr>
        <w:t xml:space="preserve"> </w:t>
      </w:r>
      <w:r>
        <w:rPr>
          <w:rFonts w:ascii="Times New Roman;sans-serif" w:hAnsi="Times New Roman;sans-serif"/>
          <w:b w:val="false"/>
          <w:color w:val="000000"/>
          <w:sz w:val="20"/>
        </w:rPr>
        <w:t xml:space="preserve">The collection of additional taxes, fees or surcharges in the future could increase our prices or reduce our profit margins. Compliance with new or existing legislation, rules or regulations may also make us less competitive with those competitors who are not subject to, or choose not to comply with, such legislation, rules or regulations. We have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0"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incurred, and will continue to incur, substantial ongoing costs associated with complying with state or local tax, fee or surcharge requirements in the numerous markets in which we conduct or will conduct business.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 xml:space="preserve">Our ability to maintain compliance with complex rules and technological requirements intended to prevent robocalls and caller ID spoofing poses a significant business risk due to possible blocking of client voice traffic. </w:t>
      </w:r>
    </w:p>
    <w:p>
      <w:pPr>
        <w:pStyle w:val="TextBody"/>
        <w:bidi w:val="0"/>
        <w:spacing w:lineRule="auto" w:line="268" w:before="120" w:after="283"/>
        <w:ind w:left="0" w:right="0" w:firstLine="495"/>
        <w:jc w:val="left"/>
        <w:rPr/>
      </w:pPr>
      <w:r>
        <w:rPr>
          <w:rFonts w:ascii="Times New Roman;sans-serif" w:hAnsi="Times New Roman;sans-serif"/>
          <w:b w:val="false"/>
          <w:color w:val="000000"/>
          <w:sz w:val="20"/>
        </w:rPr>
        <w:t>The FCC has adopted rules based on federal statute that require all providers of voice communications services, with limited exceptions, to implement the STIR/SHAKEN caller identification authentication framework designed to reduce fraudulent robocalls and illegal phone number identification, or ID, spoofing. STIR stands for Secure Telephony Identity Revisited. SHAKEN stands for Secure Handling of Asserted information using toKENs. We have completed our implementation of STIR/SHAKEN technology, but the implementation process was complex and involved compliance with a number of related regulatory regimes.</w:t>
      </w:r>
      <w:r>
        <w:rPr>
          <w:color w:val="000000"/>
        </w:rPr>
        <w:t xml:space="preserve">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STIR/SHAKEN is a series of protocols and a governance framework in which the originating voice service provider attests to the calling party’s identity and is intended to ensure the caller’s ID has not been spoofed in order to reduce the number of illegal robocalls. The STIR/SHAKEN regulatory framework creates a significant business risk for companies such as ours that include clients that originate large volumes of telephone calls to consumers because, if an intermediate or terminating carrier is unable to verify the authenticity of an incoming call from one of our clients, they may, or may be required to block the call, preventing it from reaching the intended party, which would damage our relationship with our clients, and make our solution less attractive to our clients and potential clients.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the FCC required voice service providers to implement other robocall prevention measures, including registering with the FCC’s Robocall Mitigation Database and maintaining a robocall mitigation plan that includes conducting due diligence on customers to ensure they do not engage, or appear to engage, in robocalling or caller ID spoofing. Third party complaints and unusual calling patterns on end user bills must be investigated and the services of non-compliant clients terminated. Voice service providers must also participate in an Industry Traceback Group program to further demonstrate their commitment to preventing robocalls and caller ID spoofing. We have implemented these remedial measures to ensure that other carriers do not misidentify or block voice traffic originated by our clients. Although we believe we have achieved full compliance, the regulatory measures to prevent robocalling and caller ID spoofing are relatively new, complex and continue to change and therefore pose a risk to all voice service providers with respect to the possible misidentification and blocking of voice calls originated by their clients. These new compliance measures have and will increase our regulatory compliance and other costs, could make our solution less attractive to our clients, and any non-compliance could subject us to fines, damages and penalties, or injunctions precluding the use of our solutions or certain features thereof. </w:t>
      </w:r>
    </w:p>
    <w:p>
      <w:pPr>
        <w:pStyle w:val="TextBody"/>
        <w:bidi w:val="0"/>
        <w:spacing w:before="0" w:after="0"/>
        <w:jc w:val="left"/>
        <w:rPr/>
      </w:pPr>
      <w:r>
        <w:rPr/>
      </w:r>
    </w:p>
    <w:p>
      <w:pPr>
        <w:pStyle w:val="TextBody"/>
        <w:bidi w:val="0"/>
        <w:spacing w:lineRule="auto" w:line="276" w:before="0" w:after="0"/>
        <w:jc w:val="left"/>
        <w:rPr>
          <w:rFonts w:ascii="Times New Roman;sans-serif" w:hAnsi="Times New Roman;sans-serif"/>
          <w:b/>
          <w:i/>
          <w:color w:val="000000"/>
          <w:sz w:val="20"/>
        </w:rPr>
      </w:pPr>
      <w:r>
        <w:rPr>
          <w:rFonts w:ascii="Times New Roman;sans-serif" w:hAnsi="Times New Roman;sans-serif"/>
          <w:b/>
          <w:i/>
          <w:color w:val="000000"/>
          <w:sz w:val="20"/>
        </w:rPr>
        <w:t>Our ability to offer services outside the United States is subject to different regulatory and taxation requirements, which may be complicated and uncertain.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the sale and implementation of our solution internationally, we will be subject to additional regulations, taxes, surcharges and fees. Compliance with these new complex regulatory requirements differ from country to country, and are frequently changing and may impose substantial compliance burdens on our business. At times, it may be difficult to determine which laws and regulations apply and we may discover that we are required to comply with certain laws and regulations after having provided services for some time in that jurisdiction, which could subject us to retroactive taxes, fees and penalties, and we may be subject to conflicting requirements. Additionally, as we expand internationally, the risk that governments will regulate or impose new or increased taxes or fees on our services increases. Any such additional regulation or taxes could increase our costs and our tax payments, decrease the value of our international expansion, or impede our ability to expand internationally, and therefore harm our results of operations.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Organization for Economic Co-operation and Development (“OECD”) Pillar 2 guidelines address the increasing digitalization of the global economy, re-allocating taxing rights among countries. The European Union and many other member states have committed to adopting Pillar 2 which calls for a global minimum tax of 15% to be effective for tax years beginning in 2024. The OECD guidelines published to date include transition and safe harbor rules around the implementation of the Pillar 2 global minimum tax. We are monitoring developments and evaluating the impacts these new rules will have on our tax rate, including eligibility to qualify for these safe harbor rules.</w:t>
      </w:r>
    </w:p>
    <w:p>
      <w:pPr>
        <w:pStyle w:val="TextBody"/>
        <w:bidi w:val="0"/>
        <w:spacing w:lineRule="auto" w:line="276"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are subject to assessments for unpaid USF contributions, as well as interest thereon and civil penalties, due to our prior position that we were not subject to regulation as a USF contributor and as an international carrier.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classified as a telecommunications service provider for regulatory purposes and we are required to make direct contributions to the USF based on revenue we receive from the resale of interstate and certain international telecommunications services. In order to comply with the obligation to make direct contributions, we are registered with the Universal Service Administrative Company, or USAC, which is charged by the FCC with administering the USF, and have been remitting the required contributions to USAC since our registration with USAC in April 2013.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also made retroactive USF contributions based on our revenues for the period from 2008 to 2012. We have an unresolved and arguably dormant dispute with the FCC, however, regarding whether we are liable for USF contributions related to the period from 2003 through 2007. As of December 31, 2023, we had accrued $0.1 million in interest related to the disputed assessments for the period of 2003 through 2007. See Note 10 to the consolidated financial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ongoing obligations to pay federal, state and local telecommunications contributions and taxes may decrease our price advantage over, and ability to compete with our competitors who are not subject to, or choose not to comply with, those requirements. In addition, if we are unable to continue to pass some or all of the cost of these contributions and taxes to our clients, our profit margins on the telecommunication service minutes we resell will decrease. Our federal contributions and tax obligations may significantly increase in the future, due to new interpretations by governing authorities, governmental budget pressures, changes in our business model or solutions or other factors. </w:t>
      </w:r>
    </w:p>
    <w:p>
      <w:pPr>
        <w:pStyle w:val="TextBody"/>
        <w:bidi w:val="0"/>
        <w:spacing w:lineRule="auto" w:line="288" w:before="240" w:after="283"/>
        <w:jc w:val="left"/>
        <w:rPr/>
      </w:pPr>
      <w:r>
        <w:rPr>
          <w:rFonts w:ascii="Times New Roman;sans-serif" w:hAnsi="Times New Roman;sans-serif"/>
          <w:b/>
          <w:i/>
          <w:color w:val="000000"/>
          <w:sz w:val="20"/>
        </w:rPr>
        <w:t>If we do not comply with FCC rules and regulations, we could be subject to further FCC enforcement actions, fines, loss of licenses and possibly restrictions on our ability to operate or offer certain of our services.</w:t>
      </w:r>
      <w:r>
        <w:rPr>
          <w:color w:val="EE2724"/>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our business is regulated by the FCC, we are subject to existing or potential FCC regulations relating to privacy, disability access, access to and porting of numbers, USF contributions and other requirements. If we do not comply with FCC rules and regulations, we could be subject to FCC enforcement actions, fines, loss of licenses and possibly restrictions on our ability to operate or offer certain of our services. Any enforcement action by the FCC, which may be a public process, would hurt our reputation in the industry, could impair our ability to sell our services to clients and could harm our business and results of operations.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regulations to which we are subject (in whole or in part) include: </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the TRACED Act and corresponding regulations from the FCC, which requires carriers to authenticate incoming calls using the STIR/SHAKEN caller ID framework and correspondingly compels providers of telecommunications services to implement capabilities to certify as authentic the traffic they provide to those carriers, and to block transmission of certain calls;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the Communications Assistance for Law Enforcement Act, or CALEA, which requires covered entities to assist law enforcement in undertaking electronic surveillance;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enhanced 911 rules, KARI’s Law and RAY BAUM’s Act, which, in some circumstances, require telecommunications service providers to ensure their users can directly dial 911 emergency services and, if technically feasible, automatically convey dispatchable location information with the call;</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contributions to the USF which requires that we pay a percentage of our revenues resulting from the provision of interstate and some international telecommunications services to support certain federal programs;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payment of annual FCC regulatory fees based on our interstate and international revenues;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rules pertaining to access to our services by people with disabilities and contributions to the Telecommunications Relay Services fund;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FCC rules regarding CPNI which requires that we limit disclosure of certain information received from customers without client approval, subject to certain exceptions.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we do not comply with any current or future rules or regulations that apply to our business, we could be subject to additional and substantial fines and penalties, we may have to restructure our solution, exit certain markets, accept lower margins or raise the price of our solution, any of which could harm our business and results of operations.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42"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pPr>
      <w:r>
        <w:rPr>
          <w:rFonts w:ascii="Times New Roman;sans-serif" w:hAnsi="Times New Roman;sans-serif"/>
          <w:b/>
          <w:i/>
          <w:color w:val="000000"/>
          <w:sz w:val="20"/>
        </w:rPr>
        <w:t>We may not be able to utilize a significant portion of our net operating loss or research tax credit carryforwards, which could harm our profitability and financial condition.</w:t>
      </w:r>
      <w:r>
        <w:rPr>
          <w:color w:val="EE2724"/>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federal, state and foreign net operating loss carryforwards due to prior period losses of $403.4 million, $298.6 million and $14.0 million, respectively, available to reduce future income subject to income taxes. If not utilized, $69.5 million of federal and various amounts of significant state net operating loss carryforwards will begin to expire in 2027 and 2028, respectively, $339.9 million of federal net operating losses, as well as the foreign net operating losses, do not expire. As of December 31, 2023, we also had gross research credit carryforwards for federal and California state tax purposes of $12.9 million and $7.5 million, respectively. The federal research credit carryforwards will expire between 2024 and 2043. The California research credit carryforwards do not expire. If we are unable to generate sufficient taxable income to utilize our net operating loss and research tax credit carryforwards, these carryforwards could expire unused and be unavailable to offset future income tax liabilities, which could harm our profitability and financial condition in future periods.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under Section 382 of the Internal Revenue Code of 1986, as amended, or IRC Section 382, our ability to utilize net operating loss carryforwards or other tax attributes, such as research tax credits, in any taxable year may be limited if we experience an “ownership change.” The events that may cause ownership changes include, but are not limited to, a cumulative stock ownership change of greater than 50 percentage points over a three-year period. Similar rules may apply under state tax laws. We experienced ownership changes prior to 2015 and the disclosed amounts of our net operating losses and research credit carryforwards have been reduced for the resulting effect of the IRC Section 382 limitations, as necessary. Subsequent or future issuances or sales of our stock (including certain transactions involving our stock that are outside of our control) could cause an “ownership change” again, which would impose an annual limit on the amount of pre-ownership change net operating loss carryforwards and other tax attributes we can use to reduce our taxable income. This could potentially cause those tax attributes to expire unused or to be reduced, which would increase and accelerate our liability for income taxes. It is possible that such an ownership change could materially reduce our ability to use our net operating loss carryforwards or other tax attributes to offset taxable income, which could require us to pay more income taxes than if we were able to fully utilize our net operating loss carryforwards and harm our profitability.</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Privacy concerns and domestic or foreign laws and regulations may reduce the demand for our solution, increase our costs and harm our business.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clients use our solution to collect, transfer, use, and otherwise process, collectively, Process or Processing, personal data regarding their customers and potential customers. The Processing of personal data and other types of protected data subjects us and our customers to a number of domestic and international laws that govern and regulate the Processing of personal data and other types of protected data. These laws regulate and address a range of issues including data privacy (e.g., restrictions or technological or process requirements regarding the Processing of data), cybersecurity (e.g., requirements for the protection of personal data against compromise of the confidentiality, integrity, or availability of personal data), breach notification, data governance, and risk management and reporting including as relevant to use of certain AI-based systems and solutions. These laws can vary substantially from jurisdiction to jurisdiction, and are rapidly evolving. Domestic and international government authorities are considering adopting, or may adopt, laws and regulations in the future, regarding the Processing of personal data obtained from consumers and individuals. Government authorities and, in some cases, private party litigants could pursue claims against us or our customers. In these types of actions, the plaintiff may seek damages, statutory penalties, costs and/or attorneys’ fees.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U.S., there are numerous federal and state laws governing the privacy and security of personal data. For instance, we may be subject to FTC enforcement actions if the FTC has reason to believe we have engaged in unfair or deceptive privacy or data security practices in violation of the FTC Act. There are also state privacy laws, including the California Consumer Privacy Act, or CCPA, the California Privacy Rights Act, or CPRA, the Colorado Privacy Act, or CPA, the Connecticut Data Privacy Act, or CDPA, the Utah Consumer Privacy Act, or UCPA, and the Virginia Consumer Data Protection Act, or VCDPA, that set forth comprehensive privacy obligations regarding the Processing of personal data, which relevant State Attorney General or other state regulatory bodies can enforce. Other states have recently enacted their own versions of data privacy laws, and we expect this trend to continue. Some states also have enacted privacy laws focusing on particular types of information, such as health or biometric information, including Connecticut, Illinois, Nevada, and Washington, and private party litigants are exploring whether state wiretap laws, statutory invasion of privacy, and common law claims may be used to pursue privacy causes of action.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43"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Moreover, data protection laws and regulations outside the United States, including Brazil, Canada, China, Japan, Russia, Singapore, the United Kingdom and particularly in the EU, often are more restrictive than those in the United States. Such laws and regulations may have more stringent compliance obligations in regards to data protection. While some aspects of these laws are similar to the new U.S. state privacy laws in terms of providing for data subject privacy rights of access, deletion, correction, and portability, the EU laws often require affirmative consent for some types of data processing, and broader requirements for informing data protection authorities and individuals of security breaches that affect their personal data. We also may be bound by additional, more stringent contractual obligations relating to our collection, use, disclosure and data transfers of personal, financial, and other data outside the EU. It is possible that a governmental authority may implement a new law or interpret an existing law in a manner that limits our customers’ ability to use our solution or that requires us to make costly or detrimental changes in our solution and services, whether on a one-time basis or as an ongoing increase in our operating costs and expenses. Further, some laws might require us to disclose proprietary or confidential aspects of our solution in a manner that compromises the effectiveness of our solution or that enables our competitors or bad actors to gain insight into the operation of our technology, enabling them to copy or circumvent our solution and thereby reducing the value of our technology.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costs of compliance with, and other burdens imposed by, such laws and regulations that are applicable to us and the businesses of our clients may limit the use and adoption of our solution and reduce overall demand for our solution. Also, failure to comply with such laws may lead to significant fines, penalties or other regulatory liabilities, such as orders or consent decrees forcing us or our clients to modify business practices, and reputational damage or third-party lawsuits for any noncompliance with such laws. Our business could be harmed if legislation or regulations are adopted, interpreted or implemented in a manner that is inconsistent from country to country and inconsistent with our current policies and practices, or those of our clients.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data privacy and protection concerns may cause consumers to resist providing personal data or other types of protected data that may be subject to laws and regulations that is necessary to allow our clients to use our solution effectively. Even the perception of privacy concerns, whether or not valid, may inhibit market adoption of our solution in certain industries or countries.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The European Union’s GDPR may continue to increase our costs and the costs of our clients to operate, limit the use of our solution or change the way we operate, exposes us to substantial fines and penalties if we fail to comply, and has led to similar laws being enacted in other jurisdictions.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and many of our customers are subject to the GDPR based upon our processing of personal data collected from EU data subjects, such as our processing of personal data of our customers in the EU and our processing of our EU employees’ personal data.</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GDPR can trigger steep fines of up to €20 million or 4% of total worldwide annual turnover, whichever is higher. The member states of the EU were tasked under the GDPR to enact certain implementing legislation that would add to or further interpret the GDPR requirements and this additional implementing legislation potentially extends our obligations and potential liability for failing to meet such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Given the breadth and depth of changes in data protection obligations, our compliance with the GDPR’s requirements will continue to require time, resources and review of the technology and systems we use to satisfy the GDPR’s requirements. We have ongoing procedures to maintain GDPR compliance. We continue to deliver product features that enhance our data management and security in support of GDPR compliance.</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Among the compliance obligations the GDPR raises for us and our customers are requirements regarding the transfer of personal data from the EU to other jurisdictions, including the United States. We continue to rely on Standard Contractual Clauses, or SCCs, and have updated our use of use of SCCs to the EU’s latest versions, as well as separate U.K. versions of the SCCs. Even still, there continue to be EU legal decisions and certain regulatory guidance that cast doubt on the legality of EU-U.S. data flows in general. Any inability to transfer personal data from the EU to the U.S. in compliance with data protection laws may impede our ability to attract and retain customers and adversely affect our business and financial position. As a result, it may be necessary to establish additional systems and business operations in the EU to avoid the transfer of personal data out of the EU. Should a change in the conduct of our business be required, it may involve substantial expense and the diversion of resources from other aspects of our business, all of which may harm our business and results of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44"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Jurisdictions outside of the EU are also considering and/or enacting comprehensive data protection legislation. For example, on July 8, 2019, Brazil enacted the General Data Protection Law, or the LGPD, and on June 5, 2020, Japan passed amendments to its Act on the Protection of Personal Information, or the APPI. Both laws broadly regulate the processing of personal information in a manner comparable to the GDPR, and violators of the LGPD and APPI face substantial penalties. Most recently, India enacted the Digital Personal Data Protection Act, 2023, which establishes a legal framework regulating the processing of personal data in India and processing outside of India if it is related to offering goods or services to individuals in India. The law is comparable to GDPR in many ways, but also has some distinct elements, which forthcoming regulations may further clarify. We also continue to see jurisdictions, such as Russia, imposing data localization laws, which under Russian laws require personal information of Russian citizens to be, among other data processing operations, initially collected, stored, and modified in Russia. Similarly, on November 1, 2021, China’s Personal Information Protection law came into effect, which places restrictions on the transfer of personal information to third parties within China or overseas. These regulations may deter customers from using services such as ours, and may inhibit our ability to expand into those markets or prohibit us from continuing to offer services in those markets without significant financial burden.</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GDPR and other laws or regulations associated with the enhanced protection of certain types of personal data, could greatly increase our cost of providing our solutions and services, require significant changes to our operations or even prevent us from offering certain services in jurisdictions in which we operate. Failure to comply with data protection regulations may result in data protection authorities and other privacy regimes imposing additional obligations to obtain consent from data subjects by or on behalf of our customers. Additionally, the inability to guarantee compliance or otherwise provide acceptable privacy assurances may inhibit the sale and use of our software in the EU and certain other markets, which could, were it to occur, harm our business and operating results.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Because the interpretation and application of many privacy and data protection laws (including the GDPR), commercial frameworks, and standards are uncertain, it is possible that these laws, frameworks, and standards may be interpreted and applied in a manner that is inconsistent with our existing data protection practices. If so, we and our customers are at risk of enforcement actions taken by data protection authorities or litigation from consumer advocacy groups acting on behalf of data subjects. In addition to the possibility of fines, lawsuits, breach of contract claims, and other claims and penalties, we could be required to fundamentally change our business activities and practices or modify our solutions, which could have an adverse effect on our business. Any inability to adequately address privacy and security concerns, even if unfounded, or comply with applicable privacy and security or data security laws, regulations, and policies, could result in additional cost and liability to us, damage our reputation, inhibit sales, and adversely affect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U.S. state privacy laws, including the CCPA, CPA, CTDPA, UCPA and VCDPA could increase our costs and the costs of our clients to operate, limit the use of our solution or change the way we operate, and expose us to substantial fines and class action risk if we fail to comply, and lead to similar laws being enacted in other states. </w:t>
      </w:r>
    </w:p>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CCPA, CPA, CTDPA, UCPA, VCDPA, and other privacy laws in the United States apply to certain entities doing business in such states, and we and our qualifying customers were required to comply with applicable requirements as of the effective dates of the applicable state laws or corresponding regulations.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U.S. state privacy laws establish a privacy framework for covered businesses by creating an expanded definition of personal data and creating new data privacy rights for eligible residents in those states, including the right to the right to access, delete or correct such data, the right to opt out of sales or use of their personal data for targeted advertising or profiling purposes, the right to limit the use and disclosure of their sensitive personal data and the right to be free from discrimination for exercising their rights. Eligible residents of those states may also appeal any decision or indecision related to the exercise of any of their data privacy rights. As required by the statutes, covered entities also have disclosure obligations to consumers for whom they collect or process personal data. Complying with these obligations involves continued expenditures that could increase as more consumers exercise their privacy law rights.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U.S. state privacy laws create new and potentially severe statutory damages frameworks for violations of their provisions. Additionally, the CCPA creates a private right of action for consumers whose personal data is subject to a data breach. This private right of action has the potential to create significant class action liability for businesses, like ours, that operate in California. To protect against these new risks, it may be necessary to change our insurance programs.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45"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effects of the U.S. state privacy laws are potentially significant and may require us to modify our data collection or processing practices and policies and to incur substantial costs and expenses in an effort to comply and increase our potential exposure to regulatory enforcement and/or litigation. We anticipate that more states may enact their own comprehensive or subject matter specific privacy legislation and provide consumers with new privacy rights and increases the privacy and security obligations of entities handling certain personal data of such consumers. These laws have prompted a number of proposals for new federal and state-level privacy legislation, and related legislation affecting the use of certain types of AI-based systems and services. Such proposed legislation, if enacted, may add additional complexity, variation in requirements, restrictions and potential legal risk, require additional investment of resources in compliance programs, impact strategies and the availability of previously useful data and could result in increased compliance costs and/or changes in business practices and policies.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Convertible Senior Notes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Servicing our debt may require a significant amount of cash. We may not have sufficient cash flow from our business to pay our indebtedness, and we may not have the ability to raise the funds necessary to settle conversions of the convertible senior notes in cash or to repurchase the convertible senior notes for cash upon a fundamental change, which could adversely affect our business and results of operations.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May and June 2020, we issued $747.5 million in aggregate principal amount of the 2025 convertible senior notes in a private offering, all of which were outstanding as of December 31, 2023. The 2025 convertible senior notes mature on June 1, 2025, and the interest rate of the 2025 convertible senior notes is fixed at 0.500% per annum, payable semiannually in arrears on June 1 and December 1 of each year, beginning on December 1, 2020.</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ability to make scheduled payments of principal and interest, or to refinance our indebtedness, including the 2025 convertible senior notes, depends on our future performance, which is subject to economic, financial, competitive and other factors beyond our control, including those described in this report. Our business may not generate cash flows from operations in the future that are sufficient to service our debt and make necessary capital expenditures. If we are unable to generate sufficient cash flows, we may be required to pursue one or more alternatives, such as selling assets, restructuring debt or obtaining additional debt financing or equity capital on terms that may be onerous or highly dilutive to existing holders of our common stock. Our ability to obtain additional financing or refinance the 2025 convertible senior notes, or any future indebtedness, will depend on conditions in the capital markets and our financial condition at such time, among other factors. We may not be able to engage in any of these activities on favorable terms or at all, which could result in a default on our debt obligations or other material adverse effects on our business and financial condition.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Subject to certain conditions, holders of the 2025 convertible senior notes have the right to require us to repurchase for cash all or any portion of their 2025 convertible senior notes upon the occurrence of a fundamental change (as defined in the indenture governing the 2025 convertible senior notes) at a fundamental change repurchase price equal to 100% of the principal amount of the 2025 convertible senior notes to be repurchased, plus accrued and unpaid interest, if any, to, but excluding, the applicable fundamental change repurchase date.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Upon conversion of the 2025 convertible senior notes in accordance with their terms, unless we elect to deliver solely shares of our common stock to settle such conversion (other than paying cash in lieu of delivering any fractional share), we will be required to settle a portion or all of our conversion obligation through the payment of cash. We may not have enough available cash or be able to obtain financing at the time we are required to make repurchases in connection with such conversion and our ability to pay may be further limited by law, regulatory authority or agreements governing our future indebtedness. Our failure to repurchase any 2025 convertible senior notes at a time when the repurchase is required by the indenture or to pay any cash payable on any future conversions as required by the indenture would constitute a default under the indenture. A default under the indenture would lead to, and the occurrence of the fundamental change itself may also lead to, a default under agreements governing our future indebtedness. If the repayment of the related indebtedness were to be accelerated after any applicable notice or grace periods, we may not have sufficient funds to repay the indebtedness or repurchase the 2025 convertible senior notes when required, or to make cash payments upon conversions thereof.</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triggered, the conditional conversion feature of the 2025 convertible senior notes may adversely affect our financial condition and operating results.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If and to the extent the conditional conversion feature of our 2025 convertible senior notes is triggered, holders of the 2025 convertible senior notes will be entitled to convert their 2025 convertible senior notes at any time during specified periods at their option. During the three months ended December 31, 2023, the conversion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46"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features of the 2025 convertible senior notes were not triggered. Accordingly, holders of the 2025 convertible senior notes are not entitled to convert their convertible senior notes from January 1, 2024 to March 31, 2024. Whether the 2025 convertible senior notes will be convertible after March 31, 2024 will depend on the satisfaction of the conversion conditions.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that the conditional conversion features of the 2025 convertible senior notes are triggered in the future, holders of the 2025 convertible senior notes will be entitled to convert their 2025 convertible senior notes at any time during the specified periods at their option. If one or more holders elect to convert their 2025 convertible senior notes during any such specified period, we have the option to pay or deliver, as the case may be, cash, shares of our common stock or a combination of cash and shares of our common stock, at our election. Any election to settle conversions of 2025 convertible senior notes with cash could adversely affect our liquidity.</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Transactions relating to the 2025 convertible senior notes may dilute the ownership interests of our existing stockholders or adversely affect the market price of our common stock; the trading price of our 2025 convertible senior notes may be affected by volatility in the price of our common stock.</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conversion of some or all of the 2025 convertible senior notes would dilute the ownership interests of our existing stockholders to the extent we satisfy our conversion obligation by delivering shares of our common stock. In this regard, if holders of the 2025 convertible senior notes elect to convert their notes, we may settle our conversion obligations by delivering to them cash, shares of our common stock or a combination thereof. In addition, we may issue shares of our common stock in connection with repurchases, exchanges or other transactions involving the convertible senior notes. Historically, we have elected to satisfy our convertible senior note conversion obligations through the payment of cash in certain circumstances, the issuance of shares of common stock in other circumstances, or a combination thereof, to such convertible senior note holders. See Part II, Item 7. Management’s Discussion and Analysis of Financial Condition and Results of Operation—Liquidity and Capital Resources, for further discussion of our elections to satisfy our conversion obligations.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in connection with the issuance of the 2025 convertible senior notes, we entered into capped call transactions with certain financial institutions, or the Option Counterparties. The capped call transactions are expected generally to reduce the potential dilution to holders of our common stock upon any conversion or settlement of the 2025 convertible notes and/or offset any cash payments we are required to make in excess of the principal amount of such 2025 convertible senior notes, as the case may be, with such reduction and/or offset subject to a cap under the terms of the capped call transactions. We expect that the Option Counterparties or their respective affiliates may from time to time purchase shares of our common stock and/or enter into various derivative transactions with respect to our common stock in connection with their hedging activities relating to the capped call transactions. The Option Counterparties or their respective affiliates also may modify their hedge positions by entering into or unwinding such derivative transactions and/or purchasing or selling our common stock or other securities of ours in secondary market transactions prior to the applicable maturity of the 2025 convertible senior notes. These activities could negatively affect the market price of our common stock. </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Volatility and declines in the trading price of our common stock may result in decreases in the trading prices of our 2025 convertible senior notes. Our 2025 convertible senior notes do not trade in a liquid market and are thus subject to increased volatility, particularly when our common stock price is volatile.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General Risk Factors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Our stock price has been volatile, may continue to be volatile and may decline, including due to factors beyond our control.</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common stock has been volatile in the past and may fluctuate significantly in the future in response to numerous factors, many of which are beyond our control. During the twelve months ended December 31, 2023, the sale price per share of our common stock ranged from a low of $51.50 to a high of $87.94. Factors that may contribute to continuing volatility in the price of our common stock include:</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actual or anticipated fluctuations or declines in our operating results;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impact of adverse economic conditions, including the impact of macroeconomic deterioration, including continued inflation, increased interest rates, supply chain disruptions, decreased economic output and fluctuations in currency rates, the impact of the Russia-Ukraine conflict, the impact of the conflict in Israel, or other factors;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loss of clients or a reduction, or slower growth, in subscriptions or features subscribed to by our existing clients;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47"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any major change in our board of directors or management;</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financial projections we provide to the public, any changes in these projections, our failure to meet these projections, or our failure to exceed these projections by amounts or percentages expected by our investors and analysts;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failure of securities analysts to initiate or maintain coverage of our company, changes in financial estimates by any securities analysts who follow our company, or our failure to meet these estimates or the expectations of investors;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ratings changes by any securities analysts who follow our company;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sales of our common stock (or securities that convert into our common stock) by us or sales by our significant stockholders, or the public announcement of same;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assessment of our business or position in our market published in research and other reports;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announcements by us or our competitors of significant product or technical innovations, financings, acquisitions, strategic partnerships, joint ventures or capital commitments;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entry into the market by new competitors, or the introduction of new products or the generation of new sales by us or our competitors;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other technology companies generally, or those in the software as a service industry in particular;</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including as a result of trends in the U.S. or global economy;</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lawsuits threatened or filed against us;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security breaches or incidents impacting our clients or their customers and security breaches of companies that provide solutions similar to our solution, which could negatively impact our industry as a whole;</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legislation or regulation of our business, the business of our clients, the internet and/or contact centers;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new entrants into and consolidations of the contact center market, including the transition by providers of legacy on-premise contact center systems to cloud solutions;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acquisitions by us or our competitors, and our ability to effectively integrate and achieve the desired benefits from acquisitions by us;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the perceived or real impact of events that harm our competitors;</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loss of key personnel;</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developments with respect to patents or proprietary rights; and</w:t>
      </w:r>
    </w:p>
    <w:p>
      <w:pPr>
        <w:pStyle w:val="TextBody"/>
        <w:bidi w:val="0"/>
        <w:spacing w:lineRule="auto" w:line="268" w:before="0" w:after="0"/>
        <w:ind w:left="0" w:right="0" w:hanging="360"/>
        <w:jc w:val="left"/>
        <w:rPr/>
      </w:pPr>
      <w:r>
        <w:rPr>
          <w:color w:val="000000"/>
        </w:rPr>
        <w:t>•</w:t>
      </w:r>
      <w:r>
        <w:rPr>
          <w:rFonts w:ascii="Times New Roman;sans-serif" w:hAnsi="Times New Roman;sans-serif"/>
          <w:b w:val="false"/>
          <w:color w:val="000000"/>
          <w:sz w:val="20"/>
        </w:rPr>
        <w:t>other events or factors, including those resulting from war, incidents of terrorism or responses to these events, which would be unrelated to our business and industry, and outside of our control.</w:t>
      </w:r>
    </w:p>
    <w:p>
      <w:pPr>
        <w:pStyle w:val="TextBody"/>
        <w:bidi w:val="0"/>
        <w:spacing w:lineRule="auto" w:line="26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stock markets have experienced extreme price and volume fluctuations that have affected and continue to affect the market prices of equity securities of many technology companies, particularly in connection with the continued macroeconomic deterioration, including continued inflation, increased interest rates, supply chain disruptions, decreased economic output and fluctuations in currency rates, the Russia-Ukraine conflict and the conflict in Israel. Stock prices of many technology companies have recently declined, including in some cases in a manner unrelated or disproportionate to the operating performance of those companies. These and other factors may disproportionately impact the trading price of our common stock. In the past, stockholders have instituted securities class action litigation following periods of volatility. If we were to become involved in such securities litigation, it could subject us to substantial costs, divert resources and the attention of management from our business and harm our business, results of operations, financial condition, reputation and cash flows.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If securities or industry analysts discontinue publishing research or reports about our business, or publish negative reports about our business, our share price and trading volume could decline.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common stock depends in part on the research and reports that securities or industry analysts publish about us or our business, our industry, our market and our competitors. We do not have any control over these analysts. If one or more of the analysts who cover us downgrade our shares or change their opinion of our shares or our business, our share price would likely decline. If one or more of these analysts cease coverage of our company or fail to regularly publish reports on us, we could lose visibility in financial markets or our industry market, which could cause our share price or trading volume to decline.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Substantial future sales of shares of our common stock could cause the market price of our common stock and our convertible senior notes to decline.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market price of shares of our common stock and our convertible senior notes could decline as a result of substantial sales of our common stock, particularly sales by our directors, executive officers and significant stockholders or the perception in the market that holders of a large number of shares intend to sell their shares.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48"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future registration of shares of our common stock may cause our stock price and the price of our convertible senior notes to decline, even before such shares are actually sold in the market. We have registered shares of common stock that we may issue under our employee equity incentive plans. These shares can be sold freely in the public market upon issuance.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unable to predict the effect that sales, or the perception that our shares may be available for sale, will have on the prevailing market price of our common stock.</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Anti-takeover provisions in our charter documents and under Delaware law could make an acquisition of our company more difficult, limit attempts by our stockholders to replace or remove our current management and limit the market price of our common stock.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and amended and restated bylaws may have the effect of delaying or preventing a change in control or changes in our management. Our amended and restated certificate of incorporation and amended and restated bylaws: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that our board of directors is classified into three classes of directors;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 xml:space="preserve">provide that stockholders may remove directors only for cause; </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that the authorized number of directors may be changed only by resolution of the board of directors;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that all vacancies, including newly created directorships, may, except as otherwise required by law, be filled by the affirmative vote of a majority of directors then in office, even if less than a quorum;</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that our stockholders may not take action by written consent, and may only take action at annual or special meetings of our stockholders;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that stockholders seeking to present proposals before a meeting of stockholders or to nominate candidates for election as directors at a meeting of stockholders must provide notice in writing in a timely manner, and also specify requirements as to the form and content of a stockholder’s notice;</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restrict the forum for certain litigation against us to Delaware;</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restrict the forum for complaints asserting a cause of action under the Securities Act to the federal district courts;</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do not provide for cumulative voting rights (therefore allowing the holders of a majority of the shares of common stock entitled to vote in any election of directors to elect all of the directors standing for election);</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that special meetings of our stockholders may be called only by the chairman of the board, our chief executive officer or the board of directors pursuant to a resolution adopted by a majority of the total number of authorized directors; and</w:t>
      </w:r>
    </w:p>
    <w:p>
      <w:pPr>
        <w:pStyle w:val="TextBody"/>
        <w:bidi w:val="0"/>
        <w:spacing w:lineRule="auto" w:line="288" w:before="60" w:after="283"/>
        <w:ind w:left="0" w:right="0" w:hanging="360"/>
        <w:jc w:val="left"/>
        <w:rPr/>
      </w:pPr>
      <w:r>
        <w:rPr>
          <w:color w:val="000000"/>
        </w:rPr>
        <w:t>•</w:t>
      </w:r>
      <w:r>
        <w:rPr>
          <w:rFonts w:ascii="Times New Roman;sans-serif" w:hAnsi="Times New Roman;sans-serif"/>
          <w:b w:val="false"/>
          <w:color w:val="000000"/>
          <w:sz w:val="20"/>
        </w:rPr>
        <w:t>provide that stockholders will be permitted to amend our amended and restated bylaws and certain parts of our amended and restated certificate of incorporation only upon receiving at least 66</w:t>
      </w:r>
      <w:r>
        <w:rPr>
          <w:rFonts w:ascii="Times New Roman;sans-serif" w:hAnsi="Times New Roman;sans-serif"/>
          <w:b w:val="false"/>
          <w:color w:val="000000"/>
          <w:sz w:val="13"/>
        </w:rPr>
        <w:t>2</w:t>
      </w:r>
      <w:r>
        <w:rPr>
          <w:rFonts w:ascii="Times New Roman;sans-serif" w:hAnsi="Times New Roman;sans-serif"/>
          <w:b w:val="false"/>
          <w:color w:val="000000"/>
          <w:sz w:val="20"/>
        </w:rPr>
        <w:t>/</w:t>
      </w:r>
      <w:r>
        <w:rPr>
          <w:rFonts w:ascii="Times New Roman;sans-serif" w:hAnsi="Times New Roman;sans-serif"/>
          <w:b w:val="false"/>
          <w:color w:val="000000"/>
          <w:sz w:val="13"/>
        </w:rPr>
        <w:t>3</w:t>
      </w:r>
      <w:r>
        <w:rPr>
          <w:rFonts w:ascii="Times New Roman;sans-serif" w:hAnsi="Times New Roman;sans-serif"/>
          <w:b w:val="false"/>
          <w:color w:val="000000"/>
          <w:sz w:val="20"/>
        </w:rPr>
        <w:t>% of the votes entitled to be cast by holders of all outstanding shares then entitled to vote generally in the election of directors, voting together as a single class.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provisions may frustrate or prevent any attempts by our stockholders to replace or remove our current management by making it more difficult for stockholders to replace members of our board of directors, which is responsible for appointing the members of our management. In addition, because we are incorporated in Delaware, we are governed by the provisions of Section 203 of the Delaware General Corporation Law, which generally prohibits a Delaware corporation from engaging in any of a broad range of business combinations with any “interested” stockholder for a period of three years following the date on which the stockholder became an “interested” stockholder.</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existence of these provisions could negatively affect the price of our common stock and limit opportunities for you to realize value in a corporate transaction. </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Our amended and restated certificate of incorporation provides that the Court of Chancery of the State of Delaware is the sole and exclusive forum for certain disputes between us and our stockholders, and our Bylaws provide that the federal district courts will be the exclusive forum for resolving any complaint asserting a cause of action under the Securities Act, each of which could limit our stockholders’ ability to obtain a favorable judicial forum for disputes with us or our directors, officers, employees, or agents.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49"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amended and restated certificate of incorporation provides that,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directors, officers or other employees to us or to our stockholders, (3) any action asserting a claim arising pursuant to the Delaware General Corporation Law or (4) any action asserting a claim governed by the internal affairs doctrine. Furthermore, our Bylaws provide that, unless we consent in writing to an alternative forum, the federal district courts of the United States are the sole and exclusive forum for the resolution of any complaint asserting a cause of action under the Securities Act.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These choice of forum provisions may limit a stockholder’s ability to bring a claim in a judicial forum that it finds favorable for disputes with us or our directors, officers, employees, or agents, which may discourage such lawsuits against us and our directors, officers, employees and agents even though an action, if successful, might benefit our stockholders. Stockholders who do bring a claim in the Court of Chancery could face additional litigation costs in pursuing any such claim, particularly if they do not reside in or near the State of Delaware. The Court of Chancery or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Alternatively, if a court were to find either of these choice of forum provisions to be inapplicable or unenforceable in an action, we may incur additional costs associated with resolving such action in other jurisdictions, which could harm our business, operating results and financial condition.</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We have never paid cash dividends and do not intend to pay dividends for the foreseeable future.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have never declared or paid any cash dividends on our common stock. We currently intend to retain any future earnings and do not expect to pay any dividends in the foreseeable future. Any future determination to declare cash dividends will be made at the discretion of our board of directors, subject to applicable laws, and will depend on a number of factors, including our financial condition, results of operations, capital requirements, contractual restrictions, including under any future loan facilities, general business conditions and other factors that our board of directors may deem relevant. While our convertible senior notes do not prohibit payment of dividends, any dividends declared and paid by our board of directors would result in an adjustment to the conversion rate of such notes such that additional shares would be issuable upon conversion. Accordingly, holders of our common stock must rely on sales of their common stock after price appreciation, which may never occur, as the only way to realize any future gains on their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1B. Unresolved Staff Comments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1C. Cybersecurity </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Information Security Management Strategy</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developed, implemented and maintain a formal “risk based" Information Security Management System, or ISMS, that is designed to protect the confidentiality, integrity, and availability of the information contained within our systems. ISMS complies with a number of internationally recognized standards for information security, including the ISO 27001:2013 Standard for Information Security, AICPA System and Organization Controls (SOC) for the criteria of Security and Availability; the Payment Card Industry Data Security Standard 3.2.1, or PCI DSS 3.2.1, the global standard for the payment card industry. In accordance with these international standards, and included in the ISMS, is our cybersecurity incident response process and plan.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event of a potential cybersecurity incident, our Chief Information Security Officer, or CISO, is notified of the incident and assembles an Incident Response Team, which is comprised of individuals who have the necessary technical, operational, and regulatory knowledge to assist the CISO. Typically, senior members of our engineering, operations, security, compliance/data protection office, and legal functions comprise the Incident Response Team. The Incident Response Team will conduct an assessment to determine the nature and scope of the incident and manages the incident in accordance with our incident response procedures until the incident is contained and resolved. The Incident Response Team will document findings and make them available to the Incident Classification Team, which is comprised of our CISO, Executive Vice President of Production Engineering, Chief Information Officer, Chief Legal &amp; Compliance Officer, or CLO, Chief Operating Officer, Chief Financial Officer, and their respective delegates. The Incident Classification Team is responsible for assessing the incident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0"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notifying members of our management and our Board. Our Chief Executive Officer, CLO and CISO, in conjunction with third party experts, including outside legal counsel and our internal disclosure committee, are responsible for coordinating external communications and disclosures, including with the Securities and Exchange Commission.</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ISMS has a risk based formulation. The cybersecurity risk process within the ISMS is an integral component of our enterprise risk management program, and shares common methodologies, reporting channels and governance processes that apply across the enterprise risk management program to other legal, compliance, strategic, operational, and financial risk areas. Cybersecurity incidents and their associated risks are integrated into the enterprise risk management program, where appropriate mitigating strategies are determined and acted upon to mitigate cyber security risks.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ISMS and cybersecurity risk management program includes: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risk assessments designed to help identify material cybersecurity risks to our critical systems, information, products, services, and our broader enterprise IT environment;</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 xml:space="preserve">a security team principally responsible for (1) recommending and implementing appropriate technologies to mitigate the cyber security risks; (2) monitoring internal systems and taking appropriate action in the event of alerts; (3) monitoring the threat landscape; and (4) our response to cybersecurity incidents and management of the incident response process and the Incident Response Team; </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the use of external service providers, where appropriate, to assess, test or otherwise assist with aspects of our security controls, including but not limited to outside legal counsel, reputable third-party firms for 24/7 threat monitoring, detection and response, and third-party experts for conducting periodic process assessments to help us evaluate and enhance our cybersecurity practices;</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 xml:space="preserve">cybersecurity awareness training of our employees, incident response personnel, and senior management, which covers a variety of topics designed to educate our employees about the importance of cybersecurity awareness, highlight typical cybersecurity-related risks and issues, such as phishing attacks and other methods used to attempt to infiltrate our systems, and test that awareness using knowledge assessments and simulations; </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 xml:space="preserve">external cybersecurity consultants, including Palo Alto Networks Unit 42 Incident Response team, supervised by our Incident Response Team and Incident Classification Team; </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 xml:space="preserve">a cybersecurity incident response plan that includes procedures for responding to cybersecurity incidents; </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a third-party risk management process for service providers, suppliers, and vendors, pursuant to which we require such third parties to maintain certain security controls and assess their compliance with these requirements; and</w:t>
      </w:r>
    </w:p>
    <w:p>
      <w:pPr>
        <w:pStyle w:val="TextBody"/>
        <w:bidi w:val="0"/>
        <w:spacing w:lineRule="auto" w:line="268" w:before="120" w:after="283"/>
        <w:ind w:left="0" w:right="0" w:hanging="360"/>
        <w:jc w:val="left"/>
        <w:rPr/>
      </w:pPr>
      <w:r>
        <w:rPr>
          <w:color w:val="000000"/>
        </w:rPr>
        <w:t>•</w:t>
      </w:r>
      <w:r>
        <w:rPr>
          <w:rFonts w:ascii="Times New Roman;sans-serif" w:hAnsi="Times New Roman;sans-serif"/>
          <w:b w:val="false"/>
          <w:color w:val="000000"/>
          <w:sz w:val="20"/>
        </w:rPr>
        <w:t xml:space="preserve">independent third party assessments and audits of our ISMS to determine if it meets the requirements of international information security standards such as ISO 27001:2013, PCI DSS 3.2.1, HIPAA HiTech, AICPA SOC criteria for Security and Availability requirements.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have not identified risks from known cybersecurity incidents, including as a result of any prior cybersecurity incidents, that have materially affected or are reasonably likely to materially affect us, including our operations, business strategy, results of operations, or financial condition.</w:t>
      </w:r>
    </w:p>
    <w:p>
      <w:pPr>
        <w:pStyle w:val="TextBody"/>
        <w:bidi w:val="0"/>
        <w:spacing w:lineRule="auto" w:line="26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Governance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considers cybersecurity risk as part of its risk oversight function and the full Board has direct oversight of cybersecurity and other information technology risks as well as oversees management’s implementation of our cybersecurity risk management program. Several of our Board members have substantial cybersecurity experience and have experience in the field, including Ms. Julie Iskow, Ms. Sue Barsamian, Mr. David Welsh and Mr. David DeWalt.</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Board receives quarterly reports from management on our cybersecurity processes and risks. In addition, management updates the Board, as necessary, regarding cybersecurity incidents, including those that are immaterial.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Board also receives briefings from management on our cyber risk management program. Board members receive presentations on cybersecurity topics from our CISO and internal security staff as part of the Board’s continuing education on topics that impact public companies.</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CISO, oversees cybersecurity threats using our Incident Response Team and Incident Classification Team. Our management is responsible for assessing and managing our material risks from cybersecurity threats and incidents and has the primary responsibility for our overall cybersecurity risk management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51"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program and supervise both our internal cybersecurity personnel and our retained external cybersecurity consultants. Our management, including our CISO, brings a wealth of knowledge and expertise to our company. Our CISO has experience in roles including VP Product Security at Palo Alto Networks, VP Product Security at SAP Ariba as well as CISO for SAP Sales Cloud, which demonstrates a proven track record in developing and implementing robust cybersecurity strategies, managing large-scale security operations, and leading incident response initiatives. Our CISO has a deep understanding of emerging cyber threats and technological advancements and is adept at ensuring compliance with regulatory requirements and industry standards, while fostering a culture of security awareness throughout the organization.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through and in conjunction with the Incident Response Team and Incident Classification Team, supervises efforts to prevent, detect, mitigate, and remediate cybersecurity risks and incidents through various means, which may include briefings from internal security personnel; threat intelligence and other information obtained from governmental, public or private sources, including external consultants engaged by us; and alerts and reports produced by security tools deployed in the IT environment.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6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2. Properties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currently lease approximately 180,000 square feet of office space worldwide. Information concerning our principal leased properties as of December 31, 2023 is set forth below: </w:t>
      </w:r>
    </w:p>
    <w:tbl>
      <w:tblPr>
        <w:tblW w:w="10205" w:type="dxa"/>
        <w:jc w:val="left"/>
        <w:tblInd w:w="0" w:type="dxa"/>
        <w:tblLayout w:type="fixed"/>
        <w:tblCellMar>
          <w:top w:w="28" w:type="dxa"/>
          <w:left w:w="28" w:type="dxa"/>
          <w:bottom w:w="28" w:type="dxa"/>
          <w:right w:w="28" w:type="dxa"/>
        </w:tblCellMar>
      </w:tblPr>
      <w:tblGrid>
        <w:gridCol w:w="361"/>
        <w:gridCol w:w="258"/>
        <w:gridCol w:w="229"/>
        <w:gridCol w:w="229"/>
        <w:gridCol w:w="229"/>
        <w:gridCol w:w="238"/>
        <w:gridCol w:w="109"/>
        <w:gridCol w:w="109"/>
        <w:gridCol w:w="109"/>
        <w:gridCol w:w="1754"/>
        <w:gridCol w:w="1740"/>
        <w:gridCol w:w="1758"/>
        <w:gridCol w:w="109"/>
        <w:gridCol w:w="109"/>
        <w:gridCol w:w="109"/>
        <w:gridCol w:w="369"/>
        <w:gridCol w:w="334"/>
        <w:gridCol w:w="336"/>
        <w:gridCol w:w="109"/>
        <w:gridCol w:w="109"/>
        <w:gridCol w:w="109"/>
        <w:gridCol w:w="404"/>
        <w:gridCol w:w="404"/>
        <w:gridCol w:w="581"/>
      </w:tblGrid>
      <w:tr>
        <w:trPr/>
        <w:tc>
          <w:tcPr>
            <w:tcW w:w="3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54"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7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r>
      <w:tr>
        <w:trPr/>
        <w:tc>
          <w:tcPr>
            <w:tcW w:w="1544"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Principal Use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Square Footage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Lease Expiration Date</w:t>
            </w:r>
          </w:p>
        </w:tc>
      </w:tr>
      <w:tr>
        <w:trPr/>
        <w:tc>
          <w:tcPr>
            <w:tcW w:w="1544"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San Ramon, California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headquarters, sales, marketing, product design, professional services, 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104,000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January 2031</w:t>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tcPr>
          <w:p>
            <w:pPr>
              <w:pStyle w:val="TableContents"/>
              <w:bidi w:val="0"/>
              <w:spacing w:before="0" w:after="283"/>
              <w:jc w:val="left"/>
              <w:rPr>
                <w:sz w:val="4"/>
                <w:szCs w:val="4"/>
              </w:rPr>
            </w:pPr>
            <w:r>
              <w:rPr>
                <w:sz w:val="4"/>
                <w:szCs w:val="4"/>
              </w:rPr>
            </w:r>
          </w:p>
        </w:tc>
      </w:tr>
      <w:tr>
        <w:trPr/>
        <w:tc>
          <w:tcPr>
            <w:tcW w:w="15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Philippines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Technical support, training and other professional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26,600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July 2026 </w:t>
            </w:r>
          </w:p>
        </w:tc>
      </w:tr>
      <w:tr>
        <w:trPr/>
        <w:tc>
          <w:tcPr>
            <w:tcW w:w="1544" w:type="dxa"/>
            <w:gridSpan w:val="6"/>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Portugal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Portions of engineering and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August 2025</w:t>
            </w:r>
          </w:p>
        </w:tc>
      </w:tr>
      <w:tr>
        <w:trPr/>
        <w:tc>
          <w:tcPr>
            <w:tcW w:w="1544" w:type="dxa"/>
            <w:gridSpan w:val="6"/>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Australia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sales, marketing and client support services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October 2027</w:t>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2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9" w:type="dxa"/>
            <w:gridSpan w:val="3"/>
            <w:tcBorders/>
            <w:vAlign w:val="center"/>
          </w:tcPr>
          <w:p>
            <w:pPr>
              <w:pStyle w:val="TableContents"/>
              <w:bidi w:val="0"/>
              <w:spacing w:before="0" w:after="283"/>
              <w:jc w:val="left"/>
              <w:rPr>
                <w:sz w:val="4"/>
                <w:szCs w:val="4"/>
              </w:rPr>
            </w:pPr>
            <w:r>
              <w:rPr>
                <w:sz w:val="4"/>
                <w:szCs w:val="4"/>
              </w:rPr>
            </w:r>
          </w:p>
        </w:tc>
      </w:tr>
      <w:tr>
        <w:trPr/>
        <w:tc>
          <w:tcPr>
            <w:tcW w:w="848"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8661" w:type="dxa"/>
            <w:gridSpan w:val="18"/>
            <w:tcBorders/>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hosting of our equipment and software at co-located third-party facilities is also significant to our business. We have entered into rental agreements with third-party facilities in Santa Clara, California; Atlanta, Georgia; and Slough, England, which require monthly payments for a fixed period of time in exchange for certain guarantees of space, and network and telecommunication availability. These agreements expire at various dates through 2028.</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believe our facilities are sufficient for our current needs.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3. Legal Proceedings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Information with respect to this item may be found under the heading “Legal Matters” in Note 10 of the Notes to Consolidated Financial Statements in this Annual Report on Form 10-K, which information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34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52"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ind w:left="0" w:right="0" w:hanging="810"/>
        <w:jc w:val="left"/>
        <w:rPr>
          <w:rFonts w:ascii="Times New Roman;sans-serif" w:hAnsi="Times New Roman;sans-serif"/>
          <w:b/>
          <w:color w:val="000000"/>
          <w:sz w:val="20"/>
        </w:rPr>
      </w:pPr>
      <w:r>
        <w:rPr>
          <w:rFonts w:ascii="Times New Roman;sans-serif" w:hAnsi="Times New Roman;sans-serif"/>
          <w:b/>
          <w:color w:val="000000"/>
          <w:sz w:val="20"/>
        </w:rPr>
        <w:t>ITEM 5. Market for Registrant’s Common Equity, Related Stockholder Matters and Issuer Purchases of Equity Securities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 Information for Common Stock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common stock trades on The NASDAQ Global Market, or NASDAQ, under the symbol “FIVN.”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Number of Common Stock Holders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16, 2024, there were 12 stockholders of record of our common stock who held an aggregate of 73,326,608 shares of our common stock. We believe that there are a substantially greater number of beneficial owners of our common stock.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Dividend Policy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never declared or paid any cash dividends on our common stock. We currently intend to retain any future earnings and do not expect to pay any dividends in the foreseeable future. In addition, while our convertible senior notes do not prohibit payment of dividends, any dividends declared and paid by our board of directors would result in an adjustment to the conversion rate of such notes such that additional shares would be issuable upon conversion. Any future determination to declare cash dividends will be made at the discretion of our board of directors, subject to applicable laws, and will depend on a number of factors, including our financial condition, results of operations, capital requirements, contractual restrictions, including under any future loan facilities, general business conditions and other factors that our board of directors may deem relevant.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For information on securities authorized for issuance under our equity compensation plans, see ITEM 12. Security Ownership of Certain Beneficial Owners and Management and Related Stockholder Matters.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 Sales of Unregistered Securities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Purchases of Equity Securities by the Issuer and Affiliated Purchasers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53"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 Performance Graph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graph below compares the cumulative total return on our common stock with that of the Russell 2000 Index, the NASDAQ Computer Index, and the NASDAQ Computer and Data Processing Index. The period shown commences on December 31, 2018 and ends on December 31, 2023. The graph assumes $100 was invested at the close of market on December 31, 2018 in the common stock of Five9, the Russell 2000 Index, the NASDAQ Computer Index, and the NASDAQ Computer and Data Processing Index, and assumes the reinvestment of any dividends. Commencing this year, we have started to compare our common stock to the NASDAQ Computer Index and will cease using the NASDAQ Computer and Data Processing Index as that index is no longer available. The stock price performance on the following graph is not intended to forecast or be indicative of future stock price performance of our common stock. </w:t>
      </w:r>
    </w:p>
    <w:p>
      <w:pPr>
        <w:pStyle w:val="TextBody"/>
        <w:bidi w:val="0"/>
        <w:spacing w:before="120" w:after="283"/>
        <w:ind w:left="0" w:right="0" w:firstLine="540"/>
        <w:jc w:val="left"/>
        <w:rPr/>
      </w:pPr>
      <w:r>
        <w:rPr/>
      </w:r>
    </w:p>
    <w:p>
      <w:pPr>
        <w:pStyle w:val="TextBody"/>
        <w:bidi w:val="0"/>
        <w:spacing w:before="60" w:after="283"/>
        <w:ind w:left="0" w:right="0" w:firstLine="540"/>
        <w:jc w:val="center"/>
        <w:rPr/>
      </w:pPr>
      <w:r>
        <w:rPr/>
        <w:drawing>
          <wp:inline distT="0" distB="0" distL="0" distR="0">
            <wp:extent cx="5715000" cy="4438650"/>
            <wp:effectExtent l="0" t="0" r="0" b="0"/>
            <wp:docPr id="5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2" descr=""/>
                    <pic:cNvPicPr>
                      <a:picLocks noChangeAspect="1" noChangeArrowheads="1"/>
                    </pic:cNvPicPr>
                  </pic:nvPicPr>
                  <pic:blipFill>
                    <a:blip r:embed="rId3"/>
                    <a:stretch>
                      <a:fillRect/>
                    </a:stretch>
                  </pic:blipFill>
                  <pic:spPr bwMode="auto">
                    <a:xfrm>
                      <a:off x="0" y="0"/>
                      <a:ext cx="5715000" cy="4438650"/>
                    </a:xfrm>
                    <a:prstGeom prst="rect">
                      <a:avLst/>
                    </a:prstGeom>
                  </pic:spPr>
                </pic:pic>
              </a:graphicData>
            </a:graphic>
          </wp:inline>
        </w:drawing>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Five9, Inc. under the Securities Act of 1933, as amended, or the Securities Act of 1934 Exchange, as amended.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ITEM 6. [Reserved]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7. Management’s Discussion and Analysis of Financial Condition and Results of Operations </w:t>
      </w:r>
    </w:p>
    <w:p>
      <w:pPr>
        <w:pStyle w:val="TextBody"/>
        <w:bidi w:val="0"/>
        <w:spacing w:lineRule="auto" w:line="288" w:before="120" w:after="283"/>
        <w:ind w:left="0" w:right="0" w:firstLine="495"/>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You should read the following discussion in conjunction with the consolidated financial statements and notes thereto included elsewhere in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55"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a pioneer and leading provider of intelligent cloud contact centers with more than 3,000 clients. We believe we achieved this leadership position through our expertise and technology, which has empowered us to help organizations of all sizes transition from legacy on-premise contact center systems to our cloud solution. Our solution, comprised of our VCC cloud platform and applications, allows simultaneous management and optimization of customer interactions across voice, chat, email, web, social media and mobile channels, either directly or through our APIs. Our VCC cloud platform matches each customer interaction with an appropriate agent resource and delivers relevant customer data to the agent in real-time through integrations with adjacent enterprise applications, such as CRM software, to optimize the customer experience and improve agent productivity. Unlike legacy on-premise contact center systems, our solution requires minimal up-front investment, can be rapidly deployed and adjusted depending on our client’s requirements.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founding our business in 2001, we have focused exclusively on delivering cloud contact center software. We initially targeted smaller contact center opportunities with our telesales team and, over time, invested in expanding the breadth and depth of the functionality of our cloud platform to meet the evolving requirements of our clients. In 2009, we made a strategic decision to expand our market opportunity to include larger contact centers. This decision drove further investments in research and development and the establishment of our field sales team to meet the requirements of these larger contact centers. We believe this shift has helped us diversify our client base, while significantly enhancing our opportunity for future revenue growth. To complement these efforts, we have also focused on building client awareness and driving adoption of our solution through marketing activities, which include internet advertising, digital marketing campaigns, social media, trade shows, industry events, telemarketing and out of home campaigns.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We provide our solution through a SaaS business model with recurring subscriptions. We offer a comprehensive suite of applications delivered on our VCC cloud platform that are designed to enable our clients to manage and optimize interactions across inbound and outbound contact centers. We primarily generate revenue by selling subscriptions and related usage of our VCC cloud platform. We charge our clients monthly subscription fees for access to our solution, primarily based on the number of agent seats, as well as the specific functionalities and applications our clients deploy. We define agent seats</w:t>
      </w:r>
      <w:r>
        <w:rPr>
          <w:color w:val="000000"/>
          <w:shd w:fill="FFFFFF" w:val="clear"/>
        </w:rPr>
        <w:t xml:space="preserve"> </w:t>
      </w:r>
      <w:r>
        <w:rPr>
          <w:rFonts w:ascii="Times New Roman;sans-serif" w:hAnsi="Times New Roman;sans-serif"/>
          <w:b w:val="false"/>
          <w:color w:val="000000"/>
          <w:sz w:val="20"/>
          <w:shd w:fill="FFFFFF" w:val="clear"/>
        </w:rPr>
        <w:t>as th</w:t>
      </w:r>
      <w:r>
        <w:rPr>
          <w:rFonts w:ascii="Times New Roman;sans-serif" w:hAnsi="Times New Roman;sans-serif"/>
          <w:b w:val="false"/>
          <w:color w:val="000000"/>
          <w:sz w:val="20"/>
        </w:rPr>
        <w:t>e maximum number of named agents allowed to concurrently access our solution. Our clients typically have more named agents than agent seats, and multiple named agents may use an agent seat, though not simultaneously. Substantially all of our clients purchase both subscriptions and related telephony usage from us. A small percentage of our clients subscribe to our platform but purchase telephony usage directly from wholesale telecommunications service providers. We do not sell telephony usage on a stand-alone basis to any client. The related usage fees are based on the volume of minutes for inbound and outbound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Fixed subscription fees, including bundled plans, are generally billed monthly in advance, while related usage fees are billed in arrears. For the years ended December 31, 2023, 2022 and 2021, subscription and related usage fees accounted for 92%, 91% and 92% of our revenue, respectively. The remainder was comprised of professional services revenue from the implementation and optimization of our solution.</w:t>
      </w:r>
    </w:p>
    <w:p>
      <w:pPr>
        <w:pStyle w:val="TextBody"/>
        <w:bidi w:val="0"/>
        <w:spacing w:lineRule="auto" w:line="312"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Macroeconomic and Other Factors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We are subject to risks and exposures, including those caused by adverse economic conditions, including macroeconomic deterioration, the Russia-Ukraine conflict and the conflict in Israel.</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Macroeconomic factors include the global economic slowdown, continued inflation, increased interest rates, supply chain disruptions, decreased economic output and fluctuations in currency exchange rates. We continuously monitor the direct and indirect impacts of these circumstances on our business and financial results, as well as the overall global economy and geopolitical landscape. 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56"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installed base business, which typically contributes approximately half of our annual revenue growth, continues to experience macroeconomic headwinds. </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In March 2022, we decided to close our Russia office and to establish a new European development center in Portugal, in part due to the growing uncertainty arising from the Russia-Ukraine conflict. During the years ended December 31, 2023 and 2022, we incurred approximately $2.8 million and $7.9 million in costs related to the closure and relocation of our Russian operations, of which $0.1 million and $0.7 million was recorded in cost of revenue, $1.7 million and $5.9 million was recorded in research and development expense, $0.5 million and $1.4 million was recorded in general and administrative expense and $0.5 million and $(0.1) million was recorded in interest income and other in our consolidated statements of operations and comprehensive loss. Going forward, we do not expect to incur additional material costs related to the closure and relocation of our Russia operations. We currently do not believe that this decision will have a material effect on our business, results of operations or financial condition.</w:t>
      </w:r>
    </w:p>
    <w:p>
      <w:pPr>
        <w:pStyle w:val="TextBody"/>
        <w:bidi w:val="0"/>
        <w:spacing w:lineRule="auto" w:line="247" w:before="120" w:after="283"/>
        <w:jc w:val="left"/>
        <w:rPr/>
      </w:pPr>
      <w:r>
        <w:rPr>
          <w:rFonts w:ascii="Times New Roman;sans-serif" w:hAnsi="Times New Roman;sans-serif"/>
          <w:b/>
          <w:color w:val="000000"/>
          <w:sz w:val="20"/>
        </w:rPr>
        <w:t>Key GAAP Operating Results</w:t>
      </w:r>
      <w:r>
        <w:rPr>
          <w:color w:val="000000"/>
        </w:rPr>
        <w:t xml:space="preserve">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Our revenue increased to $910.5 million for the year ended December 31, 2023, from $778.8 million and $609.6 million for the years ended December 31, 2022 and 2021, respectively. Revenue growth was primarily attributable to our larger clients, driven by an increase in our sales and marketing activities and our improved brand awareness. For each of the years ended December 31, 2023, 2022 and 2021, no single client accounted for more than 10% of our total revenue. As of December 31, 2023, we had over 3,000 clients across multiple industries with a wide range of seat sizes.</w:t>
      </w:r>
      <w:r>
        <w:rPr>
          <w:color w:val="000000"/>
        </w:rPr>
        <w:t xml:space="preserve"> </w:t>
      </w:r>
      <w:r>
        <w:rPr>
          <w:rFonts w:ascii="Times New Roman;sans-serif" w:hAnsi="Times New Roman;sans-serif"/>
          <w:b w:val="false"/>
          <w:color w:val="000000"/>
          <w:sz w:val="20"/>
        </w:rPr>
        <w:t>We had a net loss of $81.8 million, $94.7 million and $53.0 million for the years ended December 31, 2023, 2022 and 2021, respectively.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continued to make significant expenditures and investments, including in sales and marketing, research and development and infrastructure. We primarily evaluate the success of our business based on revenue growth and the efficiency and effectiveness of our investments. The growth of our business and our future success depend on many factors, including our ability to continue to expand our base of larger clients, grow revenue from our existing clients, innovate and expand internationally. While these areas represent significant opportunities for us, they also pose risks and challenges that we must successfully address, including the impact of macroeconomic deterioration, the Russia-Ukraine conflict and the conflict in Israel, in order to successfully grow our business and improve our operating results.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Operating and Non-GAAP Financial Performance Metrics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to measures of financial performance presented in our consolidated financial statements, we monitor the key metrics set forth below to help us evaluate growth trends, establish budgets, measure the effectiveness of our sales and marketing efforts and assess operational efficiencies.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Annual Dollar-Based Retention Rate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believe that our Annual Dollar-Based Retention Rate provides insight into our ability to retain and grow revenue from our clients, and is a measure of the long-term value of our client relationships. Our Annual Dollar-Based Retention Rate is calculated by dividing our Retained Net Revenue by our Retention Base Net Revenue on a monthly basis, which we then average using the rates for the trailing twelve months for the period presented. We define Retention Base Net Revenue as recurring net revenue from all clients in the comparable prior year period, and we define Retained Net Revenue as recurring net revenue from that same group of clients in the current period. We define recurring net revenue as net subscription and related usage revenue.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our Annual Dollar-Based Retention Rate based on Net Revenue for the periods presented:</w:t>
      </w:r>
    </w:p>
    <w:tbl>
      <w:tblPr>
        <w:tblW w:w="6200" w:type="dxa"/>
        <w:jc w:val="left"/>
        <w:tblInd w:w="0" w:type="dxa"/>
        <w:tblLayout w:type="fixed"/>
        <w:tblCellMar>
          <w:top w:w="28" w:type="dxa"/>
          <w:left w:w="28" w:type="dxa"/>
          <w:bottom w:w="28" w:type="dxa"/>
          <w:right w:w="28" w:type="dxa"/>
        </w:tblCellMar>
      </w:tblPr>
      <w:tblGrid>
        <w:gridCol w:w="1126"/>
        <w:gridCol w:w="987"/>
        <w:gridCol w:w="992"/>
        <w:gridCol w:w="109"/>
        <w:gridCol w:w="109"/>
        <w:gridCol w:w="109"/>
        <w:gridCol w:w="294"/>
        <w:gridCol w:w="294"/>
        <w:gridCol w:w="294"/>
        <w:gridCol w:w="294"/>
        <w:gridCol w:w="294"/>
        <w:gridCol w:w="294"/>
        <w:gridCol w:w="294"/>
        <w:gridCol w:w="294"/>
        <w:gridCol w:w="416"/>
      </w:tblGrid>
      <w:tr>
        <w:trPr/>
        <w:tc>
          <w:tcPr>
            <w:tcW w:w="1126"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Twelve Months Ended December 31,</w:t>
            </w:r>
          </w:p>
        </w:tc>
      </w:tr>
      <w:tr>
        <w:trPr/>
        <w:tc>
          <w:tcPr>
            <w:tcW w:w="31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8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1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Annual Dollar-Based Retention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c>
        <w:tc>
          <w:tcPr>
            <w:tcW w:w="8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115%</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Dollar-Based Retention Rate decreased year-over-year primarily due to macroeconomic headwinds we started experiencing in 2022 and continued to experience throughout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57"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Adjusted EBITDA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adjusted EBITDA, a non-GAAP financial measure, to analyze our financial results and believe that it is useful to investors, as a supplement to U.S. GAAP measures, in evaluating our ongoing operational performance and enhancing an overall understanding of our past financial performance. We believe that adjusted EBITDA helps illustrate underlying trends in our business that could otherwise be masked by the effect of the income or expenses that we exclude from adjusted EBITDA. Furthermore, we use this measure to establish budgets and operational goals for managing our business and evaluating our performance. We also believe that adjusted EBITDA provides an additional tool for investors to use in comparing our recurring core business operating results over multiple periods with other companies in our industry.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should not be considered in isolation from, or as a substitute for, financial information prepared in accordance with U.S. GAAP, and our calculation of adjusted EBITDA may differ from that of other companies in our industry. We compensate for the inherent limitations associated with using adjusted EBITDA through disclosure of these limitations, presentation of our financial statements in accordance with U.S. GAAP and reconciliation of adjusted EBITDA to the most directly comparable U.S. GAAP measure, net loss. We calculate adjusted EBITDA as net loss before (1) depreciation and amortization, (2) stock-based compensation, (3) interest expense, (4) interest (income) and other, (5) exit costs related to the closure and relocation of our Russian operations, (6) acquisition and related transaction costs and one-time integration costs, (7) contingent consideration expense, (8) lease amortization for finance leases, (9) refund for prior year overpayment of USF fees, (10) provision for income taxes, and (11) other items that do not directly affect what we consider to be our core operating performance.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58"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a reconciliation of net loss to adjusted EBITDA for the periods presented (in thousands):</w:t>
      </w:r>
    </w:p>
    <w:tbl>
      <w:tblPr>
        <w:tblW w:w="8915" w:type="dxa"/>
        <w:jc w:val="left"/>
        <w:tblInd w:w="0" w:type="dxa"/>
        <w:tblLayout w:type="fixed"/>
        <w:tblCellMar>
          <w:top w:w="28" w:type="dxa"/>
          <w:left w:w="28" w:type="dxa"/>
          <w:bottom w:w="28" w:type="dxa"/>
          <w:right w:w="28" w:type="dxa"/>
        </w:tblCellMar>
      </w:tblPr>
      <w:tblGrid>
        <w:gridCol w:w="2146"/>
        <w:gridCol w:w="1871"/>
        <w:gridCol w:w="1907"/>
        <w:gridCol w:w="109"/>
        <w:gridCol w:w="109"/>
        <w:gridCol w:w="109"/>
        <w:gridCol w:w="211"/>
        <w:gridCol w:w="826"/>
        <w:gridCol w:w="109"/>
        <w:gridCol w:w="109"/>
        <w:gridCol w:w="109"/>
        <w:gridCol w:w="109"/>
        <w:gridCol w:w="211"/>
        <w:gridCol w:w="826"/>
        <w:gridCol w:w="154"/>
      </w:tblGrid>
      <w:tr>
        <w:trPr/>
        <w:tc>
          <w:tcPr>
            <w:tcW w:w="2146" w:type="dxa"/>
            <w:tcBorders/>
            <w:vAlign w:val="center"/>
          </w:tcPr>
          <w:p>
            <w:pPr>
              <w:pStyle w:val="TableContents"/>
              <w:bidi w:val="0"/>
              <w:spacing w:before="0" w:after="283"/>
              <w:jc w:val="left"/>
              <w:rPr>
                <w:sz w:val="4"/>
                <w:szCs w:val="4"/>
              </w:rPr>
            </w:pPr>
            <w:r>
              <w:rPr>
                <w:sz w:val="4"/>
                <w:szCs w:val="4"/>
              </w:rPr>
            </w:r>
          </w:p>
        </w:tc>
        <w:tc>
          <w:tcPr>
            <w:tcW w:w="1871"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9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Stock-based compensation </w:t>
            </w:r>
            <w:r>
              <w:rPr>
                <w:rFonts w:ascii="Times New Roman;sans-serif" w:hAnsi="Times New Roman;sans-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Exit costs related to closure and relocation of Russian operations </w:t>
            </w:r>
            <w:r>
              <w:rPr>
                <w:rFonts w:ascii="Times New Roman;sans-serif" w:hAnsi="Times New Roman;sans-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and related transaction costs and one-time integration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Contingent consideration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 amortization for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Refund for prior year overpayment of USF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140,436 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2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 Depreciation and amortization expenses included in our results of operations for the periods presented are as follows (in thousands):</w:t>
      </w:r>
    </w:p>
    <w:tbl>
      <w:tblPr>
        <w:tblW w:w="5826" w:type="dxa"/>
        <w:jc w:val="left"/>
        <w:tblInd w:w="0" w:type="dxa"/>
        <w:tblLayout w:type="fixed"/>
        <w:tblCellMar>
          <w:top w:w="28" w:type="dxa"/>
          <w:left w:w="28" w:type="dxa"/>
          <w:bottom w:w="28" w:type="dxa"/>
          <w:right w:w="28" w:type="dxa"/>
        </w:tblCellMar>
      </w:tblPr>
      <w:tblGrid>
        <w:gridCol w:w="1101"/>
        <w:gridCol w:w="970"/>
        <w:gridCol w:w="974"/>
        <w:gridCol w:w="109"/>
        <w:gridCol w:w="109"/>
        <w:gridCol w:w="109"/>
        <w:gridCol w:w="211"/>
        <w:gridCol w:w="721"/>
        <w:gridCol w:w="109"/>
        <w:gridCol w:w="109"/>
        <w:gridCol w:w="109"/>
        <w:gridCol w:w="109"/>
        <w:gridCol w:w="211"/>
        <w:gridCol w:w="721"/>
        <w:gridCol w:w="154"/>
      </w:tblGrid>
      <w:tr>
        <w:trPr/>
        <w:tc>
          <w:tcPr>
            <w:tcW w:w="1101"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34,955 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44,671 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283"/>
        <w:ind w:left="0" w:right="0" w:hanging="360"/>
        <w:jc w:val="left"/>
        <w:rPr/>
      </w:pPr>
      <w:r>
        <w:rPr/>
      </w:r>
    </w:p>
    <w:p>
      <w:pPr>
        <w:pStyle w:val="TextBody"/>
        <w:bidi w:val="0"/>
        <w:spacing w:lineRule="auto" w:line="288" w:before="60" w:after="283"/>
        <w:ind w:left="0" w:right="0" w:hanging="360"/>
        <w:jc w:val="left"/>
        <w:rPr/>
      </w:pPr>
      <w:r>
        <w:rPr>
          <w:rFonts w:ascii="Times New Roman;sans-serif" w:hAnsi="Times New Roman;sans-serif"/>
          <w:b w:val="false"/>
          <w:color w:val="000000"/>
          <w:sz w:val="16"/>
        </w:rPr>
        <w:t>(2)</w:t>
      </w:r>
      <w:r>
        <w:rPr>
          <w:color w:val="000000"/>
        </w:rPr>
        <w:t xml:space="preserve"> </w:t>
      </w:r>
      <w:r>
        <w:rPr>
          <w:rFonts w:ascii="Times New Roman;sans-serif" w:hAnsi="Times New Roman;sans-serif"/>
          <w:b w:val="false"/>
          <w:color w:val="000000"/>
          <w:sz w:val="16"/>
        </w:rPr>
        <w:t>See Note 7 to the consolidated financial statements for stock-based compensation expense included in our results of operations for the periods presented.</w:t>
      </w:r>
    </w:p>
    <w:p>
      <w:pPr>
        <w:pStyle w:val="TextBody"/>
        <w:bidi w:val="0"/>
        <w:spacing w:lineRule="auto" w:line="288" w:before="60" w:after="283"/>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(3) Exit costs related to the closure and relocation of our Russian operations were $2.8 million during the year ended December 31, 2023. The $2.3 million adjustment presented above was net of $0.5 million included in “Interest (income) and other.” Exit costs related to the closure and relocation of our Russian operations were $7.9 million during the year ended December 31, 2022. The $7.2 million adjustment presented above was net of $0.8 million included in “Depreciation and amortization” and $(0.1) million included in “Interest (income) and other.”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Key Components of Our Results of Operations </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 consists of subscription and related usage as well as professional services. We consider our subscription and related usage to be recurring revenue. This recurring revenue includes fixed subscription fees for the delivery and support of our VCC cloud platform, as well as related usage fees. The related usage fees are generally based on the volume of minutes for inbound and outbound client interactions. We also offer bundled plans, generally for smaller deployments, where the client is charged a single monthly fixed fee per agent seat that includes both subscription and unlimited usage in the contiguous 48 states and, in some cases, Canada. We offer monthly, annual and multiple-year contracts for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59"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Fixed subscription fees, including plans with bundled usage, are generally billed monthly in advance, while variable usage fees are billed in arrears. Fixed subscription fees are recognized on a straight-line basis over the applicable term, which is predominantly the monthly contractual billing period. Support activities include technical assistance for our solution and upgrades and enhancements on a when and if available basis, which are not billed separately. Variable subscription related usage fees for non-bundled plans are billed in arrears based on client-specific per minute rate plans and are recognized as actual usage occurs. We generally require advance deposits from clients based on estimated usage. All fees, except usage deposits, are non-refundable.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generate professional services revenue from assisting clients in implementing our solution and optimizing use. These services include application configuration, system integration and education and training services. Professional services are primarily billed on a fixed-fee basis and are typically performed by us directly. In limited cases, our clients choose to perform these services themselves or engage their own third-party service providers to perform such services. Professional services are recognized as the services are performed using the proportional performance method, with performance measured based on labor hours, provided all other criteria for revenue recognition are met.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While the implications of macroeconomic events on our business, results of operations and overall financial position remain uncertain over the long term, we expect that adverse economic conditions will continue to have an adverse impact on our revenue in future periods. For example, our installed base business, which typically contributes approximately half of our annual revenue growth, continues to experience macroeconomic headwinds.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cost of revenue consists primarily of personnel costs, including stock-based compensation, fees that we pay to telecommunications providers for usage, USF contributions and other regulatory costs, depreciation and related expenses of our servers and equipment, costs to build out and maintain co-location data centers, costs of public cloud-based data centers, allocated office and facility costs, amortization of acquired technology and amortization of internal-use software development costs. Cost of revenue can fluctuate based on a number of factors, including the fees we pay to telecommunications providers, which vary depending on our clients’ usage of our VCC cloud platform, the timing of capital expenditures and related depreciation charges and changes in headcount. We expect to continue investing in professional services, public cloud, cloud operations, client support and network infrastructure to maintain high quality and availability of services, which we believe will result in absolute dollar increases in cost of revenue but percentage of revenue declines in the long-term through economies of scale. </w:t>
      </w:r>
    </w:p>
    <w:p>
      <w:pPr>
        <w:pStyle w:val="TextBody"/>
        <w:bidi w:val="0"/>
        <w:spacing w:lineRule="auto" w:line="276"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classify our operating expenses as research and development, sales and marketing, and general and administrative expenses.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Research and Development</w:t>
      </w:r>
      <w:r>
        <w:rPr>
          <w:rFonts w:ascii="Times New Roman;sans-serif" w:hAnsi="Times New Roman;sans-serif"/>
          <w:b w:val="false"/>
          <w:color w:val="000000"/>
          <w:sz w:val="20"/>
        </w:rPr>
        <w:t>.    Our research and development expenses consist primarily of salary and related expenses, including stock-based compensation, for personnel related to the development of improvements and expanded features for our services, as well as quality assurance, testing, product management and allocated overhead. We expense research and development expenses as they are incurred except for internal use software development costs that qualify for capitalization. We believe that continued investment in our solution is important for our future growth, and we expect our research and development expenses to increase in absolute dollars and fluctuate as a percentage of revenue in the near and longer term.</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Sales and Marketing</w:t>
      </w:r>
      <w:r>
        <w:rPr>
          <w:rFonts w:ascii="Times New Roman;sans-serif" w:hAnsi="Times New Roman;sans-serif"/>
          <w:b w:val="false"/>
          <w:color w:val="000000"/>
          <w:sz w:val="20"/>
        </w:rPr>
        <w:t>.    Sales and marketing expenses consist primarily of salaries and related expenses, including stock-based compensation, for personnel in sales and marketing, sales commissions, as well as advertising, marketing, corporate communications, travel costs and allocated overhead. We believe it is important to continue investing in sales and marketing to continue to generate revenue growth, and we expect sales and marketing expenses to increase in absolute dollars and fluctuate as a percentage of revenue in the near and longer term as we continue to support our growth initiatives.</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General and Administrative. </w:t>
      </w:r>
      <w:r>
        <w:rPr>
          <w:color w:val="000000"/>
        </w:rPr>
        <w:t>   </w:t>
      </w:r>
      <w:r>
        <w:rPr>
          <w:rFonts w:ascii="Times New Roman;sans-serif" w:hAnsi="Times New Roman;sans-serif"/>
          <w:b w:val="false"/>
          <w:color w:val="000000"/>
          <w:sz w:val="20"/>
        </w:rPr>
        <w:t>General and administrative expenses consist primarily of salary and related expenses, including stock-based compensation, for management, finance and accounting, legal, information systems and human resources personnel, professional fees, compliance costs, other corporate expenses and allocated overhead. We expect that general and administrative expenses will fluctuate in absolute dollars and as a percentage of revenue in the near term, but to increase in absolute dollars and decline as a percentage of revenue in the longer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0"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for the Years Ended December 31, 2023 and 2022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consolidated statements of operations and comprehensive loss set forth in this annual report, the following table sets forth our operating results as a percentage of revenue for the periods indicated:</w:t>
      </w:r>
    </w:p>
    <w:tbl>
      <w:tblPr>
        <w:tblW w:w="5576" w:type="dxa"/>
        <w:jc w:val="left"/>
        <w:tblInd w:w="0" w:type="dxa"/>
        <w:tblLayout w:type="fixed"/>
        <w:tblCellMar>
          <w:top w:w="28" w:type="dxa"/>
          <w:left w:w="28" w:type="dxa"/>
          <w:bottom w:w="28" w:type="dxa"/>
          <w:right w:w="28" w:type="dxa"/>
        </w:tblCellMar>
      </w:tblPr>
      <w:tblGrid>
        <w:gridCol w:w="1025"/>
        <w:gridCol w:w="903"/>
        <w:gridCol w:w="906"/>
        <w:gridCol w:w="109"/>
        <w:gridCol w:w="109"/>
        <w:gridCol w:w="109"/>
        <w:gridCol w:w="210"/>
        <w:gridCol w:w="211"/>
        <w:gridCol w:w="400"/>
        <w:gridCol w:w="170"/>
        <w:gridCol w:w="170"/>
        <w:gridCol w:w="170"/>
        <w:gridCol w:w="210"/>
        <w:gridCol w:w="211"/>
        <w:gridCol w:w="400"/>
        <w:gridCol w:w="109"/>
        <w:gridCol w:w="154"/>
      </w:tblGrid>
      <w:tr>
        <w:trPr/>
        <w:tc>
          <w:tcPr>
            <w:tcW w:w="1025"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64 </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510" w:type="dxa"/>
            <w:gridSpan w:val="3"/>
            <w:tcBorders/>
            <w:vAlign w:val="center"/>
          </w:tcPr>
          <w:p>
            <w:pPr>
              <w:pStyle w:val="TableContents"/>
              <w:bidi w:val="0"/>
              <w:spacing w:before="0" w:after="283"/>
              <w:jc w:val="left"/>
              <w:rPr>
                <w:sz w:val="4"/>
                <w:szCs w:val="4"/>
              </w:rPr>
            </w:pPr>
            <w:r>
              <w:rPr>
                <w:sz w:val="4"/>
                <w:szCs w:val="4"/>
              </w:rPr>
            </w:r>
          </w:p>
        </w:tc>
        <w:tc>
          <w:tcPr>
            <w:tcW w:w="82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w:t>
            </w:r>
          </w:p>
        </w:tc>
        <w:tc>
          <w:tcPr>
            <w:tcW w:w="4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w:t>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Year-to-year comparisons between 2022 and 2021 have been omitted from this Form 10-K but may be found in “Management's Discussion and Analysis of Financial Condition” in Part II, Item 7 of our Form 10-K for the fiscal year ended December 31, 2022, which specific discussion is incorporated herein by reference.</w:t>
      </w:r>
    </w:p>
    <w:p>
      <w:pPr>
        <w:pStyle w:val="TextBody"/>
        <w:bidi w:val="0"/>
        <w:spacing w:before="0" w:after="0"/>
        <w:jc w:val="left"/>
        <w:rPr/>
      </w:pPr>
      <w:r>
        <w:rPr/>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Comparison of the Years Ended December 31, 2023 and 2022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tbl>
      <w:tblPr>
        <w:tblW w:w="6085" w:type="dxa"/>
        <w:jc w:val="left"/>
        <w:tblInd w:w="0" w:type="dxa"/>
        <w:tblLayout w:type="fixed"/>
        <w:tblCellMar>
          <w:top w:w="28" w:type="dxa"/>
          <w:left w:w="28" w:type="dxa"/>
          <w:bottom w:w="28" w:type="dxa"/>
          <w:right w:w="28" w:type="dxa"/>
        </w:tblCellMar>
      </w:tblPr>
      <w:tblGrid>
        <w:gridCol w:w="304"/>
        <w:gridCol w:w="268"/>
        <w:gridCol w:w="269"/>
        <w:gridCol w:w="109"/>
        <w:gridCol w:w="109"/>
        <w:gridCol w:w="109"/>
        <w:gridCol w:w="420"/>
        <w:gridCol w:w="258"/>
        <w:gridCol w:w="221"/>
        <w:gridCol w:w="221"/>
        <w:gridCol w:w="221"/>
        <w:gridCol w:w="221"/>
        <w:gridCol w:w="420"/>
        <w:gridCol w:w="258"/>
        <w:gridCol w:w="221"/>
        <w:gridCol w:w="109"/>
        <w:gridCol w:w="109"/>
        <w:gridCol w:w="109"/>
        <w:gridCol w:w="294"/>
        <w:gridCol w:w="294"/>
        <w:gridCol w:w="298"/>
        <w:gridCol w:w="109"/>
        <w:gridCol w:w="109"/>
        <w:gridCol w:w="109"/>
        <w:gridCol w:w="268"/>
        <w:gridCol w:w="268"/>
        <w:gridCol w:w="380"/>
      </w:tblGrid>
      <w:tr>
        <w:trPr/>
        <w:tc>
          <w:tcPr>
            <w:tcW w:w="30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8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$910,488</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$778,846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$131,642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bl>
    <w:p>
      <w:pPr>
        <w:pStyle w:val="TextBody"/>
        <w:bidi w:val="0"/>
        <w:spacing w:lineRule="auto" w:line="288" w:before="180" w:after="283"/>
        <w:ind w:left="0" w:right="0" w:firstLine="495"/>
        <w:jc w:val="left"/>
        <w:rPr/>
      </w:pPr>
      <w:r>
        <w:rPr>
          <w:rFonts w:ascii="Times New Roman;sans-serif" w:hAnsi="Times New Roman;sans-serif"/>
          <w:b w:val="false"/>
          <w:color w:val="000000"/>
          <w:sz w:val="20"/>
        </w:rPr>
        <w:t>The increase in revenue for 2023 compared to 2022</w:t>
      </w:r>
      <w:r>
        <w:rPr>
          <w:color w:val="000000"/>
        </w:rPr>
        <w:t xml:space="preserve"> </w:t>
      </w:r>
      <w:r>
        <w:rPr>
          <w:rFonts w:ascii="Times New Roman;sans-serif" w:hAnsi="Times New Roman;sans-serif"/>
          <w:b w:val="false"/>
          <w:color w:val="000000"/>
          <w:sz w:val="20"/>
        </w:rPr>
        <w:t xml:space="preserve">was primarily attributable to our larger clients, driven by an increase in our sales and marketing activities and our improved brand awareness.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 </w:t>
      </w:r>
    </w:p>
    <w:tbl>
      <w:tblPr>
        <w:tblW w:w="6548" w:type="dxa"/>
        <w:jc w:val="left"/>
        <w:tblInd w:w="0" w:type="dxa"/>
        <w:tblLayout w:type="fixed"/>
        <w:tblCellMar>
          <w:top w:w="28" w:type="dxa"/>
          <w:left w:w="28" w:type="dxa"/>
          <w:bottom w:w="28" w:type="dxa"/>
          <w:right w:w="28" w:type="dxa"/>
        </w:tblCellMar>
      </w:tblPr>
      <w:tblGrid>
        <w:gridCol w:w="504"/>
        <w:gridCol w:w="444"/>
        <w:gridCol w:w="446"/>
        <w:gridCol w:w="109"/>
        <w:gridCol w:w="109"/>
        <w:gridCol w:w="109"/>
        <w:gridCol w:w="420"/>
        <w:gridCol w:w="258"/>
        <w:gridCol w:w="221"/>
        <w:gridCol w:w="221"/>
        <w:gridCol w:w="221"/>
        <w:gridCol w:w="221"/>
        <w:gridCol w:w="420"/>
        <w:gridCol w:w="258"/>
        <w:gridCol w:w="221"/>
        <w:gridCol w:w="109"/>
        <w:gridCol w:w="109"/>
        <w:gridCol w:w="109"/>
        <w:gridCol w:w="265"/>
        <w:gridCol w:w="265"/>
        <w:gridCol w:w="266"/>
        <w:gridCol w:w="109"/>
        <w:gridCol w:w="109"/>
        <w:gridCol w:w="109"/>
        <w:gridCol w:w="268"/>
        <w:gridCol w:w="268"/>
        <w:gridCol w:w="380"/>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$432,690</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$367,501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$65,189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1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cost of revenue for 2023 compared to 2022 was primarily due to a $19.1 million increase in depreciation, data center and public cloud costs to support our growing capacity needs, an $18.4 million increase in personnel costs driven mainly by increased headcount, higher salaries and increased stock-based compensation costs, an $18.0 million increase in third-party hosted software costs driven by increased client activities, an $8.4 million increase in USF contributions and other federal telecommunication service fees due to increased client usage and a change in methodology in the prior year, which resulted in a $3.5 million refund for 2020 that was received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1"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a $2.0 million increase in office, facilities and related costs, and a $1.0 million increase in amortization of capitalized internal-use software development costs, partially offset by a $1.6 million decrease in usage and carrier costs due to a rate reduction and a $1.5 million decrease in staff augmentation costs related to implementation of our solutions.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Gross Profit </w:t>
      </w:r>
    </w:p>
    <w:tbl>
      <w:tblPr>
        <w:tblW w:w="6414" w:type="dxa"/>
        <w:jc w:val="left"/>
        <w:tblInd w:w="0" w:type="dxa"/>
        <w:tblLayout w:type="fixed"/>
        <w:tblCellMar>
          <w:top w:w="28" w:type="dxa"/>
          <w:left w:w="28" w:type="dxa"/>
          <w:bottom w:w="28" w:type="dxa"/>
          <w:right w:w="28" w:type="dxa"/>
        </w:tblCellMar>
      </w:tblPr>
      <w:tblGrid>
        <w:gridCol w:w="457"/>
        <w:gridCol w:w="399"/>
        <w:gridCol w:w="404"/>
        <w:gridCol w:w="109"/>
        <w:gridCol w:w="109"/>
        <w:gridCol w:w="109"/>
        <w:gridCol w:w="420"/>
        <w:gridCol w:w="258"/>
        <w:gridCol w:w="221"/>
        <w:gridCol w:w="221"/>
        <w:gridCol w:w="221"/>
        <w:gridCol w:w="221"/>
        <w:gridCol w:w="420"/>
        <w:gridCol w:w="258"/>
        <w:gridCol w:w="221"/>
        <w:gridCol w:w="109"/>
        <w:gridCol w:w="109"/>
        <w:gridCol w:w="109"/>
        <w:gridCol w:w="265"/>
        <w:gridCol w:w="265"/>
        <w:gridCol w:w="266"/>
        <w:gridCol w:w="109"/>
        <w:gridCol w:w="109"/>
        <w:gridCol w:w="109"/>
        <w:gridCol w:w="268"/>
        <w:gridCol w:w="268"/>
        <w:gridCol w:w="380"/>
      </w:tblGrid>
      <w:tr>
        <w:trPr/>
        <w:tc>
          <w:tcPr>
            <w:tcW w:w="457"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$477,798</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$411,345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$66,453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663"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47"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gross profit for 2023 compared to 2022 was primarily due to increases in subscription and related revenues. We expect gross margin to increase in the long term despite continued investments in professional services, public cloud, cloud operations, client support and network infrastructure, as we expect revenue growth in the long term to more than offset these increases.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Research and Development </w:t>
      </w:r>
    </w:p>
    <w:tbl>
      <w:tblPr>
        <w:tblW w:w="7463" w:type="dxa"/>
        <w:jc w:val="left"/>
        <w:tblInd w:w="0" w:type="dxa"/>
        <w:tblLayout w:type="fixed"/>
        <w:tblCellMar>
          <w:top w:w="28" w:type="dxa"/>
          <w:left w:w="28" w:type="dxa"/>
          <w:bottom w:w="28" w:type="dxa"/>
          <w:right w:w="28" w:type="dxa"/>
        </w:tblCellMar>
      </w:tblPr>
      <w:tblGrid>
        <w:gridCol w:w="837"/>
        <w:gridCol w:w="734"/>
        <w:gridCol w:w="738"/>
        <w:gridCol w:w="109"/>
        <w:gridCol w:w="109"/>
        <w:gridCol w:w="109"/>
        <w:gridCol w:w="420"/>
        <w:gridCol w:w="258"/>
        <w:gridCol w:w="221"/>
        <w:gridCol w:w="221"/>
        <w:gridCol w:w="221"/>
        <w:gridCol w:w="221"/>
        <w:gridCol w:w="420"/>
        <w:gridCol w:w="258"/>
        <w:gridCol w:w="221"/>
        <w:gridCol w:w="109"/>
        <w:gridCol w:w="109"/>
        <w:gridCol w:w="109"/>
        <w:gridCol w:w="265"/>
        <w:gridCol w:w="265"/>
        <w:gridCol w:w="266"/>
        <w:gridCol w:w="109"/>
        <w:gridCol w:w="109"/>
        <w:gridCol w:w="109"/>
        <w:gridCol w:w="268"/>
        <w:gridCol w:w="268"/>
        <w:gridCol w:w="380"/>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$156,582</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$141,794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$14,788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research and development expenses for 2023 compared to 2022 was primarily due to a $20.0 million increase in personnel-related costs driven mainly by an increase in stock-based compensation costs, increased headcount and higher salaries, and a $1.4 million increase in office, facilities and related costs, offset in part by a $8.0 million increase in research and development costs that qualified for capitalization.</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Sales and Marketing </w:t>
      </w:r>
    </w:p>
    <w:tbl>
      <w:tblPr>
        <w:tblW w:w="6908" w:type="dxa"/>
        <w:jc w:val="left"/>
        <w:tblInd w:w="0" w:type="dxa"/>
        <w:tblLayout w:type="fixed"/>
        <w:tblCellMar>
          <w:top w:w="28" w:type="dxa"/>
          <w:left w:w="28" w:type="dxa"/>
          <w:bottom w:w="28" w:type="dxa"/>
          <w:right w:w="28" w:type="dxa"/>
        </w:tblCellMar>
      </w:tblPr>
      <w:tblGrid>
        <w:gridCol w:w="634"/>
        <w:gridCol w:w="558"/>
        <w:gridCol w:w="562"/>
        <w:gridCol w:w="109"/>
        <w:gridCol w:w="109"/>
        <w:gridCol w:w="109"/>
        <w:gridCol w:w="420"/>
        <w:gridCol w:w="258"/>
        <w:gridCol w:w="221"/>
        <w:gridCol w:w="221"/>
        <w:gridCol w:w="221"/>
        <w:gridCol w:w="221"/>
        <w:gridCol w:w="420"/>
        <w:gridCol w:w="258"/>
        <w:gridCol w:w="221"/>
        <w:gridCol w:w="109"/>
        <w:gridCol w:w="109"/>
        <w:gridCol w:w="109"/>
        <w:gridCol w:w="265"/>
        <w:gridCol w:w="265"/>
        <w:gridCol w:w="266"/>
        <w:gridCol w:w="109"/>
        <w:gridCol w:w="109"/>
        <w:gridCol w:w="109"/>
        <w:gridCol w:w="268"/>
        <w:gridCol w:w="268"/>
        <w:gridCol w:w="380"/>
      </w:tblGrid>
      <w:tr>
        <w:trPr/>
        <w:tc>
          <w:tcPr>
            <w:tcW w:w="634"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1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$296,713</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$261,990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sales and marketing expenses for 2023 compared to 2022 was primarily due to a $14.9 million increase in personnel costs driven by increased stock-based compensation costs, increased headcount and higher salaries, a $14.2 million increase in amortization of deferred contract acquisition costs driven by the growth in sales and bookings of our solution, a $1.9 million increase in travel costs as a result of an increase in business travel, and a $1.2 million increase in office, facilities and related costs. The increases in sales and marketing expenses were primarily due to the execution of our growth strategy to acquire new clients, increase the number of agent seats within our existing client base, and increased advertising and other marketing expenses to increase our brand awareness.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62"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General and Administrative </w:t>
      </w:r>
    </w:p>
    <w:tbl>
      <w:tblPr>
        <w:tblW w:w="7382" w:type="dxa"/>
        <w:jc w:val="left"/>
        <w:tblInd w:w="0" w:type="dxa"/>
        <w:tblLayout w:type="fixed"/>
        <w:tblCellMar>
          <w:top w:w="28" w:type="dxa"/>
          <w:left w:w="28" w:type="dxa"/>
          <w:bottom w:w="28" w:type="dxa"/>
          <w:right w:w="28" w:type="dxa"/>
        </w:tblCellMar>
      </w:tblPr>
      <w:tblGrid>
        <w:gridCol w:w="837"/>
        <w:gridCol w:w="735"/>
        <w:gridCol w:w="737"/>
        <w:gridCol w:w="109"/>
        <w:gridCol w:w="109"/>
        <w:gridCol w:w="109"/>
        <w:gridCol w:w="420"/>
        <w:gridCol w:w="258"/>
        <w:gridCol w:w="221"/>
        <w:gridCol w:w="221"/>
        <w:gridCol w:w="221"/>
        <w:gridCol w:w="221"/>
        <w:gridCol w:w="370"/>
        <w:gridCol w:w="227"/>
        <w:gridCol w:w="221"/>
        <w:gridCol w:w="109"/>
        <w:gridCol w:w="109"/>
        <w:gridCol w:w="109"/>
        <w:gridCol w:w="265"/>
        <w:gridCol w:w="265"/>
        <w:gridCol w:w="266"/>
        <w:gridCol w:w="109"/>
        <w:gridCol w:w="109"/>
        <w:gridCol w:w="109"/>
        <w:gridCol w:w="268"/>
        <w:gridCol w:w="268"/>
        <w:gridCol w:w="380"/>
      </w:tblGrid>
      <w:tr>
        <w:trPr/>
        <w:tc>
          <w:tcPr>
            <w:tcW w:w="837"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6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4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$123,079</w:t>
            </w:r>
          </w:p>
        </w:tc>
        <w:tc>
          <w:tcPr>
            <w:tcW w:w="6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$95,143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$27,936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c>
      </w:tr>
      <w:tr>
        <w:trPr/>
        <w:tc>
          <w:tcPr>
            <w:tcW w:w="23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8" w:type="dxa"/>
            <w:gridSpan w:val="3"/>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increase in general and administrative expenses for 2023 compared to 2022 was primarily due to a $23.4 million increase in personnel costs driven by increased stock-based compensation costs, increased headcount and higher salaries, and a $5.1 million increase in legal and other professional service costs primarily as a result of the expenses incurred in connection with the Aceyus acquisition and other strategic activities.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tbl>
      <w:tblPr>
        <w:tblW w:w="8209" w:type="dxa"/>
        <w:jc w:val="left"/>
        <w:tblInd w:w="0" w:type="dxa"/>
        <w:tblLayout w:type="fixed"/>
        <w:tblCellMar>
          <w:top w:w="28" w:type="dxa"/>
          <w:left w:w="28" w:type="dxa"/>
          <w:bottom w:w="28" w:type="dxa"/>
          <w:right w:w="28" w:type="dxa"/>
        </w:tblCellMar>
      </w:tblPr>
      <w:tblGrid>
        <w:gridCol w:w="897"/>
        <w:gridCol w:w="785"/>
        <w:gridCol w:w="792"/>
        <w:gridCol w:w="109"/>
        <w:gridCol w:w="109"/>
        <w:gridCol w:w="109"/>
        <w:gridCol w:w="211"/>
        <w:gridCol w:w="721"/>
        <w:gridCol w:w="271"/>
        <w:gridCol w:w="109"/>
        <w:gridCol w:w="109"/>
        <w:gridCol w:w="109"/>
        <w:gridCol w:w="211"/>
        <w:gridCol w:w="691"/>
        <w:gridCol w:w="271"/>
        <w:gridCol w:w="109"/>
        <w:gridCol w:w="109"/>
        <w:gridCol w:w="109"/>
        <w:gridCol w:w="211"/>
        <w:gridCol w:w="721"/>
        <w:gridCol w:w="109"/>
        <w:gridCol w:w="109"/>
        <w:gridCol w:w="109"/>
        <w:gridCol w:w="109"/>
        <w:gridCol w:w="233"/>
        <w:gridCol w:w="233"/>
        <w:gridCol w:w="544"/>
      </w:tblGrid>
      <w:tr>
        <w:trPr/>
        <w:tc>
          <w:tcPr>
            <w:tcW w:w="89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percentages)</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0"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26,799 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19,153 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815 </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remained consistent for 2023 compared to 2022 as it primarily related to our 2025 convertible senior notes for which the aggregate outstanding principal amount remained unchanged during 2022 and 2023. See Note 6 to the consolidated financial statements for further details. </w:t>
      </w:r>
    </w:p>
    <w:p>
      <w:pPr>
        <w:pStyle w:val="TextBody"/>
        <w:bidi w:val="0"/>
        <w:spacing w:lineRule="auto" w:line="25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increase in interest income and other for 2023 compared to 2022 was primarily due to higher interest income on our marketable investments, offset in part by an increase in foreign currency transaction losses during this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To date, we have financed our operations, primarily through sales of our solution, net proceeds from our equity and debt financings, including the issuance of our 2025 convertible senior notes in May and June 2020 and of our 2023 convertible senior notes in May 2018, and lease facilities. As of December 31, 2023, we had $756.8 million in working capital, which included $143.2 million in cash and cash equivalents, and $587.1 million in marketable investments. Our intent is that all marketable investments are available for use in our current operations, including marketable investments with maturity dates greater than one year from December 31, 2023. The 2023 convertible senior notes matured on May 1, 2023 and were settled in a combination of cash and shares of our common stock. Upon maturity, the outstanding capped calls associated with the repurchase and early settlements of $194.7 million 2023 convertible senior notes were settled, which resulted in us receiving 370,877 shares of our common stock and $74.5 million. We believe our existing cash and cash equivalents will be sufficient to meet our working capital and capital expenditure needs for at least the next 12 months. </w:t>
      </w:r>
    </w:p>
    <w:p>
      <w:pPr>
        <w:pStyle w:val="TextBody"/>
        <w:bidi w:val="0"/>
        <w:spacing w:lineRule="auto" w:line="268" w:before="120" w:after="283"/>
        <w:ind w:left="0" w:right="0" w:firstLine="495"/>
        <w:jc w:val="left"/>
        <w:rPr/>
      </w:pPr>
      <w:r>
        <w:rPr>
          <w:rFonts w:ascii="Times New Roman;sans-serif" w:hAnsi="Times New Roman;sans-serif"/>
          <w:b w:val="false"/>
          <w:color w:val="000000"/>
          <w:sz w:val="20"/>
        </w:rPr>
        <w:t>We plan to continue to finance our operations in the future primarily through sales of our solution, net proceeds from equity and debt financings, and lease facilities.</w:t>
      </w:r>
      <w:r>
        <w:rPr>
          <w:color w:val="000000"/>
        </w:rPr>
        <w:t xml:space="preserve"> </w:t>
      </w:r>
      <w:r>
        <w:rPr>
          <w:rFonts w:ascii="Times New Roman;sans-serif" w:hAnsi="Times New Roman;sans-serif"/>
          <w:b w:val="false"/>
          <w:color w:val="000000"/>
          <w:sz w:val="20"/>
        </w:rPr>
        <w:t xml:space="preserve">Our future capital requirements will depend on many factors including our growth rate, continuing market acceptance of our solution, the strength of the global economy, client retention, growth within our installed base, our ability to gain new clients, the timing and extent of spending to support research and development efforts, the outcome of any pending or future litigation or other claims by third parties or governmental entities, the expansion of sales and marketing activities and personnel, the introduction of new and enhanced offerings, expenses incurred in closing our Russia operations and expanding our operations in Portugal and any operational disruptions due to this transition, and the effect of the length and severity of the current economic downturn, the Russia-Ukraine conflict, and the conflict in Israel on these or other factors. We may also acquire or invest in complementary businesses, technologies and intellectual property rights, such as our recent acquisition of Aceyus in August 2023, which may increase our use of cash and future capital requirements, both to pay acquisition costs and to support our combined operations. We may raise additional capital through equity or debt financings at any time to fund these or other requirements. However, we may not be able to raise additional capital through equity or debt financings when needed on terms acceptable to us or at all, depending on our financial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63"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performance and condition, economic and market conditions, the trading price of our common stock, and other factors, including the length and severity of the current economic downturn and fluctuations in the financial markets, including due to the Russia-Ukraine conflict and the conflict in Israel. If we are unable to raise additional capital as needed, our business, operating results and financial condition could be harmed. In addition, if our operating performance during the next twelve months is below our expectations, our liquidity and ability to operate our business also could be harmed.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If we raise additional funds by issuing equity or equity-linked securities, the ownership of our existing stockholders would be diluted. If we raise additional funds through the incurrence of additional indebtedness, we will be subject to increased debt service obligations and could also be subject to restrictive covenants and other operating restrictions that could negatively impact our ability to operate our business.</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(in thousands): </w:t>
      </w:r>
    </w:p>
    <w:tbl>
      <w:tblPr>
        <w:tblW w:w="8450" w:type="dxa"/>
        <w:jc w:val="left"/>
        <w:tblInd w:w="0" w:type="dxa"/>
        <w:tblLayout w:type="fixed"/>
        <w:tblCellMar>
          <w:top w:w="28" w:type="dxa"/>
          <w:left w:w="28" w:type="dxa"/>
          <w:bottom w:w="28" w:type="dxa"/>
          <w:right w:w="28" w:type="dxa"/>
        </w:tblCellMar>
      </w:tblPr>
      <w:tblGrid>
        <w:gridCol w:w="2013"/>
        <w:gridCol w:w="1773"/>
        <w:gridCol w:w="1778"/>
        <w:gridCol w:w="109"/>
        <w:gridCol w:w="109"/>
        <w:gridCol w:w="109"/>
        <w:gridCol w:w="211"/>
        <w:gridCol w:w="826"/>
        <w:gridCol w:w="109"/>
        <w:gridCol w:w="109"/>
        <w:gridCol w:w="109"/>
        <w:gridCol w:w="109"/>
        <w:gridCol w:w="211"/>
        <w:gridCol w:w="721"/>
        <w:gridCol w:w="154"/>
      </w:tblGrid>
      <w:tr>
        <w:trPr/>
        <w:tc>
          <w:tcPr>
            <w:tcW w:w="2013" w:type="dxa"/>
            <w:tcBorders/>
            <w:vAlign w:val="center"/>
          </w:tcPr>
          <w:p>
            <w:pPr>
              <w:pStyle w:val="TableContents"/>
              <w:bidi w:val="0"/>
              <w:spacing w:before="0" w:after="283"/>
              <w:jc w:val="left"/>
              <w:rPr>
                <w:sz w:val="4"/>
                <w:szCs w:val="4"/>
              </w:rPr>
            </w:pPr>
            <w:r>
              <w:rPr>
                <w:sz w:val="4"/>
                <w:szCs w:val="4"/>
              </w:rPr>
            </w:r>
          </w:p>
        </w:tc>
        <w:tc>
          <w:tcPr>
            <w:tcW w:w="1773"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128,838 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88,865 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(259,562)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(decrease) increase in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89,596 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270"/>
        <w:jc w:val="left"/>
        <w:rPr/>
      </w:pPr>
      <w:r>
        <w:rPr>
          <w:rFonts w:ascii="Times New Roman;sans-serif" w:hAnsi="Times New Roman;sans-serif"/>
          <w:b/>
          <w:i/>
          <w:color w:val="000000"/>
          <w:sz w:val="20"/>
        </w:rPr>
        <w:t>Cash Flows from Operating Activities</w:t>
      </w:r>
      <w:r>
        <w:rPr>
          <w:color w:val="FF0000"/>
        </w:rPr>
        <w:t xml:space="preserv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Cash provided by operating activities is primarily influenced by our personnel-related expenditures, data center and telecommunications carrier costs, office and facility related costs, USF contributions and other regulatory costs and the amount and timing of client payments. If we continue to improve our financial results, we expect net cash provided by operating activities to increase. Our largest source of operating cash inflows is cash collections from our clients for subscription and related usage services. Payments from clients for these services are typically received monthly.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 was $128.8 million during the year ended December 31, 2023. Net cash provided by operating activities resulted from our net loss of $81.8 million, adjustments to reconcile net loss to net cash provided by operating activities of $317.1 million, primarily consisting of $206.3 million of stock-based compensation, $55.4 million of amortization of deferred contract acquisition costs,$48.5 million of depreciation and amortization, $12.6 million of amortization of operating lease right-of-use assets, $3.7 million of amortization of issuance costs on our convertible senior notes and $(11.4) million of accretion of discount on marketable investments, partially offset by use of cash for operating assets and liabilities of $(106.5) million primarily due to the timing of cash payments to vendors and cash receipts from customers.</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from Investing Activities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investing activities of $(259.6) million in 2023 was comprised of $795.0 million related to purchases of marketable investments, $80.6 million, in connection with the acquisition of Aceyus, net of cash acquired, $31.2 million in capital expenditures and $9.5 million in capitalized software development costs, offset in part by $656.8 million related to cash proceeds from sales and maturities of marketable investments. </w:t>
      </w:r>
    </w:p>
    <w:p>
      <w:pPr>
        <w:pStyle w:val="TextBody"/>
        <w:bidi w:val="0"/>
        <w:spacing w:lineRule="auto" w:line="288"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Cash Flows from Financing Activities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financing activities of $94.6 million in 2023 was related to $74.5 million of cash received from the settlement at maturity of the outstanding capped calls associated with the repurchase and early settlements of the 2023 convertible senior notes, $15.9 million from the sale of common stock under our employee stock purchase plan, and cash proceeds of $9.1 million from the exercise of stock options, offset in part by $3.3 million related to payments of employee taxes related to vested RSUs, $1.0 million of payments related to finance leases, $0.5 million of holdback payment related to an acquisition, and $0.2 million of cash paid in connection with 2023 convertible senior note settlements.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64"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Contractual and Other Obligations</w:t>
      </w:r>
    </w:p>
    <w:p>
      <w:pPr>
        <w:pStyle w:val="TextBody"/>
        <w:bidi w:val="0"/>
        <w:spacing w:lineRule="auto" w:line="288" w:before="0" w:after="0"/>
        <w:jc w:val="left"/>
        <w:rPr/>
      </w:pPr>
      <w:r>
        <w:rPr>
          <w:rFonts w:ascii="Times New Roman;sans-serif" w:hAnsi="Times New Roman;sans-serif"/>
          <w:b w:val="false"/>
          <w:color w:val="000000"/>
          <w:sz w:val="20"/>
        </w:rPr>
        <w:t>Our material cash requirements include the following contractual and other obligations.</w:t>
      </w:r>
      <w:r>
        <w:rPr>
          <w:color w:val="000000"/>
        </w:rPr>
        <w:t xml:space="preserve"> </w:t>
      </w:r>
    </w:p>
    <w:p>
      <w:pPr>
        <w:pStyle w:val="TextBody"/>
        <w:bidi w:val="0"/>
        <w:spacing w:lineRule="auto" w:line="288"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 xml:space="preserve">Convertible Senior Notes </w:t>
      </w:r>
    </w:p>
    <w:p>
      <w:pPr>
        <w:pStyle w:val="TextBody"/>
        <w:bidi w:val="0"/>
        <w:spacing w:lineRule="auto" w:line="268" w:before="180" w:after="283"/>
        <w:ind w:left="0" w:right="0" w:firstLine="540"/>
        <w:jc w:val="left"/>
        <w:rPr/>
      </w:pPr>
      <w:r>
        <w:rPr>
          <w:rFonts w:ascii="Times New Roman;sans-serif" w:hAnsi="Times New Roman;sans-serif"/>
          <w:b w:val="false"/>
          <w:color w:val="000000"/>
          <w:sz w:val="20"/>
        </w:rPr>
        <w:t>In May and June 2020, we issued $747.5 million aggregate principal amount of our 2025 convertible senior notes in a private offering. The 2025 convertible senior notes mature on June 1, 2025 and are our senior unsecured obligations. The 2025 convertible senior notes bear interest at a fixed rate of 0.50% per annum, payable semiannually in arrears on June 1 and December 1 of each year, beginning December 1, 2020. The total net proceeds from the offering, after deducting initial purchasers’ discounts and commissions and estimated debt issuance costs, were approximately $728.8 million. As of December 31, 2023, the aggregate principal amount outstanding of our 2025 convertible senior notes was $747.5 million.</w:t>
      </w:r>
      <w:r>
        <w:rPr>
          <w:color w:val="000000"/>
        </w:rPr>
        <w:t xml:space="preserve">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2018, we issued $258.8 million aggregate principal amount of our 2023 convertible senior notes in a private offering. The 2023 convertible senior notes matured on May 1, 2023 and the remaining principle amounts were settled in a combination of cash and shares of our common stock.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6 to the consolidated financial statements included in this report for further details.</w:t>
      </w:r>
    </w:p>
    <w:p>
      <w:pPr>
        <w:pStyle w:val="TextBody"/>
        <w:bidi w:val="0"/>
        <w:spacing w:lineRule="auto" w:line="237" w:before="120" w:after="283"/>
        <w:ind w:left="0" w:right="0" w:firstLine="540"/>
        <w:jc w:val="left"/>
        <w:rPr>
          <w:rFonts w:ascii="Times New Roman;sans-serif" w:hAnsi="Times New Roman;sans-serif"/>
          <w:b/>
          <w:i/>
          <w:color w:val="000000"/>
          <w:sz w:val="20"/>
        </w:rPr>
      </w:pPr>
      <w:r>
        <w:rPr>
          <w:rFonts w:ascii="Times New Roman;sans-serif" w:hAnsi="Times New Roman;sans-serif"/>
          <w:b/>
          <w:i/>
          <w:color w:val="000000"/>
          <w:sz w:val="20"/>
        </w:rPr>
        <w:t>Leases</w:t>
      </w:r>
    </w:p>
    <w:p>
      <w:pPr>
        <w:pStyle w:val="TextBody"/>
        <w:bidi w:val="0"/>
        <w:spacing w:lineRule="auto" w:line="273"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leases for offices, data centers and computer and networking equipment that expire at various dates through 2031. Our leases have remaining terms of one to seven years. Some of the leases include an option to extend the leases for up to one to five years, and some of the leases include the option to terminate the leases upon 30-days notice. We had outstanding operating lease obligations of $52.0 million as of December 31, 2023, with $12.3 million payable within 12 months, $16.4 million payable within one to three years, $11.6 million payable within three to five years, and $11.7 million after five years. We also had outstanding finance lease obligations of $5.0 million as of December 31, 2023, with $2.0 million payable within 12 months, and $3.0 million payable within one to three years. See Note 13 to the consolidated financial statements included in this report for further details.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Cloud Services and Software and Maintenance </w:t>
      </w:r>
    </w:p>
    <w:p>
      <w:pPr>
        <w:pStyle w:val="TextBody"/>
        <w:bidi w:val="0"/>
        <w:spacing w:lineRule="auto" w:line="237"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we had outstanding cloud services and software and maintenance agreement commitments totaling $104.4 million, of which $33.0 million is expected to be purchased in 2024, $45.6 million is expected to be purchased in 2025 and the remaining $25.8 million is expected to be purchased in 2026. </w:t>
      </w:r>
    </w:p>
    <w:p>
      <w:pPr>
        <w:pStyle w:val="TextBody"/>
        <w:bidi w:val="0"/>
        <w:spacing w:lineRule="auto" w:line="288" w:before="12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Hosting and Telecommunication Usage Services </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We have agreements with third parties to provide co-location hosting and telecommunication usage services. The agreements require payments per month for a fixed period of time in exchange for certain guarantees of network and telecommunication availability. As of December 31, 2023, we had outstanding hosting and telecommunication usage services obligations of $14.9 million, with $7.9 million payable within 12 months, $5.0 million payable within one to three years, and $2.0 million payable within three to five years.</w:t>
      </w:r>
      <w:r>
        <w:rPr>
          <w:color w:val="000000"/>
        </w:rPr>
        <w:t xml:space="preserve"> </w:t>
      </w:r>
    </w:p>
    <w:p>
      <w:pPr>
        <w:pStyle w:val="TextBody"/>
        <w:bidi w:val="0"/>
        <w:spacing w:lineRule="auto" w:line="288" w:before="180" w:after="283"/>
        <w:ind w:left="0" w:right="0" w:firstLine="450"/>
        <w:jc w:val="left"/>
        <w:rPr>
          <w:rFonts w:ascii="Times New Roman;sans-serif" w:hAnsi="Times New Roman;sans-serif"/>
          <w:b/>
          <w:i/>
          <w:color w:val="000000"/>
          <w:sz w:val="20"/>
        </w:rPr>
      </w:pPr>
      <w:r>
        <w:rPr>
          <w:rFonts w:ascii="Times New Roman;sans-serif" w:hAnsi="Times New Roman;sans-serif"/>
          <w:b/>
          <w:i/>
          <w:color w:val="000000"/>
          <w:sz w:val="20"/>
        </w:rPr>
        <w:t xml:space="preserve">Indemnification Agreements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we enter into agreements of varying scope and terms pursuant to which we agree to indemnify clients, vendors, lessors, business partners and other parties with respect to certain matters, including, but not limited to, losses arising out of breach of such agreements, services to be provided by us or from intellectual property infringement claims made by third parties. In addition, we have entered into indemnification agreements with our directors, officers and certain employees that will require us, among other things, to indemnify them against certain liabilities that may arise by reason of their status or service as directors, officers or employees. There are no claims that we are aware of that could have a material effect on our consolidated balance sheet, consolidated statements of operations and comprehensive loss, or consolidated statements of cash flows. </w:t>
      </w:r>
    </w:p>
    <w:p>
      <w:pPr>
        <w:pStyle w:val="TextBody"/>
        <w:bidi w:val="0"/>
        <w:spacing w:lineRule="auto" w:line="288" w:before="120" w:after="283"/>
        <w:ind w:left="0" w:right="0" w:firstLine="495"/>
        <w:jc w:val="left"/>
        <w:rPr/>
      </w:pPr>
      <w:r>
        <w:rPr>
          <w:color w:val="000000"/>
        </w:rPr>
        <w:t> </w:t>
      </w:r>
      <w:r>
        <w:rPr>
          <w:rFonts w:ascii="Times New Roman;sans-serif" w:hAnsi="Times New Roman;sans-serif"/>
          <w:b/>
          <w:i/>
          <w:color w:val="000000"/>
          <w:sz w:val="20"/>
        </w:rPr>
        <w:t>Contingencies — Legal and Regulatory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certain legal and regulatory proceedings, and from time to time may be involved in a variety of claims, lawsuits, investigations, and proceedings relating to contractual disputes, intellectual property rights, employment matters, regulatory compliance matters, and other litigation matters relating to various claims that arise in the normal course of business. We determine whether an estimated loss from a contingency should be accrued by assessing whether a loss is deemed probable and can be reasonably estimated. We assess our potential liability by analyzing specific litigation and regulatory matters using reasonably available information. We develop our views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65"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estimated losses in consultation with inside and outside counsel, which involves a subjective analysis of potential results and outcomes, assuming various combinations of appropriate litigation and settlement strategies. Legal fees are expensed in the period in which they are incurred. See Note 10 to the consolidated financial statements for more details.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financial statements are prepared in accordance with U.S. GAAP. The preparation of these financial statements requires us to make estimates and assumptions that affect the reported amounts of assets, liabilities, revenue, expenses and related disclosures. On an ongoing basis, we evaluate our estimates and assumptions. Our actual results may differ from these estimates under different assumptions or conditions.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Note 1 to the consolidated financial statements.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Revenue Recognition</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services is transferred to customers, in an amount that reflects the consideration that we expect to receive in exchange for those services. We generate all of our revenue from contracts with customers. In contracts with multiple performance obligations, we identify each performance obligation and evaluate whether the performance obligations are distinct within the context of the contract at contract inception. Performance obligations that are not distinct at contract inception are combined. We allocate the transaction price to each distinct performance obligation proportionately based on the estimated standalone selling price for each performance obligation. We then look to how services are transferred to the customer in order to determine the timing of revenue recognition. Most services provided under our agreements result in the transfer of control over time.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revenue consists of subscription services and related usage as well as professional services. We charge clients subscription fees, usually billed on a monthly basis, for access to our VCC solution. The subscription fees are primarily based on the number of agent seats, as well as the specific VCC functionalities and applications deployed by the client. Agent seats are defined as the maximum number of named agents allowed to concurrently access the VCC cloud platform. Clients typically have more named agents than agent seats. Multiple named agents may use an agent seat, though not simultaneously. Substantially all of our clients purchase both subscriptions and related telephony usage. A small percentage of our clients subscribe to our platform but purchase telephony usage directly from a wholesale telecommunications service provider. We do not sell telephony usage on a stand-alone basis to any client. The related usage fees are based on the volume of minutes used for inbound and outbound client interactions. Revenue generated from telephony usage is presented in revenue and cost of sales on a gross basis, as we are the party that controls the service and are responsible for fulfilling the promise to provide the call service by diverting the calls to selected carriers. We also offer bundled plans, generally for smaller deployments, whereby the client is charged a single monthly fixed fee per agent seat that includes both subscription and unlimited usage in the contiguous 48 states and, in some cases, Canada. Professional services revenue is derived primarily from VCC implementations, including application configuration, system integration, optimization, education and training services. Clients are not permitted to take possession of our software.</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offer monthly, annual and multiple-year contracts to our clients, generally with 30 days’ notice required for reductions in the number of agent seats. Increases in the number of agent seats can be provisioned almost immediately. Our clients, therefore, are able to adjust the number of agent seats used to meet their changing contact center volume needs. Our larger clients typically choose annual contracts, which generally include an implementation and ramp period of several months. Fixed subscription fees, including bundled plans, are generally billed monthly in advance, while related usage fees are billed in arrears. Support activities include technical assistance for our solution and upgrades and enhancements to our VCC cloud platform on a when-and-if-available basis, which are not billed separately.</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are primarily billed on a fixed-fee basis and are performed by us directly or, alternatively, clients may also choose to perform these services themselves or engage their own third-party service providers. Revenue for professional services is recognized over time as services are performed, based on the proportion of labor hours expended compared to the total hours expected to complete the related performance obligation.</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estimation of variable consideration for each performance obligation requires us to make subjective judgments. In the early stages of our larger contracts, in order to allocate the overall transaction fee on a relative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6"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stand-alone selling price basis to our multiple performance obligations, we estimate variable consideration to be included in the transaction fee to the extent that it is probable that a significant reversal in the amount of cumulative revenue recognized will not occur when the uncertainty associated with the variable consideration is subsequently resolved. When services are included in the contract with the customer and are not sold at their stand-alone selling price, we are required to estimate the number of seats the customer will use, especially during the initial ramp period of the contract, during which we bill under an ‘actual usage’ model for subscription-related services. We expect estimated variable consideration to continue to not have a material impact on the allocation of transaction fees to multiple performance obligations.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revenue recognition standards include guidance relating to any tax assessed by a governmental authority that is directly imposed on a revenue-producing transaction between a seller and a customer and may include, but is not limited to, sales, use, value added and excise taxes. We record USF contributions and other regulatory costs on a gross basis in our consolidated statements of operations and comprehensive loss and record surcharges and sales, use and excise taxes billed to our clients on a net basis. The cost of gross USF contributions payable to the USAC and suppliers is presented as a cost of revenue in the consolidated statements of operations and comprehensive loss.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Business Combinations, Goodwill, and Acquisition-Related Intangible Assets</w:t>
      </w:r>
    </w:p>
    <w:p>
      <w:pPr>
        <w:pStyle w:val="TextBody"/>
        <w:bidi w:val="0"/>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Accounting for business combinations requires us to make significant estimates and assumptions. We allocate the purchase consideration to the tangible and intangible assets acquired and liabilities assumed based on their estimated fair value at the acquisition dates, with the excess recorded to goodwill. Critical estimates in valuing certain intangible assets and contingent consideration include, but are not limited to, future expected cash flows, expected asset lives, royalty rates, and discount rates. The amounts and useful lives assigned to acquisition-related intangible assets impact the amount and timing of future amortization expense.</w:t>
      </w:r>
    </w:p>
    <w:p>
      <w:pPr>
        <w:pStyle w:val="TextBody"/>
        <w:bidi w:val="0"/>
        <w:spacing w:lineRule="auto" w:line="276" w:before="120" w:after="283"/>
        <w:ind w:left="0" w:right="0" w:firstLine="540"/>
        <w:jc w:val="both"/>
        <w:rPr>
          <w:rFonts w:ascii="Times New Roman;sans-serif" w:hAnsi="Times New Roman;sans-serif"/>
          <w:b w:val="false"/>
          <w:color w:val="000000"/>
          <w:sz w:val="20"/>
        </w:rPr>
      </w:pPr>
      <w:r>
        <w:rPr>
          <w:rFonts w:ascii="Times New Roman;sans-serif" w:hAnsi="Times New Roman;sans-serif"/>
          <w:b w:val="false"/>
          <w:color w:val="000000"/>
          <w:sz w:val="20"/>
        </w:rPr>
        <w:t>We use estimates, assumptions, and judgments when performing a goodwill impairment test or assessing the recoverability of acquisition-related finite-lived intangible assets. We test goodwill for impairment on an annual basis in the fourth quarter and more frequently if a significant event or circumstance indicates impairment, and assess the recoverability of acquisition-related intangible assets whenever events or circumstances indicate that the carrying amounts of such assets may not be recoverable. We also evaluate the estimated remaining useful lives of acquisition-related intangible assets for changes in circumstances that warrant a revision to the remaining periods of amortization.</w:t>
      </w:r>
    </w:p>
    <w:p>
      <w:pPr>
        <w:pStyle w:val="TextBody"/>
        <w:bidi w:val="0"/>
        <w:spacing w:lineRule="auto" w:line="276"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Recent Accounting Pronouncements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Refer to Note 1 in Item 8 of this Form 10-K for information related to recent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ITEM 7A. Quantitative and Qualitative Disclosures About Market Risk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position due to adverse changes in financial market prices and rates. Our market risk exposure is primarily a result of fluctuations in interest rates and foreign currency exchange rates. We do not hold or issue financial instruments for trading purposes.</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Sensitivity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We had cash and cash equivalents, and marketable securities totaling $730.3 million as of December 31, 2023. Cash equivalents and marketable securities were invested primarily in U.S. agency and government sponsored securities, U.S. treasury securities, municipal bonds, commercial paper, corporate bonds, certificates of deposit and money market funds. Our investment policy is focused on the preservation of capital and supporting our liquidity needs. Under this policy, we invest in highly rated securities, while limiting the amount of credit exposure to any one issuer other than the U.S. government. We do not invest in financial instruments for trading or speculative purposes, nor do we use leveraged financial instruments. We utilize external investment managers who adhere to the guidelines of our investment policy. A hypothetical 100 basis point change in interest rates would not have a material impact on the value of our cash and cash equivalents or marketable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aggregate principal amount outstanding of our 2025 convertible senior notes was $747.5 million. The fair value of the 2025 convertible senior notes are subject to interest rate risk, market risk and other factors due to their conversion features. The fair value of the 2025 convertible senior notes will generally increase as our common stock price increases and will generally decrease as our common stock price declines. The interest and market value changes affect the fair value of the 2025 convertible senior notes but do not impact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67"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position, cash flows or results of operations due to the fixed nature of the debt obligations. Additionally, we carry the 2025 convertible senior notes at face value less unamortized discount on our consolidated balance sheets, and we present the fair value for required disclosure purposes only.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2025 convertible senior notes bear fixed interest rates and, therefore, are not subject to interest rate risk. We have not utilized derivative financial instruments, derivative commodity instruments or other market risk sensitive instruments, positions or transactions in any material fashion, except for the privately negotiated capped call transactions entered into in May and June 2020 related to the issuance of our 2025 convertible senior notes.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Foreign Currency Risk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foreign subsidiaries is the U.S. dollar. Our sales are primarily denominated in U.S. dollars and, therefore, our revenue is not directly subject to foreign currency risk. However, we are indirectly exposed to foreign currency risk. A stronger U.S. dollar makes our solution more expensive outside the United States and therefore can reduce demand. A weaker U.S. dollar could have the opposite effects. Such economic exposure to currency fluctuations is difficult to measure or predict because our sales are influenced by many factors in addition to the impact of currency fluctuations.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are generally denominated in the currencies of the countries in which our operations are located, except for Russia where compensation of our employees was primarily denominated in the U.S. dollar. In March 2022, we made a decision to close our Russia office in June 2022 and to establish a new European development center in Portugal.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consolidated results of operations and cash flows are, therefore, subject to fluctuations due to changes in foreign currency exchange rates and may be adversely affected in the future due to changes in foreign exchange rates. To date, we have not entered into any hedging arrangements with respect to foreign currency risk or other derivative financial instruments. During the year ended December 31, 2023, the effect of a hypothetical 10% change in foreign currency exchange rates applicable to our business would have a maximum impact of $8.5 million on our operating expenses.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68"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60" w:after="283"/>
        <w:jc w:val="left"/>
        <w:rPr>
          <w:rFonts w:ascii="Times New Roman;sans-serif" w:hAnsi="Times New Roman;sans-serif"/>
          <w:b/>
          <w:color w:val="000000"/>
          <w:sz w:val="20"/>
        </w:rPr>
      </w:pPr>
      <w:r>
        <w:rPr>
          <w:rFonts w:ascii="Times New Roman;sans-serif" w:hAnsi="Times New Roman;sans-serif"/>
          <w:b/>
          <w:color w:val="000000"/>
          <w:sz w:val="20"/>
        </w:rPr>
        <w:t>ITEM 8. Financial Statements and Supplementary Data.</w:t>
      </w:r>
    </w:p>
    <w:tbl>
      <w:tblPr>
        <w:tblW w:w="7073" w:type="dxa"/>
        <w:jc w:val="left"/>
        <w:tblInd w:w="0" w:type="dxa"/>
        <w:tblLayout w:type="fixed"/>
        <w:tblCellMar>
          <w:top w:w="28" w:type="dxa"/>
          <w:left w:w="28" w:type="dxa"/>
          <w:bottom w:w="28" w:type="dxa"/>
          <w:right w:w="28" w:type="dxa"/>
        </w:tblCellMar>
      </w:tblPr>
      <w:tblGrid>
        <w:gridCol w:w="2311"/>
        <w:gridCol w:w="2026"/>
        <w:gridCol w:w="2037"/>
        <w:gridCol w:w="109"/>
        <w:gridCol w:w="109"/>
        <w:gridCol w:w="109"/>
        <w:gridCol w:w="109"/>
        <w:gridCol w:w="109"/>
        <w:gridCol w:w="154"/>
      </w:tblGrid>
      <w:tr>
        <w:trPr/>
        <w:tc>
          <w:tcPr>
            <w:tcW w:w="2311"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21">
              <w:r>
                <w:rPr>
                  <w:rStyle w:val="InternetLink"/>
                  <w:rFonts w:ascii="Times New Roman;sans-serif" w:hAnsi="Times New Roman;sans-serif"/>
                  <w:b w:val="false"/>
                  <w:color w:val="000080"/>
                  <w:sz w:val="20"/>
                  <w:u w:val="single"/>
                </w:rPr>
                <w:t>Report of Independent Registered Public Accounting Firm</w:t>
              </w:r>
            </w:hyperlink>
            <w:r>
              <w:rPr>
                <w:rFonts w:ascii="Times New Roman;sans-serif" w:hAnsi="Times New Roman;sans-serif"/>
                <w:b w:val="false"/>
                <w:color w:val="0000FF"/>
                <w:sz w:val="20"/>
                <w:u w:val="single"/>
              </w:rPr>
              <w:t xml:space="preserve"> (PCAOB ID: 185)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21">
              <w:r>
                <w:rPr>
                  <w:rStyle w:val="InternetLink"/>
                  <w:rFonts w:ascii="Times New Roman;sans-serif" w:hAnsi="Times New Roman;sans-serif"/>
                  <w:b w:val="false"/>
                  <w:color w:val="0000FF"/>
                  <w:sz w:val="20"/>
                  <w:u w:val="single"/>
                </w:rPr>
                <w:t>67</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24">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24">
              <w:r>
                <w:rPr>
                  <w:rStyle w:val="InternetLink"/>
                  <w:rFonts w:ascii="Times New Roman;sans-serif" w:hAnsi="Times New Roman;sans-serif"/>
                  <w:b w:val="false"/>
                  <w:color w:val="0000FF"/>
                  <w:sz w:val="20"/>
                  <w:u w:val="single"/>
                </w:rPr>
                <w:t>70</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30">
              <w:r>
                <w:rPr>
                  <w:rStyle w:val="InternetLink"/>
                  <w:rFonts w:ascii="Times New Roman;sans-serif" w:hAnsi="Times New Roman;sans-serif"/>
                  <w:b w:val="false"/>
                  <w:color w:val="0000FF"/>
                  <w:sz w:val="20"/>
                  <w:u w:val="single"/>
                </w:rPr>
                <w:t>Consolidated Statements of Operations and Comprehensive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30">
              <w:r>
                <w:rPr>
                  <w:rStyle w:val="InternetLink"/>
                  <w:rFonts w:ascii="Times New Roman;sans-serif" w:hAnsi="Times New Roman;sans-serif"/>
                  <w:b w:val="false"/>
                  <w:color w:val="0000FF"/>
                  <w:sz w:val="20"/>
                  <w:u w:val="single"/>
                </w:rPr>
                <w:t>71</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33">
              <w:r>
                <w:rPr>
                  <w:rStyle w:val="InternetLink"/>
                  <w:rFonts w:ascii="Times New Roman;sans-serif" w:hAnsi="Times New Roman;sans-serif"/>
                  <w:b w:val="false"/>
                  <w:color w:val="0000FF"/>
                  <w:sz w:val="20"/>
                  <w:u w:val="single"/>
                </w:rPr>
                <w:t>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33">
              <w:r>
                <w:rPr>
                  <w:rStyle w:val="InternetLink"/>
                  <w:rFonts w:ascii="Times New Roman;sans-serif" w:hAnsi="Times New Roman;sans-serif"/>
                  <w:b w:val="false"/>
                  <w:color w:val="0000FF"/>
                  <w:sz w:val="20"/>
                  <w:u w:val="single"/>
                </w:rPr>
                <w:t>72</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36">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36">
              <w:r>
                <w:rPr>
                  <w:rStyle w:val="InternetLink"/>
                  <w:rFonts w:ascii="Times New Roman;sans-serif" w:hAnsi="Times New Roman;sans-serif"/>
                  <w:b w:val="false"/>
                  <w:color w:val="0000FF"/>
                  <w:sz w:val="20"/>
                  <w:u w:val="single"/>
                </w:rPr>
                <w:t>73</w:t>
              </w:r>
            </w:hyperlink>
          </w:p>
        </w:tc>
      </w:tr>
      <w:tr>
        <w:trPr/>
        <w:tc>
          <w:tcPr>
            <w:tcW w:w="637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39">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39">
              <w:r>
                <w:rPr>
                  <w:rStyle w:val="InternetLink"/>
                  <w:rFonts w:ascii="Times New Roman;sans-serif" w:hAnsi="Times New Roman;sans-serif"/>
                  <w:b w:val="false"/>
                  <w:color w:val="0000FF"/>
                  <w:sz w:val="20"/>
                  <w:u w:val="single"/>
                </w:rPr>
                <w:t>74</w:t>
              </w:r>
            </w:hyperlink>
          </w:p>
        </w:tc>
      </w:tr>
    </w:tbl>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69"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Report of Independent Registered Public Accounting Firm </w:t>
      </w:r>
    </w:p>
    <w:p>
      <w:pPr>
        <w:pStyle w:val="TextBody"/>
        <w:bidi w:val="0"/>
        <w:spacing w:before="240" w:after="283"/>
        <w:jc w:val="center"/>
        <w:rPr/>
      </w:pPr>
      <w:r>
        <w:rPr/>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Stockholders and Board of Directors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Five9, Inc.: </w:t>
      </w:r>
    </w:p>
    <w:p>
      <w:pPr>
        <w:pStyle w:val="TextBody"/>
        <w:bidi w:val="0"/>
        <w:spacing w:before="120" w:after="283"/>
        <w:jc w:val="both"/>
        <w:rPr/>
      </w:pPr>
      <w:r>
        <w:rPr/>
      </w:r>
    </w:p>
    <w:p>
      <w:pPr>
        <w:pStyle w:val="TextBody"/>
        <w:bidi w:val="0"/>
        <w:spacing w:lineRule="auto" w:line="288" w:before="0" w:after="0"/>
        <w:jc w:val="both"/>
        <w:rPr>
          <w:rFonts w:ascii="Times New Roman;sans-serif" w:hAnsi="Times New Roman;sans-serif"/>
          <w:b w:val="false"/>
          <w:i/>
          <w:color w:val="000000"/>
          <w:sz w:val="20"/>
        </w:rPr>
      </w:pPr>
      <w:r>
        <w:rPr>
          <w:rFonts w:ascii="Times New Roman;sans-serif" w:hAnsi="Times New Roman;sans-serif"/>
          <w:b w:val="false"/>
          <w:i/>
          <w:color w:val="000000"/>
          <w:sz w:val="20"/>
        </w:rPr>
        <w:t>Opinions on the Consolidated Financial Statements and Internal Control Over Financial Reporting</w:t>
      </w:r>
    </w:p>
    <w:p>
      <w:pPr>
        <w:pStyle w:val="TextBody"/>
        <w:bidi w:val="0"/>
        <w:spacing w:lineRule="auto" w:line="288" w:before="120" w:after="283"/>
        <w:jc w:val="left"/>
        <w:rPr/>
      </w:pPr>
      <w:r>
        <w:rPr>
          <w:rFonts w:ascii="Times New Roman;sans-serif" w:hAnsi="Times New Roman;sans-serif"/>
          <w:b w:val="false"/>
          <w:color w:val="000000"/>
          <w:sz w:val="20"/>
        </w:rPr>
        <w:t xml:space="preserve">We have audited the accompanying consolidated balance sheets of Five9, Inc. and subsidiaries (the Company) as of December 31, 2023 and 2022, the related consolidated statements of operations and comprehensive loss, stockholders’ equity, and cash flows for each of the years in the three-year period ended December 31, 2023, and the related notes (collectively, the consolidated financial statements). We also have audited the Company’s internal control over financial reporting as of December 31, 2023, based on criteria, established in </w:t>
      </w:r>
      <w:r>
        <w:rPr>
          <w:rFonts w:ascii="Times New Roman;sans-serif" w:hAnsi="Times New Roman;sans-serif"/>
          <w:b w:val="false"/>
          <w:i/>
          <w:color w:val="000000"/>
          <w:sz w:val="20"/>
        </w:rPr>
        <w:t>Internal Control – Integrated Framework (2013)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120" w:after="283"/>
        <w:jc w:val="left"/>
        <w:rPr/>
      </w:pPr>
      <w:r>
        <w:rPr>
          <w:rFonts w:ascii="Times New Roman;sans-serif" w:hAnsi="Times New Roman;sans-serif"/>
          <w:b w:val="false"/>
          <w:color w:val="000000"/>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years in the three-year period ended December 31, 2023, in conformity with U.S. generally accepted accounting principles. Also in our opinion, the Company maintained, in all material respects, effective internal control over financial reporting as of December 31, 2023 based on criteria established in </w:t>
      </w:r>
      <w:r>
        <w:rPr>
          <w:rFonts w:ascii="Times New Roman;sans-serif" w:hAnsi="Times New Roman;sans-serif"/>
          <w:b w:val="false"/>
          <w:i/>
          <w:color w:val="000000"/>
          <w:sz w:val="20"/>
        </w:rPr>
        <w:t>Internal Control – Integrated Framework</w:t>
      </w:r>
      <w:r>
        <w:rPr>
          <w:color w:val="000000"/>
        </w:rPr>
        <w:t xml:space="preserve"> </w:t>
      </w:r>
      <w:r>
        <w:rPr>
          <w:rFonts w:ascii="Times New Roman;sans-serif" w:hAnsi="Times New Roman;sans-serif"/>
          <w:b w:val="false"/>
          <w:i/>
          <w:color w:val="000000"/>
          <w:sz w:val="20"/>
        </w:rPr>
        <w:t>(2013)</w:t>
      </w:r>
      <w:r>
        <w:rPr>
          <w:color w:val="000000"/>
        </w:rPr>
        <w:t xml:space="preserve"> </w:t>
      </w:r>
      <w:r>
        <w:rPr>
          <w:rFonts w:ascii="Times New Roman;sans-serif" w:hAnsi="Times New Roman;sans-serif"/>
          <w:b w:val="false"/>
          <w:color w:val="000000"/>
          <w:sz w:val="20"/>
        </w:rPr>
        <w:t>issued by the Committee of Sponsoring Organizations of the Treadway Commission.</w:t>
      </w:r>
    </w:p>
    <w:p>
      <w:pPr>
        <w:pStyle w:val="TextBody"/>
        <w:bidi w:val="0"/>
        <w:spacing w:lineRule="auto" w:line="288" w:before="180" w:after="120"/>
        <w:jc w:val="both"/>
        <w:rPr>
          <w:rFonts w:ascii="Times New Roman;sans-serif" w:hAnsi="Times New Roman;sans-serif"/>
          <w:b w:val="false"/>
          <w:i/>
          <w:color w:val="000000"/>
          <w:sz w:val="20"/>
        </w:rPr>
      </w:pPr>
      <w:r>
        <w:rPr>
          <w:rFonts w:ascii="Times New Roman;sans-serif" w:hAnsi="Times New Roman;sans-serif"/>
          <w:b w:val="false"/>
          <w:i/>
          <w:color w:val="000000"/>
          <w:sz w:val="20"/>
        </w:rPr>
        <w:t>Basis for Opinions</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0"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Definition and Limitations of Internal Control Over Financial Reporting</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lineRule="auto" w:line="288" w:before="180" w:after="160"/>
        <w:jc w:val="both"/>
        <w:rPr>
          <w:rFonts w:ascii="Times New Roman;sans-serif" w:hAnsi="Times New Roman;sans-serif"/>
          <w:b w:val="false"/>
          <w:i/>
          <w:color w:val="000000"/>
          <w:sz w:val="20"/>
        </w:rPr>
      </w:pPr>
      <w:r>
        <w:rPr>
          <w:rFonts w:ascii="Times New Roman;sans-serif" w:hAnsi="Times New Roman;sans-serif"/>
          <w:b w:val="false"/>
          <w:i/>
          <w:color w:val="000000"/>
          <w:sz w:val="20"/>
        </w:rPr>
        <w:t>Critical Audit Matter</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critical audit matter communicated below is a matter arising from the current period audit of the consolidated financial statements that was communicated or required to be communicated to the audit committee and that: (1) relates to accounts or disclosures that are material to the consolidated financial statements and (2) involved our especially challenging, subjective, or complex judgments. The communication of a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lineRule="auto" w:line="288" w:before="120" w:after="283"/>
        <w:ind w:left="0" w:right="0" w:firstLine="72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the sufficiency of audit evidence over revenues from subscription services and related usage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discussed in Note 1 to the consolidated financial statements, the Company charges clients subscription fees, usually billed on a monthly basis, for access to the Company’s Virtual Contact Center (VCC) solution. For the year ended December 31, 2023, the Company recorded $910,488 thousand of revenue. The subscription fees are primarily based on the number of agent seats as well as the specific VCC functionalities and applications deployed by the client. Agent seats are defined as the maximum number to named agents allowed to concurrently access the VCC cloud platform. Substantially all of the Company’s clients purchase both subscriptions and related telephony usage. The related usage fees are generally based on the volume of minutes used for inbound and outbound client interactions. There are high volumes of subscription and related usage transactions processed across multiple information technology (IT) systems.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identified the evaluation of the sufficiency of audit evidence over subscription services and related usage as a critical audit matter. Revenues from subscription services and related usage involve a high volume of automated transactions dependent on the Company’s IT systems. Therefore, our audit procedures required the involvement of IT professionals and auditor judgment was required to determine the nature and extent of audit evidence obtained and evaluate the results of the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are the primary procedures we performed to address this critical audit matter. We involved IT professionals with specialized skills and knowledge, who assisted in evaluating the design and testing the operating effectiveness of certain internal controls over the Company’s revenue process. This included controls over the capture and flow of subscription and related usage transactional information through the Company’s IT systems. We placed test calls and observed that call attributes such as duration and type of service were captured in the relevant IT systems. We assessed the recorded revenue by comparing total cash received during the year, adjusted for reconciling items, to the revenue recognized. Such assessment also evaluated the relevance and reliability of reconciling items to underlying documentation, including the changes in accounts receivable and deferred revenue. We evaluated the sufficiency of audit evidence obtained by assessing the results of procedures performed, including the appropriateness of the nature and extent of such evidence.</w:t>
      </w:r>
    </w:p>
    <w:p>
      <w:pPr>
        <w:pStyle w:val="TextBody"/>
        <w:bidi w:val="0"/>
        <w:spacing w:before="120" w:after="160"/>
        <w:jc w:val="left"/>
        <w:rPr/>
      </w:pPr>
      <w:r>
        <w:rPr/>
      </w:r>
    </w:p>
    <w:p>
      <w:pPr>
        <w:pStyle w:val="TextBody"/>
        <w:bidi w:val="0"/>
        <w:spacing w:lineRule="auto" w:line="288" w:before="120" w:after="160"/>
        <w:jc w:val="left"/>
        <w:rPr>
          <w:rFonts w:ascii="Times New Roman;sans-serif" w:hAnsi="Times New Roman;sans-serif"/>
          <w:b w:val="false"/>
          <w:color w:val="000000"/>
          <w:sz w:val="20"/>
        </w:rPr>
      </w:pPr>
      <w:r>
        <w:rPr>
          <w:rFonts w:ascii="Times New Roman;sans-serif" w:hAnsi="Times New Roman;sans-serif"/>
          <w:b w:val="false"/>
          <w:color w:val="000000"/>
          <w:sz w:val="20"/>
        </w:rPr>
        <w:t>/s/ KPMG LLP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1"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600"/>
        <w:jc w:val="left"/>
        <w:rPr>
          <w:rFonts w:ascii="Times New Roman;sans-serif" w:hAnsi="Times New Roman;sans-serif"/>
          <w:b w:val="false"/>
          <w:color w:val="000000"/>
          <w:sz w:val="20"/>
        </w:rPr>
      </w:pPr>
      <w:r>
        <w:rPr>
          <w:rFonts w:ascii="Times New Roman;sans-serif" w:hAnsi="Times New Roman;sans-serif"/>
          <w:b w:val="false"/>
          <w:color w:val="000000"/>
          <w:sz w:val="20"/>
        </w:rPr>
        <w:t>We have served as the Company’s auditor since 2012.</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Santa Clara, California </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February 21,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72"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20" w:after="283"/>
        <w:jc w:val="center"/>
        <w:rPr>
          <w:rFonts w:ascii="Times New Roman;sans-serif" w:hAnsi="Times New Roman;sans-serif"/>
          <w:b/>
          <w:color w:val="000000"/>
          <w:sz w:val="20"/>
        </w:rPr>
      </w:pPr>
      <w:r>
        <w:rPr>
          <w:rFonts w:ascii="Times New Roman;sans-serif" w:hAnsi="Times New Roman;sans-serif"/>
          <w:b/>
          <w:color w:val="000000"/>
          <w:sz w:val="20"/>
        </w:rPr>
        <w:t>CONSOLIDATED BALANCE SHEETS</w:t>
      </w:r>
    </w:p>
    <w:p>
      <w:pPr>
        <w:pStyle w:val="TextBody"/>
        <w:bidi w:val="0"/>
        <w:spacing w:lineRule="auto" w:line="288" w:before="0" w:after="0"/>
        <w:jc w:val="center"/>
        <w:rPr/>
      </w:pPr>
      <w:r>
        <w:rPr>
          <w:rFonts w:ascii="Times New Roman;sans-serif" w:hAnsi="Times New Roman;sans-serif"/>
          <w:b w:val="false"/>
          <w:color w:val="000000"/>
          <w:sz w:val="20"/>
        </w:rPr>
        <w:t>(In thousands, except per share data)</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2857"/>
        <w:gridCol w:w="2141"/>
        <w:gridCol w:w="2154"/>
        <w:gridCol w:w="109"/>
        <w:gridCol w:w="109"/>
        <w:gridCol w:w="109"/>
        <w:gridCol w:w="196"/>
        <w:gridCol w:w="871"/>
        <w:gridCol w:w="109"/>
        <w:gridCol w:w="109"/>
        <w:gridCol w:w="109"/>
        <w:gridCol w:w="109"/>
        <w:gridCol w:w="196"/>
        <w:gridCol w:w="871"/>
        <w:gridCol w:w="156"/>
      </w:tblGrid>
      <w:tr>
        <w:trPr/>
        <w:tc>
          <w:tcPr>
            <w:tcW w:w="2857" w:type="dxa"/>
            <w:tcBorders/>
            <w:vAlign w:val="center"/>
          </w:tcPr>
          <w:p>
            <w:pPr>
              <w:pStyle w:val="TableContents"/>
              <w:bidi w:val="0"/>
              <w:spacing w:before="0" w:after="283"/>
              <w:jc w:val="left"/>
              <w:rPr>
                <w:sz w:val="4"/>
                <w:szCs w:val="4"/>
              </w:rPr>
            </w:pPr>
            <w:r>
              <w:rPr>
                <w:sz w:val="4"/>
                <w:szCs w:val="4"/>
              </w:rPr>
            </w:r>
          </w:p>
        </w:tc>
        <w:tc>
          <w:tcPr>
            <w:tcW w:w="2141"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180,520 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587,096 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433,743 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87,494 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924,054 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778,710 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101,221 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44,120 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28,192 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165,420 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11,057 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1,244,485 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23,629 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58,536 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10,626 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167,215 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150,776 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Convertible senior notes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742,125 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738,376 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41,389 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 liabilities — less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956,483 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934,520 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contingencies (Note 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Preferred stock, $0.001 par value; 5,000 shares authorized, no shares issued and outstanding as of December 31, 2023 and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$0.001 par value; 450,000 shares authorized, 73,317 shares and 71,047 shares issued and outstanding as of December 31, 2023 and 2022,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Additional paid-in capital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635,668 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Accumulated other comprehensive income (loss)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deficit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309,965 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 liabilities and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1,494,568 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1,244,485 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73"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OPERATIONS AND COMPREHENSIVE LOSS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(In thousands, except per share data) </w:t>
      </w:r>
    </w:p>
    <w:p>
      <w:pPr>
        <w:pStyle w:val="TextBody"/>
        <w:bidi w:val="0"/>
        <w:spacing w:before="0" w:after="0"/>
        <w:jc w:val="center"/>
        <w:rPr/>
      </w:pPr>
      <w:r>
        <w:rPr/>
      </w:r>
    </w:p>
    <w:tbl>
      <w:tblPr>
        <w:tblW w:w="7418" w:type="dxa"/>
        <w:jc w:val="center"/>
        <w:tblInd w:w="0" w:type="dxa"/>
        <w:tblLayout w:type="fixed"/>
        <w:tblCellMar>
          <w:top w:w="28" w:type="dxa"/>
          <w:left w:w="28" w:type="dxa"/>
          <w:bottom w:w="28" w:type="dxa"/>
          <w:right w:w="28" w:type="dxa"/>
        </w:tblCellMar>
      </w:tblPr>
      <w:tblGrid>
        <w:gridCol w:w="1182"/>
        <w:gridCol w:w="1040"/>
        <w:gridCol w:w="1047"/>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1182"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2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910,488 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778,846 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609,591 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367,501 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271,099 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477,798 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411,345 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338,492 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156,582 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141,794 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106,897 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and 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296,713 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193,929 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123,079 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95,143 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93,916 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576,374 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498,927 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394,742 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(98,576)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(87,582)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(56,250)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(7,646)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(8,035)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(90,262)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(64,285)</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(11,285)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(81,764)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used in computing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72,048 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67,512 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(78,494)</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(97,051)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(53,622)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74"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180" w:after="283"/>
        <w:jc w:val="center"/>
        <w:rPr>
          <w:rFonts w:ascii="Times New Roman;sans-serif" w:hAnsi="Times New Roman;sans-serif"/>
          <w:b/>
          <w:color w:val="000000"/>
          <w:sz w:val="20"/>
        </w:rPr>
      </w:pPr>
      <w:r>
        <w:rPr>
          <w:rFonts w:ascii="Times New Roman;sans-serif" w:hAnsi="Times New Roman;sans-serif"/>
          <w:b/>
          <w:color w:val="000000"/>
          <w:sz w:val="20"/>
        </w:rPr>
        <w:t>CONSOLIDATED STATEMENTS OF STOCKHOLDERS’ EQUITY</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(In thousands)</w:t>
      </w:r>
    </w:p>
    <w:tbl>
      <w:tblPr>
        <w:tblW w:w="11693" w:type="dxa"/>
        <w:jc w:val="center"/>
        <w:tblInd w:w="0" w:type="dxa"/>
        <w:tblLayout w:type="fixed"/>
        <w:tblCellMar>
          <w:top w:w="28" w:type="dxa"/>
          <w:left w:w="28" w:type="dxa"/>
          <w:bottom w:w="28" w:type="dxa"/>
          <w:right w:w="28" w:type="dxa"/>
        </w:tblCellMar>
      </w:tblPr>
      <w:tblGrid>
        <w:gridCol w:w="124"/>
        <w:gridCol w:w="109"/>
        <w:gridCol w:w="109"/>
        <w:gridCol w:w="590"/>
        <w:gridCol w:w="290"/>
        <w:gridCol w:w="291"/>
        <w:gridCol w:w="109"/>
        <w:gridCol w:w="109"/>
        <w:gridCol w:w="109"/>
        <w:gridCol w:w="109"/>
        <w:gridCol w:w="109"/>
        <w:gridCol w:w="126"/>
        <w:gridCol w:w="126"/>
        <w:gridCol w:w="331"/>
        <w:gridCol w:w="315"/>
        <w:gridCol w:w="127"/>
        <w:gridCol w:w="109"/>
        <w:gridCol w:w="109"/>
        <w:gridCol w:w="109"/>
        <w:gridCol w:w="231"/>
        <w:gridCol w:w="390"/>
        <w:gridCol w:w="130"/>
        <w:gridCol w:w="109"/>
        <w:gridCol w:w="109"/>
        <w:gridCol w:w="109"/>
        <w:gridCol w:w="196"/>
        <w:gridCol w:w="736"/>
        <w:gridCol w:w="109"/>
        <w:gridCol w:w="109"/>
        <w:gridCol w:w="1021"/>
        <w:gridCol w:w="109"/>
        <w:gridCol w:w="871"/>
        <w:gridCol w:w="109"/>
        <w:gridCol w:w="109"/>
        <w:gridCol w:w="109"/>
        <w:gridCol w:w="251"/>
        <w:gridCol w:w="539"/>
        <w:gridCol w:w="141"/>
        <w:gridCol w:w="109"/>
        <w:gridCol w:w="109"/>
        <w:gridCol w:w="109"/>
        <w:gridCol w:w="196"/>
        <w:gridCol w:w="751"/>
        <w:gridCol w:w="109"/>
        <w:gridCol w:w="109"/>
        <w:gridCol w:w="109"/>
        <w:gridCol w:w="109"/>
        <w:gridCol w:w="196"/>
        <w:gridCol w:w="736"/>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Common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Additional Paid-In Capital</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Other Comprehensive Income (Loss)</w:t>
            </w:r>
          </w:p>
        </w:tc>
        <w:tc>
          <w:tcPr>
            <w:tcW w:w="109" w:type="dxa"/>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 xml:space="preserve">Accumulated </w:t>
              <w:br/>
              <w:t>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Total Stockholders’ Equity</w:t>
            </w:r>
          </w:p>
        </w:tc>
        <w:tc>
          <w:tcPr>
            <w:tcW w:w="2796" w:type="dxa"/>
            <w:gridSpan w:val="12"/>
            <w:tcBorders/>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Shares</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5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4"/>
              </w:rPr>
            </w:pPr>
            <w:r>
              <w:rPr>
                <w:rFonts w:ascii="Times New Roman;sans-serif" w:hAnsi="Times New Roman;sans-serif"/>
                <w:b/>
                <w:color w:val="000000"/>
                <w:sz w:val="14"/>
              </w:rPr>
              <w:t>Amount</w:t>
            </w:r>
          </w:p>
        </w:tc>
        <w:tc>
          <w:tcPr>
            <w:tcW w:w="109" w:type="dxa"/>
            <w:tcBorders/>
            <w:vAlign w:val="center"/>
          </w:tcPr>
          <w:p>
            <w:pPr>
              <w:pStyle w:val="TableContents"/>
              <w:bidi w:val="0"/>
              <w:spacing w:before="0" w:after="283"/>
              <w:jc w:val="left"/>
              <w:rPr>
                <w:sz w:val="4"/>
                <w:szCs w:val="4"/>
              </w:rPr>
            </w:pPr>
            <w:r>
              <w:rPr>
                <w:sz w:val="4"/>
                <w:szCs w:val="4"/>
              </w:rPr>
            </w:r>
          </w:p>
        </w:tc>
        <w:tc>
          <w:tcPr>
            <w:tcW w:w="1021" w:type="dxa"/>
            <w:vMerge w:val="continue"/>
            <w:tcBorders/>
            <w:tcMar>
              <w:top w:w="0" w:type="dxa"/>
              <w:left w:w="0" w:type="dxa"/>
              <w:bottom w:w="0" w:type="dxa"/>
              <w:right w:w="0" w:type="dxa"/>
            </w:tcMar>
            <w:vAlign w:val="center"/>
          </w:tcPr>
          <w:p>
            <w:pPr>
              <w:pStyle w:val="Normal"/>
              <w:bidi w:val="0"/>
              <w:jc w:val="left"/>
              <w:rPr/>
            </w:pPr>
            <w:r>
              <w:rPr/>
            </w:r>
          </w:p>
        </w:tc>
        <w:tc>
          <w:tcPr>
            <w:tcW w:w="109" w:type="dxa"/>
            <w:vMerge w:val="continue"/>
            <w:tcBorders/>
            <w:tcMar>
              <w:top w:w="0" w:type="dxa"/>
              <w:left w:w="0" w:type="dxa"/>
              <w:bottom w:w="0" w:type="dxa"/>
              <w:right w:w="0" w:type="dxa"/>
            </w:tcMar>
            <w:vAlign w:val="center"/>
          </w:tcPr>
          <w:p>
            <w:pPr>
              <w:pStyle w:val="Normal"/>
              <w:bidi w:val="0"/>
              <w:jc w:val="left"/>
              <w:rPr/>
            </w:pPr>
            <w:r>
              <w:rPr/>
            </w:r>
          </w:p>
        </w:tc>
        <w:tc>
          <w:tcPr>
            <w:tcW w:w="871" w:type="dxa"/>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3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1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66,496 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476,941 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335 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(198,179)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279,164 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Cumulative effect adjustment due to adoption of ASU 2020-06</w:t>
            </w:r>
            <w:r>
              <w:rPr>
                <w:rFonts w:ascii="Times New Roman;sans-serif" w:hAnsi="Times New Roman;sans-serif"/>
                <w:b w:val="false"/>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(168,412)</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22,743 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(145,669)</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partial conversion of the 2023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Partial unwind of capped calls and retirement of common stock related to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108,805 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68,488 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68 </w:t>
            </w:r>
          </w:p>
        </w:tc>
        <w:tc>
          <w:tcPr>
            <w:tcW w:w="1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439,787 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(228,436)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211,132 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partial conversion of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Partial unwind of capped calls and retirement of common stock related to the 2023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174,218 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(94,650)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71,047 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635,668 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(2,688)</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(323,086)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309,965 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partial conversion of the 2023 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Settlement at maturity of the outstanding capped calls and retirement of common stock related to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vesting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Shares held for tax withholdings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15,927 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210,377 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(81,764)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73,317 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942,280 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582 </w:t>
            </w:r>
          </w:p>
        </w:tc>
        <w:tc>
          <w:tcPr>
            <w:tcW w:w="14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(404,850)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538,085 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77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4"/>
        </w:rPr>
      </w:pPr>
      <w:r>
        <w:rPr>
          <w:rFonts w:ascii="Times New Roman;sans-serif" w:hAnsi="Times New Roman;sans-serif"/>
          <w:b w:val="false"/>
          <w:color w:val="000000"/>
          <w:sz w:val="14"/>
        </w:rPr>
        <w:t xml:space="preserve">(1)Effective January 1, 2021, the Company adopted ASU 2020-06. Accordingly, the Company recorded a net reduction to opening accumulated deficit of $22.7 million and a net reduction to opening additional paid-in capital of $168.4 million as of January 1, 2021 due to the cumulative impact of adopting this new standard. </w:t>
      </w:r>
    </w:p>
    <w:p>
      <w:pPr>
        <w:pStyle w:val="TextBody"/>
        <w:bidi w:val="0"/>
        <w:spacing w:before="0" w:after="0"/>
        <w:ind w:left="0" w:right="0" w:hanging="360"/>
        <w:jc w:val="left"/>
        <w:rPr/>
      </w:pPr>
      <w:r>
        <w:rPr/>
      </w:r>
    </w:p>
    <w:p>
      <w:pPr>
        <w:pStyle w:val="TextBody"/>
        <w:bidi w:val="0"/>
        <w:spacing w:lineRule="auto" w:line="288" w:before="2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75"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CONSOLIDATED STATEMENTS OF CASH FLOWS </w:t>
      </w:r>
    </w:p>
    <w:p>
      <w:pPr>
        <w:pStyle w:val="TextBody"/>
        <w:bidi w:val="0"/>
        <w:spacing w:lineRule="auto" w:line="312"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(thousands) </w:t>
      </w:r>
    </w:p>
    <w:tbl>
      <w:tblPr>
        <w:tblW w:w="10205" w:type="dxa"/>
        <w:jc w:val="center"/>
        <w:tblInd w:w="0" w:type="dxa"/>
        <w:tblLayout w:type="fixed"/>
        <w:tblCellMar>
          <w:top w:w="28" w:type="dxa"/>
          <w:left w:w="28" w:type="dxa"/>
          <w:bottom w:w="28" w:type="dxa"/>
          <w:right w:w="28" w:type="dxa"/>
        </w:tblCellMar>
      </w:tblPr>
      <w:tblGrid>
        <w:gridCol w:w="2283"/>
        <w:gridCol w:w="1883"/>
        <w:gridCol w:w="1889"/>
        <w:gridCol w:w="109"/>
        <w:gridCol w:w="109"/>
        <w:gridCol w:w="109"/>
        <w:gridCol w:w="196"/>
        <w:gridCol w:w="736"/>
        <w:gridCol w:w="109"/>
        <w:gridCol w:w="109"/>
        <w:gridCol w:w="109"/>
        <w:gridCol w:w="109"/>
        <w:gridCol w:w="196"/>
        <w:gridCol w:w="736"/>
        <w:gridCol w:w="109"/>
        <w:gridCol w:w="109"/>
        <w:gridCol w:w="109"/>
        <w:gridCol w:w="109"/>
        <w:gridCol w:w="196"/>
        <w:gridCol w:w="736"/>
        <w:gridCol w:w="155"/>
      </w:tblGrid>
      <w:tr>
        <w:trPr/>
        <w:tc>
          <w:tcPr>
            <w:tcW w:w="2283" w:type="dxa"/>
            <w:tcBorders/>
            <w:vAlign w:val="center"/>
          </w:tcPr>
          <w:p>
            <w:pPr>
              <w:pStyle w:val="TableContents"/>
              <w:bidi w:val="0"/>
              <w:spacing w:before="0" w:after="283"/>
              <w:jc w:val="left"/>
              <w:rPr>
                <w:sz w:val="4"/>
                <w:szCs w:val="4"/>
              </w:rPr>
            </w:pPr>
            <w:r>
              <w:rPr>
                <w:sz w:val="4"/>
                <w:szCs w:val="4"/>
              </w:rPr>
            </w:r>
          </w:p>
        </w:tc>
        <w:tc>
          <w:tcPr>
            <w:tcW w:w="1883"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6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(81,764)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44,671 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38,732 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8,698 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26,050 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(Accretion of discount) amortization of premium on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206,292 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172,507 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108,805 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discount and issuance costs on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3,957 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 in fair value of contingent consideration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contingent consideration liability in excess of acquisition-date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(5,900)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Changes in operating assets and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(35,986)</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(14,193)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(91,544)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(85,197)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(71,380)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4,305 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10,462 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long-term liabilities (including non-current portions of operating and finance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128,838 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88,865 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(795,002)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(435,768)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(680,490)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sales of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maturities of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524,568 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527,940 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Purchases of 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(31,234)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(42,216)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internal-use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(9,537)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initial direct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an equity investment in a privately-held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to acquire Aceyus,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(80,588)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provided by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(259,562)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(150,478)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Repurchase of a portion of 2023 convertible senior notes, net of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(34,067)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(24,688)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Repayment of outstanding 2023 convertible senior notes at maturity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received from the settlement at maturity of the outstanding capped calls associated with the 2023 convertible senior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exercise of common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common stock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employee taxes related to vested RSUs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contingent consideration liability up to acquisition-date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(18,100)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 of holdbacks related to acquisitions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Payments of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94,579 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(30,232)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(7,501)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(decrease) increase in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(36,145)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89,596 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(128,981)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Beginning of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End of year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Supplemental disclosures of cash flow data: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paid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Non-cash investing and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Equipment purchased and unpaid at period-end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Capitalization of leasehold improvement through non-cash lease incentive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 included in capitalized software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to the Consolidated Balance Sheets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220,372 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220,372 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Reconciliation of Cash, Cash Equivalents and Restricted Cash to the Consolidated Balance Sheets -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90,878 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cash in 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144,842 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180,987 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91,391 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60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See accompanying notes to the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76"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FIVE9, INC.</w:t>
      </w:r>
    </w:p>
    <w:p>
      <w:pPr>
        <w:pStyle w:val="TextBody"/>
        <w:bidi w:val="0"/>
        <w:spacing w:lineRule="auto" w:line="288" w:before="120" w:after="283"/>
        <w:jc w:val="center"/>
        <w:rPr>
          <w:rFonts w:ascii="Times New Roman;sans-serif" w:hAnsi="Times New Roman;sans-serif"/>
          <w:b/>
          <w:color w:val="000000"/>
          <w:sz w:val="20"/>
        </w:rPr>
      </w:pPr>
      <w:r>
        <w:rPr>
          <w:rFonts w:ascii="Times New Roman;sans-serif" w:hAnsi="Times New Roman;sans-serif"/>
          <w:b/>
          <w:color w:val="000000"/>
          <w:sz w:val="20"/>
        </w:rPr>
        <w:t>Notes to Consolidated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1. Description of Business and Summary of Significant Accounting Policies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Five9, Inc. and its wholly-owned subsidiaries (the “Company”) is a provider of cloud software for contact centers. The Company was incorporated in Delaware in 2001 and is headquartered in San Ramon, California. The Company has offices in Europe, Asia and Australia, which primarily provide research, development, sales, marketing, and client support services.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Basis of Presentation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consolidated financial statements have been prepared in accordance with generally accepted accounting principles in the United States (“GAAP”) and applicable rules and regulations of the Securities and Exchange Commission (“SEC”) regarding annual financial reporting. All intercompany transactions and balances have been eliminated in consolidation. </w:t>
      </w:r>
    </w:p>
    <w:p>
      <w:pPr>
        <w:pStyle w:val="TextBody"/>
        <w:bidi w:val="0"/>
        <w:spacing w:lineRule="auto" w:line="288" w:before="240" w:after="283"/>
        <w:ind w:left="0" w:right="0" w:hanging="90"/>
        <w:jc w:val="left"/>
        <w:rPr>
          <w:rFonts w:ascii="Times New Roman;sans-serif" w:hAnsi="Times New Roman;sans-serif"/>
          <w:b/>
          <w:color w:val="000000"/>
          <w:sz w:val="20"/>
        </w:rPr>
      </w:pPr>
      <w:r>
        <w:rPr>
          <w:rFonts w:ascii="Times New Roman;sans-serif" w:hAnsi="Times New Roman;sans-serif"/>
          <w:b/>
          <w:color w:val="000000"/>
          <w:sz w:val="20"/>
        </w:rPr>
        <w:t xml:space="preserve">Use of Estimates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preparation of consolidated financial statements in accordance with GAAP requires management to make estimates and assumptions that affect the reported amounts of assets and liabilities and disclosure of contingent assets and liabilities at the date of the consolidated financial statements and the reported amounts of revenue and expenses during the reporting period. The significant estimates made by management affect revenue and related reserves, as well as the fair value of assets acquired and liabilities assumed through business combinations. Management periodically evaluates such estimates and they are adjusted prospectively based upon such periodic evaluation. Actual results could differ from those estimates.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Foreign Currency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the Company’s foreign subsidiaries is the U.S. dollar. For these subsidiaries, the monetary assets and liabilities resulting from foreign currency transactions are adjusted to reflect the exchange rate as of the balance sheet date. Foreign currency transaction gains and losses were not significant in any period and are reported in “Other income (expense), net” in the consolidated statements of operations and comprehensive loss.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Cash and Cash Equivalents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cash and cash equivalents consist of highly liquid investments with maturities of three months or less at the time of purchase. The Company’s cash equivalents consist of investments in money market funds and U.S. treasury securities.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Marketable Investments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marketable investments consist of U.S. agency securities and government sponsored securities, U.S. treasury securities, certificates of deposit, municipal bonds, corporate bonds and commercial paper. The Company determines the appropriate classification of its investments in marketable investments at the time of purchase and re-evaluates such designation at each balance sheet date. The Company’s marketable investments have been classified and accounted for as available-for-sale. The intent is that all marketable investments are available for use in the Company’s current operations, including marketable investments with maturity dates greater than one year from December 31, 2023. Marketable investments are carried at fair value.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Concentration Risks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Financial instruments, which potentially subject the Company to significant concentrations of credit risk, consist primarily of cash and cash equivalents, marketable investments and accounts receivable. A significant portion of the Company’s cash and cash equivalents is held at three large reputable financial institutions. Total cash and cash equivalents in excess of insured limits were $141.1 million and $178.6 million as of December 31, 2023 and 2022, respectively. The Company has not experienced any losses in such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77"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there was one client which represented 11% of accounts receivable. As of December 31, 2022, no single client represented more than 10% of accounts receivable. For the years ended December 31, 2023, 2022 and 2021, no single client represented more than 10% of revenue.</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Provision for Credit Losses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uses an expected credit loss model, which requires it to consider historical loss rates and expectations of forward-looking losses to estimate its provision for credit losses on its trade accounts receivables, unbilled accounts receivables and contract assets.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changes in the provision for credit losses (in thousands):</w:t>
      </w:r>
    </w:p>
    <w:tbl>
      <w:tblPr>
        <w:tblW w:w="5355" w:type="dxa"/>
        <w:jc w:val="left"/>
        <w:tblInd w:w="0" w:type="dxa"/>
        <w:tblLayout w:type="fixed"/>
        <w:tblCellMar>
          <w:top w:w="28" w:type="dxa"/>
          <w:left w:w="28" w:type="dxa"/>
          <w:bottom w:w="28" w:type="dxa"/>
          <w:right w:w="28" w:type="dxa"/>
        </w:tblCellMar>
      </w:tblPr>
      <w:tblGrid>
        <w:gridCol w:w="1004"/>
        <w:gridCol w:w="884"/>
        <w:gridCol w:w="887"/>
        <w:gridCol w:w="109"/>
        <w:gridCol w:w="109"/>
        <w:gridCol w:w="109"/>
        <w:gridCol w:w="221"/>
        <w:gridCol w:w="489"/>
        <w:gridCol w:w="114"/>
        <w:gridCol w:w="114"/>
        <w:gridCol w:w="114"/>
        <w:gridCol w:w="114"/>
        <w:gridCol w:w="221"/>
        <w:gridCol w:w="489"/>
        <w:gridCol w:w="114"/>
        <w:gridCol w:w="109"/>
        <w:gridCol w:w="154"/>
      </w:tblGrid>
      <w:tr>
        <w:trPr/>
        <w:tc>
          <w:tcPr>
            <w:tcW w:w="100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775"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 bad debt expense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write-offs, net of recoveries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(1,063)</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 xml:space="preserve">Property and Equipment, Net </w:t>
      </w:r>
    </w:p>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is stated at cost less accumulated depreciation and amortization, and is depreciated using the straight-line method over the estimated useful lives of the assets as follows: </w:t>
      </w:r>
    </w:p>
    <w:tbl>
      <w:tblPr>
        <w:tblW w:w="6551" w:type="dxa"/>
        <w:jc w:val="left"/>
        <w:tblInd w:w="0" w:type="dxa"/>
        <w:tblLayout w:type="fixed"/>
        <w:tblCellMar>
          <w:top w:w="28" w:type="dxa"/>
          <w:left w:w="28" w:type="dxa"/>
          <w:bottom w:w="28" w:type="dxa"/>
          <w:right w:w="28" w:type="dxa"/>
        </w:tblCellMar>
      </w:tblPr>
      <w:tblGrid>
        <w:gridCol w:w="1219"/>
        <w:gridCol w:w="1068"/>
        <w:gridCol w:w="1073"/>
        <w:gridCol w:w="109"/>
        <w:gridCol w:w="109"/>
        <w:gridCol w:w="109"/>
        <w:gridCol w:w="838"/>
        <w:gridCol w:w="838"/>
        <w:gridCol w:w="1188"/>
      </w:tblGrid>
      <w:tr>
        <w:trPr/>
        <w:tc>
          <w:tcPr>
            <w:tcW w:w="1219" w:type="dxa"/>
            <w:tcBorders/>
            <w:vAlign w:val="center"/>
          </w:tcPr>
          <w:p>
            <w:pPr>
              <w:pStyle w:val="TableContents"/>
              <w:bidi w:val="0"/>
              <w:spacing w:before="0" w:after="283"/>
              <w:jc w:val="left"/>
              <w:rPr>
                <w:sz w:val="4"/>
                <w:szCs w:val="4"/>
              </w:rPr>
            </w:pPr>
            <w:r>
              <w:rPr>
                <w:sz w:val="4"/>
                <w:szCs w:val="4"/>
              </w:rPr>
            </w:r>
          </w:p>
        </w:tc>
        <w:tc>
          <w:tcPr>
            <w:tcW w:w="1068"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188"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Asset Category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Estimated Useful Lives</w:t>
            </w:r>
          </w:p>
        </w:tc>
      </w:tr>
      <w:tr>
        <w:trPr/>
        <w:tc>
          <w:tcPr>
            <w:tcW w:w="33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to 5 years</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 years</w:t>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7 years</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Shorter of useful life or lease term</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capitalizes certain qualifying costs incurred during the development stage of internal-use software. Costs related to preliminary project activities and post-implementation activities are expensed in research and development as incurred. Preliminary project activities include conceptual formulation, evaluation and final selection of alternatives, planning, proof of concept and requirement analysis of the selected alternative. The post-implementation stage begins when the internal-use software is ready for its intended use, and includes all internal and external training and application maintenance activities. Capitalized internal-use software development costs are included within property and equipment, net on the consolidated balance sheets, and are amortized over the estimated useful life of the software, which is three years. The related amortization expense is recognized in cost of revenue in the consolidated statements of operations and comprehensive loss.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Maintenance and repairs of property and equipment are charged to expense as incurred, and improvements and betterments are capitalized. When assets are retired or otherwise disposed of, the cost and accumulated depreciation and amortization are removed from the consolidated balance sheet and any resulting gain or loss is reflected in the consolidated statements of operations and comprehensive loss in the period realized.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evaluates the recoverability of property and equipment for possible impairment whenever events or circumstances indicate that the carrying amount of such assets or asset groups may not be recoverable. Recoverability of these assets is measured by a comparison of the carrying amounts to the future undiscounted cash flows the assets or asset groups are expected to generate. If such evaluation indicates that the carrying amount of the assets or asset groups is not recoverable, the carrying amount of such assets or asset groups is reduced to fair value. No impairment losses have been recognized in any of the periods presented.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78"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Business Combinations </w:t>
      </w:r>
    </w:p>
    <w:p>
      <w:pPr>
        <w:pStyle w:val="TextBody"/>
        <w:bidi w:val="0"/>
        <w:spacing w:lineRule="auto" w:line="276"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uses its best estimates and assumptions to assign fair value to the tangible and intangible assets acquired and liabilities assumed as of the acquisition date. The Company’s estimates are inherently uncertain and subject to change. During the measurement period, which may be up to one year from the acquisition date, the Company may record adjustments to the fair value of these tangible and intangible assets and liabilities assumed, with the corresponding offset to goodwill. In addition, uncertain tax positions and tax-related valuation allowances are initially established in connection with a business combination as of the acquisition date. Upon the conclusion of the measurement period or final determination of the fair value of assets acquired or liabilities assumed, whichever comes first, any subsequent adjustments are recorded to its consolidated statements of operations and comprehensive loss.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Goodwill and Intangible Assets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goodwill when the consideration paid in a business combination exceeds the fair value of the net tangible assets and the identified intangible assets acquired. Goodwill is not amortized, but instead is required to be tested for impairment annually and whenever events or changes in circumstances indicate that the carrying value of goodwill may exceed its fair value.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performs testing for impairment of goodwill in its fourth quarter, or as events occur or circumstances change that would more likely than not reduce the fair value of the Company’s single reporting unit below its carrying amount. A qualitative assessment is first made to determine whether it is necessary to perform the quantitative goodwill impairment test. This initial qualitative assessment includes, among other things, consideration of: (i) market capitalization of the Company; (ii) past, current and projected future earnings and equity; (iii) recent trends and market conditions; and (iv) valuation metrics involving similar companies that are publicly-traded and acquisitions of similar companies, if available. If this initial qualitative assessment indicates that it is more likely than not that impairment exists, a second quantitative assessment will be performed, involving a comparison between the estimated fair values of the Company’s single reporting unit with its respective carrying amount including goodwill. If the carrying value exceeds estimated fair value, an impairment charge is recorded for the excess. The Company may elect to bypass the qualitative assessment and proceed to perform the quantitative goodwill impairment test.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Intangible assets, consisting of acquired developed technology, trademarks and customer relationships, are carried at cost less accumulated amortization. All intangible assets have been determined to have definite lives and are amortized on a straight-line basis over their estimated remaining economic lives, ranging from three to eight years. Amortization expense related to developed technology is included in cost of revenue. Amortization expense related to customer relationships is included in sales and marketing expense. Amortization expense related to domain names is included in general and administrative expense. Intangible assets are reviewed for impairment whenever events or changes in circumstances indicate an asset’s carrying value may not be recoverable.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Revenue Recognition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Revenue is recognized when control of the promised services is transferred to customers in an amount that reflects the consideration that the Company expects to receive in exchange for those services. The Company generates all of its revenue from contracts with customers. In contracts with multiple performance obligations, it identifies each performance obligation and evaluates whether the performance obligations are distinct within the context of the contract at contract inception. Performance obligations that are not distinct at contract inception are combined. The Company allocates the transaction price to each distinct performance obligation proportionately based on the estimated standalone selling price for each performance obligation. The Company then looks to how services are transferred to the customer in order to determine the timing of revenue recognition. Most services provided under the Company’s agreements result in the transfer of control over time.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revenue consists of subscription services and related usage as well as professional services. The Company charges clients subscription fees, usually billed on a monthly basis, for access to the Company’s VCC solution. The subscription fees are primarily based on the number of agent seats, as well as the specific VCC functionalities and applications deployed by the client. Agent seats are defined as the maximum number of named agents allowed to concurrently access the VCC cloud platform. Clients typically have more named agents than agent seats. Multiple named agents may use an agent seat, though not simultaneously. Substantially all of the Company’s clients purchase both subscriptions and related telephony usage. A small percentage of the Company’s clients subscribe to its platform but purchase telephony usage directly from a wholesale telecommunications service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79"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provider. The Company does not sell telephony usage on a stand-alone basis to any client. The related usage fees are generally based on the volume of minutes used for inbound and outbound client interactions. Revenue generated from telephony usage is presented in revenue and cost of sales on a gross basis, as the Company is the party that controls the service and is responsible for fulfilling the promise to provide the call service by diverting the calls to selected carriers. The Company also offers bundled plans, generally for smaller deployments, whereby the client is charged a single monthly fixed fee per agent seat that includes both subscription and unlimited usage in the contiguous 48 states and, in some cases, Canada. Professional services revenue is derived primarily from VCC implementations, including application configuration, system integration, optimization, education and training services. Clients are not permitted to take possession of the Company’s software.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offers monthly, annual and multiple-year contracts to its clients, generally with 30 days’ notice required for reductions in the number of agent seats. Increases in the number of agent seats can be provisioned almost immediately. The Company’s clients, therefore, are able to adjust the number of agent seats used to meet their changing contact center needs. The Company’s larger clients typically choose annual contracts, which generally include an implementation and ramp period of several months. Fixed subscription fees, including bundled plans, are generally billed monthly in advance, while related usage fees are billed in arrears. Support activities include technical assistance for the Company’s solution and upgrades and enhancements to the VCC cloud platform on a when-and-if-available basis, which are not billed separately.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generally requires advance deposits from its clients based on estimated usage when such usage is not billed as part of a bundled plan. Any unused portion of the deposit is refundable to the client upon termination of the arrangement, provided all amounts due have been paid. All fees, except usage deposits, are non-refundable.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Professional services are primarily billed on a fixed-fee basis. Revenue for professional services is recognized over time, as services are performed.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estimation of variable consideration for each performance obligation requires the Company to make subjective judgments resulting in estimated variable consideration that is included in the transaction fee. This is done to the extent that it is probable, in the Company’s judgment, that a significant reversal in the amount of cumulative revenue recognized under the contract will not occur. The Company estimates the variable consideration in order to allocate the overall transaction fee on a relative stand-alone selling price basis to its multiple performance obligations. When services are included in the contract with the customer and are not sold at their stand-alone selling price, the Company is required to estimate the number of seats the customer will use, especially during the initial ramp period of the contract, during which the Company bills under an ‘actual usage’ model for subscription-related services. To date, variable consideration has not had a material impact on the allocation of transaction fees to multiple performance obligations.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recognizes revenue on fixed fee professional services performance obligations based on the proportion of labor hours expended compared to the total hours expected to complete the related performance obligation. The determination of the total labor hours expected to complete the performance obligations involves judgment, which influences the initial stand-alone selling price estimate as well as the timing of professional services revenue recognition, although this is typically resolved in a short time frame.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When a contract with a customer is signed, the Company assesses whether collection of the fees under the arrangement is probable. The Company assesses collection based on a number of factors, including past transaction history and the creditworthiness of the client. The Company maintains a revenue reserve for potential credits to be issued in accordance with service level agreements or for other revenue adjustments.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Deferred Revenue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Deferred revenue consists of billings or payments received from clients for subscription services, usage and professional services in advance of revenue recognition and is recognized in accordance with the Company’s revenue recognition policy discussed above. The Company generally invoices its clients monthly in advance for subscription services. Accordingly, the deferred revenue balance does not represent the total contract value of sales arrangements.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Cost of Revenue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personnel costs, including stock-based compensation, fees that the Company pays to telecommunications providers for usage, USF contributions and other regulatory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0"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and related expenses of servers and equipment, costs to build out and maintain co-location data centers, costs of public cloud-based data centers, allocated office and facility costs, amortization of acquired technology and amortization of internal-use software costs. Personnel costs include those associated with support of the Company’s solution, clients and data center operations, as well as with providing professional services. Data center costs include costs for servers and equipment to build out and setup, as well as co-location fees for the right to place the Company’s servers in data centers owned by third parties.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Research and Development</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expenses consist primarily of salary and related expenses, including stock-based compensation, for personnel related to the development of improvements and expanded features for the Company’s solution, as well as quality assurance, testing, product management and allocated overhead. Research and development costs are expensed as incurred except for internal use software development costs that qualify for capitalization. The Company reviews development costs incurred for internal-use software in the application development stage and assesses costs for capitalization.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Advertising Costs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primarily advertises its services through the internet and in conjunction with partners. Advertising costs are expensed as incurred and were $31.3 million, $28.1 million and $20.8 million for the years ended December 31, 2023, 2022 and 2021,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Commissions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Commissions consist of variable compensation earned by sales personnel and referral fees the Company pays to third parties. The Company defers all incremental commission costs to obtain the contract, and amortizes these costs over a period of benefit determined to be five years. Commission expense was $61.5 million, $47.3 million and $31.1 million for the years ended December 31, 2023, 2022 and 2021, respectively.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Stock-Based Compensation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All stock-based compensation granted to employees and non-employee directors is measured at the grant date fair value of the award. The Company estimates the fair value of stock options under the Company’s Equity Incentive Plans and purchase rights under the Company’s 2014 Employee Stock Purchase Plan (“2014 ESPP Plan” or “ESPP”) using the Black-Scholes option-pricing model. The fair value of restricted stock units (“RSUs”), including performance-based restricted stock units (“PRSUs”) subject to performance conditions, is equal to the fair value of the Company’s common stock on the date of grant. The fair value of PRSUs subject to market conditions are determined using a Monte Carlo Simulation model. Compensation expense is recognized net of actual forfeitures over the service period, which is generally the vesting period.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Income Taxes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accounts for income taxes using the asset and liability method. Deferred tax assets and liabilities are recognized for the estimated future tax consequences attributable to differences between the financial statement carrying amounts of existing assets and liabilities and their respective tax basis. Deferred tax assets and liabilities are measured using enacted tax rates in effect for the year in which those temporary differences are expected to be recovered or settled. The effect of a change in tax rates on deferred tax assets and liabilities is recognized in operations in the period that includes the enactment date. The Company records a valuation allowance to reduce its deferred tax assets to the amount of future tax benefit that is more likely than not to be realized. As of December 31, 2023 and 2022, the Company recorded a full valuation allowance against the U.S. net deferred tax assets because of its history of operating losses in the United States. As of December 31, 2023, the Company recognized a net deferred tax asset balance of $3.8 million related to its operations in Australia and Portugal, and placed a valuation allowance against its UK net deferred tax asset balance due to its recent history of losses. As of December 31, 2022, the Company recognized a net deferred tax asset balance of $3.8 million related to its operations in the UK and Australia. The Company classifies interest and penalties on unrecognized tax benefits as income tax expense.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Comprehensive loss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1"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 consists of net loss, and unrealized gains or losses on available-for-sale marketable investments. The Company presents comprehensive loss as part of the consolidated statements of operations. The changes in the accumulated balances of the components of other comprehensive loss were not material for the periods presented.</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Net Loss Per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Basic net loss per share is calculated by dividing net loss by the weighted average number of shares of common stock outstanding during the period, and excludes any dilutive effects of employee stock-based awards and potential shares issuable upon conversion of the convertible senior notes. Diluted net loss per share is computed giving effect to all potentially dilutive shares of common stock, including common stock issuable upon exercise of stock options, vesting of RSUs and PRSUs, and shares of common stock issuable upon conversion of convertible senior notes. In periods of net loss, all potentially issuable shares of common stock are excluded from the diluted net loss per share computation because they are anti-dilutive. Therefore, basic and diluted net loss per share are the same for all years presented in the Company’s consolidated statements of operations and comprehensive loss.</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Indemnification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 the ordinary course of business, enters into agreements of varying scope and terms pursuant to which it agrees to indemnify clients,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To date, the Company has not incurred any material costs as a result of such indemnification provisions and the Company has not accrued any liabilities related to such obligations in the consolidated financial statements as of December 31, 2023 and 2022.</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Segment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determined that its Chief Executive Officer is its chief operating decision maker. The Company’s Chief Executive Officer reviews financial information presented on a consolidated basis for purposes of assessing performance and making decisions on how to allocate resources. Accordingly, the Company has determined that it operates in a single reportable segment.</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Recent Accounting Pronouncements Not Yet Effective</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 xml:space="preserve">In November 2023, the Financial Accounting Standards Board (the “FASB”) issued Accounting Standard Update (“ ASU”) No. 2023-07, </w:t>
      </w:r>
      <w:r>
        <w:rPr>
          <w:rFonts w:ascii="Times New Roman;sans-serif" w:hAnsi="Times New Roman;sans-serif"/>
          <w:b w:val="false"/>
          <w:i/>
          <w:color w:val="000000"/>
          <w:sz w:val="20"/>
        </w:rPr>
        <w:t>Segment Reporting (Topic 280) - Improvements to Reportable Segment Disclosures</w:t>
      </w:r>
      <w:r>
        <w:rPr>
          <w:rFonts w:ascii="Times New Roman;sans-serif" w:hAnsi="Times New Roman;sans-serif"/>
          <w:b w:val="false"/>
          <w:color w:val="000000"/>
          <w:sz w:val="20"/>
        </w:rPr>
        <w:t>, which provides updates to qualitative and quantitative reportable segment disclosure requirements, including enhanced disclosures about significant segment expenses and increased interim disclosure requirements, among others. This ASU is effective for the Company’s fiscal years beginning after December 15, 2023 and interim periods within fiscal years beginning after December 15, 2024. Early adoption is permitted, and the amendments should be applied retrospectively. The Company is currently evaluating the impact of this ASU on its consolidated financial statement disclosures.</w:t>
      </w:r>
    </w:p>
    <w:p>
      <w:pPr>
        <w:pStyle w:val="TextBody"/>
        <w:bidi w:val="0"/>
        <w:spacing w:before="0" w:after="0"/>
        <w:jc w:val="left"/>
        <w:rPr/>
      </w:pPr>
      <w:r>
        <w:rPr/>
      </w:r>
    </w:p>
    <w:p>
      <w:pPr>
        <w:pStyle w:val="TextBody"/>
        <w:bidi w:val="0"/>
        <w:spacing w:lineRule="auto" w:line="268" w:before="0" w:after="0"/>
        <w:ind w:left="0" w:right="0" w:firstLine="540"/>
        <w:jc w:val="left"/>
        <w:rPr/>
      </w:pPr>
      <w:r>
        <w:rPr>
          <w:rFonts w:ascii="Times New Roman;sans-serif" w:hAnsi="Times New Roman;sans-serif"/>
          <w:b w:val="false"/>
          <w:color w:val="000000"/>
          <w:sz w:val="20"/>
        </w:rPr>
        <w:t xml:space="preserve">In December 2023, the FASB issued ASU 2023-09, Income Taxes (Topic 740): </w:t>
      </w:r>
      <w:r>
        <w:rPr>
          <w:rFonts w:ascii="Times New Roman;sans-serif" w:hAnsi="Times New Roman;sans-serif"/>
          <w:b w:val="false"/>
          <w:i/>
          <w:color w:val="000000"/>
          <w:sz w:val="20"/>
        </w:rPr>
        <w:t>Improvements to Income Tax Disclosures</w:t>
      </w:r>
      <w:r>
        <w:rPr>
          <w:rFonts w:ascii="Times New Roman;sans-serif" w:hAnsi="Times New Roman;sans-serif"/>
          <w:b w:val="false"/>
          <w:color w:val="000000"/>
          <w:sz w:val="20"/>
        </w:rPr>
        <w:t>. This ASU requires disclosure of specific categories in the effective tax rate reconciliation and additional information on income taxes paid. This ASU is effective for the Company’s fiscal years beginning after December 15, 2024. Early adoption is permitted and may be adopted on a prospective or retrospective basis. The Company is currently evaluating the impact of this ASU on its consolidated financial statement disclosures.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82"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2. Revenue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lineRule="auto" w:line="288" w:before="120" w:after="283"/>
        <w:ind w:left="0" w:right="0" w:firstLine="495"/>
        <w:jc w:val="left"/>
        <w:rPr/>
      </w:pPr>
      <w:r>
        <w:rPr>
          <w:rFonts w:ascii="Times New Roman;sans-serif" w:hAnsi="Times New Roman;sans-serif"/>
          <w:b w:val="false"/>
          <w:color w:val="000000"/>
          <w:sz w:val="20"/>
        </w:rPr>
        <w:t>The following table provides information about accounts receivable, net, deferred contract acquisition costs, net, contract assets and contract liabilities from contracts with customers (in thousands):</w:t>
      </w:r>
      <w:r>
        <w:rPr>
          <w:color w:val="EE2724"/>
        </w:rPr>
        <w:t xml:space="preserve"> </w:t>
      </w:r>
    </w:p>
    <w:tbl>
      <w:tblPr>
        <w:tblW w:w="9998" w:type="dxa"/>
        <w:jc w:val="left"/>
        <w:tblInd w:w="0" w:type="dxa"/>
        <w:tblLayout w:type="fixed"/>
        <w:tblCellMar>
          <w:top w:w="28" w:type="dxa"/>
          <w:left w:w="28" w:type="dxa"/>
          <w:bottom w:w="28" w:type="dxa"/>
          <w:right w:w="28" w:type="dxa"/>
        </w:tblCellMar>
      </w:tblPr>
      <w:tblGrid>
        <w:gridCol w:w="2278"/>
        <w:gridCol w:w="2004"/>
        <w:gridCol w:w="2017"/>
        <w:gridCol w:w="109"/>
        <w:gridCol w:w="109"/>
        <w:gridCol w:w="109"/>
        <w:gridCol w:w="282"/>
        <w:gridCol w:w="1061"/>
        <w:gridCol w:w="157"/>
        <w:gridCol w:w="109"/>
        <w:gridCol w:w="109"/>
        <w:gridCol w:w="109"/>
        <w:gridCol w:w="279"/>
        <w:gridCol w:w="1047"/>
        <w:gridCol w:w="219"/>
      </w:tblGrid>
      <w:tr>
        <w:trPr/>
        <w:tc>
          <w:tcPr>
            <w:tcW w:w="2278" w:type="dxa"/>
            <w:tcBorders/>
            <w:vAlign w:val="center"/>
          </w:tcPr>
          <w:p>
            <w:pPr>
              <w:pStyle w:val="TableContents"/>
              <w:bidi w:val="0"/>
              <w:spacing w:before="0" w:after="283"/>
              <w:jc w:val="left"/>
              <w:rPr>
                <w:sz w:val="4"/>
                <w:szCs w:val="4"/>
              </w:rPr>
            </w:pPr>
            <w:r>
              <w:rPr>
                <w:sz w:val="4"/>
                <w:szCs w:val="4"/>
              </w:rPr>
            </w:r>
          </w:p>
        </w:tc>
        <w:tc>
          <w:tcPr>
            <w:tcW w:w="2004" w:type="dxa"/>
            <w:tcBorders/>
            <w:vAlign w:val="center"/>
          </w:tcPr>
          <w:p>
            <w:pPr>
              <w:pStyle w:val="TableContents"/>
              <w:bidi w:val="0"/>
              <w:spacing w:before="0" w:after="283"/>
              <w:jc w:val="left"/>
              <w:rPr>
                <w:sz w:val="4"/>
                <w:szCs w:val="4"/>
              </w:rPr>
            </w:pPr>
            <w:r>
              <w:rPr>
                <w:sz w:val="4"/>
                <w:szCs w:val="4"/>
              </w:rPr>
            </w:r>
          </w:p>
        </w:tc>
        <w:tc>
          <w:tcPr>
            <w:tcW w:w="2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97,424 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87,494 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contract acquisition costs,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61,711 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47,242 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136,571 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114,880 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deferred contract acquisition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198,282 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162,122 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and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 (included in 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4,106 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3,401 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68,187 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57,816 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contract liabilities (deferred revenue) (included in other long 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1,178 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(65,431)</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(55,593)</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receives payments from customers based upon billing cycles. Invoice payment terms are usually 30 days or less. Accounts receivable are recorded when the right to consideration becomes unconditional.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contract assets consist of unbilled amounts typically resulting from professional services revenue recognition when it exceeds the total amounts billed to the customer. The Company’s contract liabilities consist of advance payments and billings in excess of revenue recognized.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the year ended December 31, 2023, the Company recognized revenue of $49.1 million related to its contract liabilities at December 31, 2022.</w:t>
      </w:r>
    </w:p>
    <w:p>
      <w:pPr>
        <w:pStyle w:val="TextBody"/>
        <w:bidi w:val="0"/>
        <w:spacing w:lineRule="auto" w:line="288" w:before="240" w:after="283"/>
        <w:jc w:val="left"/>
        <w:rPr>
          <w:rFonts w:ascii="Times New Roman;sans-serif" w:hAnsi="Times New Roman;sans-serif"/>
          <w:b/>
          <w:i/>
          <w:color w:val="000000"/>
          <w:sz w:val="20"/>
        </w:rPr>
      </w:pPr>
      <w:r>
        <w:rPr>
          <w:rFonts w:ascii="Times New Roman;sans-serif" w:hAnsi="Times New Roman;sans-serif"/>
          <w:b/>
          <w:i/>
          <w:color w:val="000000"/>
          <w:sz w:val="20"/>
        </w:rPr>
        <w:t>Remaining Performance Obligations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aggregate amount of the total transaction price allocated in contracts with original duration of greater than one year to the remaining performance obligations was $1,055.9 million. The Company expects to recognize revenue on approximately three-fourths of the remaining performance obligations over the next 24 months, with the balance recognized thereafter. The Company excludes amounts for remaining performance obligations that are part of contracts with an original expected duration of one year or less. Such remaining performance obligations represent unsatisfied or partially unsatisfied performance obligations.</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3. Investments and Fair Value Measurements</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Marketable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83"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marketable investments have been classified and accounted for as available-for-sale. The Company’s intent is that all marketable investments are available for use in its current operations, including marketable investments with maturity dates greater than one year from December 31, 2023. The Company’s marketable investments as of December 31, 2023 and 2022 were as follows (in thousands):</w:t>
      </w:r>
    </w:p>
    <w:tbl>
      <w:tblPr>
        <w:tblW w:w="10205" w:type="dxa"/>
        <w:jc w:val="left"/>
        <w:tblInd w:w="0" w:type="dxa"/>
        <w:tblLayout w:type="fixed"/>
        <w:tblCellMar>
          <w:top w:w="28" w:type="dxa"/>
          <w:left w:w="28" w:type="dxa"/>
          <w:bottom w:w="28" w:type="dxa"/>
          <w:right w:w="28" w:type="dxa"/>
        </w:tblCellMar>
      </w:tblPr>
      <w:tblGrid>
        <w:gridCol w:w="1326"/>
        <w:gridCol w:w="1133"/>
        <w:gridCol w:w="1007"/>
        <w:gridCol w:w="109"/>
        <w:gridCol w:w="109"/>
        <w:gridCol w:w="109"/>
        <w:gridCol w:w="211"/>
        <w:gridCol w:w="826"/>
        <w:gridCol w:w="109"/>
        <w:gridCol w:w="109"/>
        <w:gridCol w:w="109"/>
        <w:gridCol w:w="109"/>
        <w:gridCol w:w="407"/>
        <w:gridCol w:w="904"/>
        <w:gridCol w:w="213"/>
        <w:gridCol w:w="109"/>
        <w:gridCol w:w="109"/>
        <w:gridCol w:w="109"/>
        <w:gridCol w:w="330"/>
        <w:gridCol w:w="1064"/>
        <w:gridCol w:w="170"/>
        <w:gridCol w:w="109"/>
        <w:gridCol w:w="109"/>
        <w:gridCol w:w="109"/>
        <w:gridCol w:w="211"/>
        <w:gridCol w:w="826"/>
        <w:gridCol w:w="160"/>
      </w:tblGrid>
      <w:tr>
        <w:trPr/>
        <w:tc>
          <w:tcPr>
            <w:tcW w:w="1326"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34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34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Short-Term Marketable Investments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315,608 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Short-Term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195,966 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436,928 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433,743 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12"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u w:val="single"/>
              </w:rPr>
            </w:pPr>
            <w:r>
              <w:rPr>
                <w:rFonts w:ascii="Times New Roman;sans-serif" w:hAnsi="Times New Roman;sans-serif"/>
                <w:b w:val="false"/>
                <w:color w:val="000000"/>
                <w:sz w:val="16"/>
                <w:u w:val="single"/>
              </w:rPr>
              <w:t>Long-Term Marketable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Cost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gross unrealized losses and the fair value for those marketable investments that were in an unrealized loss position for less than 12 months as of December 31, 2023 and 2022 (in thousands):</w:t>
      </w:r>
    </w:p>
    <w:tbl>
      <w:tblPr>
        <w:tblW w:w="10205" w:type="dxa"/>
        <w:jc w:val="left"/>
        <w:tblInd w:w="0" w:type="dxa"/>
        <w:tblLayout w:type="fixed"/>
        <w:tblCellMar>
          <w:top w:w="28" w:type="dxa"/>
          <w:left w:w="28" w:type="dxa"/>
          <w:bottom w:w="28" w:type="dxa"/>
          <w:right w:w="28" w:type="dxa"/>
        </w:tblCellMar>
      </w:tblPr>
      <w:tblGrid>
        <w:gridCol w:w="1252"/>
        <w:gridCol w:w="1097"/>
        <w:gridCol w:w="1106"/>
        <w:gridCol w:w="109"/>
        <w:gridCol w:w="109"/>
        <w:gridCol w:w="109"/>
        <w:gridCol w:w="401"/>
        <w:gridCol w:w="930"/>
        <w:gridCol w:w="208"/>
        <w:gridCol w:w="109"/>
        <w:gridCol w:w="109"/>
        <w:gridCol w:w="109"/>
        <w:gridCol w:w="211"/>
        <w:gridCol w:w="826"/>
        <w:gridCol w:w="109"/>
        <w:gridCol w:w="109"/>
        <w:gridCol w:w="109"/>
        <w:gridCol w:w="109"/>
        <w:gridCol w:w="329"/>
        <w:gridCol w:w="1061"/>
        <w:gridCol w:w="170"/>
        <w:gridCol w:w="109"/>
        <w:gridCol w:w="109"/>
        <w:gridCol w:w="109"/>
        <w:gridCol w:w="211"/>
        <w:gridCol w:w="826"/>
        <w:gridCol w:w="160"/>
      </w:tblGrid>
      <w:tr>
        <w:trPr/>
        <w:tc>
          <w:tcPr>
            <w:tcW w:w="1252"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34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411" w:type="dxa"/>
            <w:gridSpan w:val="12"/>
            <w:tcBorders/>
          </w:tcPr>
          <w:p>
            <w:pPr>
              <w:pStyle w:val="TableContents"/>
              <w:bidi w:val="0"/>
              <w:spacing w:before="0" w:after="283"/>
              <w:jc w:val="left"/>
              <w:rPr>
                <w:sz w:val="4"/>
                <w:szCs w:val="4"/>
              </w:rPr>
            </w:pPr>
            <w:r>
              <w:rPr>
                <w:sz w:val="4"/>
                <w:szCs w:val="4"/>
              </w:rPr>
            </w:r>
          </w:p>
        </w:tc>
      </w:tr>
      <w:tr>
        <w:trPr/>
        <w:tc>
          <w:tcPr>
            <w:tcW w:w="3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(1,660)</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172,458 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12,623 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w:t>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252,687 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(3,222)</w:t>
            </w:r>
          </w:p>
        </w:tc>
        <w:tc>
          <w:tcPr>
            <w:tcW w:w="1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315,985 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Although the Company had certain available-for-sale debt securities in an unrealized loss position as of December 31, 2023, no impairment loss was recorded since it did not intend to sell them, did not anticipate a need to sell them, and the decline in fair value was not due to any credit-related factors.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84"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amortized cost and fair value of the Company’s marketable investments by contractual maturity as of December 31, 2023 were as follows (in thousands):</w:t>
      </w:r>
    </w:p>
    <w:tbl>
      <w:tblPr>
        <w:tblW w:w="5754" w:type="dxa"/>
        <w:jc w:val="left"/>
        <w:tblInd w:w="0" w:type="dxa"/>
        <w:tblLayout w:type="fixed"/>
        <w:tblCellMar>
          <w:top w:w="28" w:type="dxa"/>
          <w:left w:w="28" w:type="dxa"/>
          <w:bottom w:w="28" w:type="dxa"/>
          <w:right w:w="28" w:type="dxa"/>
        </w:tblCellMar>
      </w:tblPr>
      <w:tblGrid>
        <w:gridCol w:w="1120"/>
        <w:gridCol w:w="981"/>
        <w:gridCol w:w="989"/>
        <w:gridCol w:w="211"/>
        <w:gridCol w:w="826"/>
        <w:gridCol w:w="109"/>
        <w:gridCol w:w="109"/>
        <w:gridCol w:w="109"/>
        <w:gridCol w:w="109"/>
        <w:gridCol w:w="211"/>
        <w:gridCol w:w="826"/>
        <w:gridCol w:w="154"/>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457,484 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year through two years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129,870 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129,612 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587,368 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Fair Value Measurements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carries cash equivalents and marketable investments at fair value. Fair value is based on the price that would be received from selling an asset or paid to transfer a liability in an orderly transaction between market participants at the measurement date. Fair value is estimated by applying the following hierarchy, which prioritizes the inputs used to measure fair value into three levels and bases the categorization within the hierarchy upon the lowest level of input that is available and significant to the fair value measurement:</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1</w:t>
      </w:r>
      <w:r>
        <w:rPr>
          <w:color w:val="000000"/>
        </w:rPr>
        <w:t xml:space="preserve"> — </w:t>
      </w:r>
      <w:r>
        <w:rPr>
          <w:rFonts w:ascii="Times New Roman;sans-serif" w:hAnsi="Times New Roman;sans-serif"/>
          <w:b w:val="false"/>
          <w:color w:val="000000"/>
          <w:sz w:val="20"/>
        </w:rPr>
        <w:t xml:space="preserve">Observable inputs, which include unadjusted quoted prices in active markets for identical assets or liabilities.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2</w:t>
      </w:r>
      <w:r>
        <w:rPr>
          <w:color w:val="000000"/>
        </w:rPr>
        <w:t xml:space="preserve"> — </w:t>
      </w:r>
      <w:r>
        <w:rPr>
          <w:rFonts w:ascii="Times New Roman;sans-serif" w:hAnsi="Times New Roman;sans-serif"/>
          <w:b w:val="false"/>
          <w:color w:val="000000"/>
          <w:sz w:val="20"/>
        </w:rPr>
        <w:t xml:space="preserve">Observable inputs other than Level 1 inputs, such as quoted prices in markets that are not active, or other inputs that are observable or can be corroborated by observable market data for substantially the full term of the assets or liabilities. </w:t>
      </w:r>
    </w:p>
    <w:p>
      <w:pPr>
        <w:pStyle w:val="TextBody"/>
        <w:bidi w:val="0"/>
        <w:spacing w:lineRule="auto" w:line="288" w:before="120" w:after="283"/>
        <w:ind w:left="0" w:right="0" w:firstLine="495"/>
        <w:jc w:val="left"/>
        <w:rPr/>
      </w:pPr>
      <w:r>
        <w:rPr>
          <w:rFonts w:ascii="Times New Roman;sans-serif" w:hAnsi="Times New Roman;sans-serif"/>
          <w:b w:val="false"/>
          <w:i/>
          <w:color w:val="000000"/>
          <w:sz w:val="20"/>
        </w:rPr>
        <w:t>Level 3</w:t>
      </w:r>
      <w:r>
        <w:rPr>
          <w:color w:val="000000"/>
        </w:rPr>
        <w:t xml:space="preserve"> — </w:t>
      </w:r>
      <w:r>
        <w:rPr>
          <w:rFonts w:ascii="Times New Roman;sans-serif" w:hAnsi="Times New Roman;sans-serif"/>
          <w:b w:val="false"/>
          <w:color w:val="000000"/>
          <w:sz w:val="20"/>
        </w:rPr>
        <w:t xml:space="preserve">Unobservable inputs that are supported by little or no market activity and that are based on management’s assumptions, including fair value measurements determined by using pricing models, discounted cash flow methodologies or similar techniques.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determined the fair value of its Level 1 financial instruments, which are traded in active markets, using quoted market prices for identical instruments.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 classified within Level 2 of the fair value hierarchy are valued based on other observable inputs, including broker or dealer quotations or alternative pricing sources. When quoted prices in active markets for identical assets or liabilities are not available, the Company relies on non-binding quotes from its investment managers, which are based on proprietary valuation models of independent pricing services. These models generally use inputs such as observable market data, quoted market prices for similar instruments, historical pricing trends of a security as relative to its peers. To validate the fair value determination provided by its investment managers, the Company reviews the pricing movement in the context of overall market trends and trading information from its investment managers. The Company performs routine procedures such as comparing prices obtained from independent sources to ensure that appropriate fair values are recorded.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85"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set forth the Company’s assets measured at fair value by level within the fair value hierarchy (in thousands):</w:t>
      </w:r>
    </w:p>
    <w:tbl>
      <w:tblPr>
        <w:tblW w:w="9701" w:type="dxa"/>
        <w:jc w:val="left"/>
        <w:tblInd w:w="0" w:type="dxa"/>
        <w:tblLayout w:type="fixed"/>
        <w:tblCellMar>
          <w:top w:w="28" w:type="dxa"/>
          <w:left w:w="28" w:type="dxa"/>
          <w:bottom w:w="28" w:type="dxa"/>
          <w:right w:w="28" w:type="dxa"/>
        </w:tblCellMar>
      </w:tblPr>
      <w:tblGrid>
        <w:gridCol w:w="1512"/>
        <w:gridCol w:w="1331"/>
        <w:gridCol w:w="1341"/>
        <w:gridCol w:w="109"/>
        <w:gridCol w:w="109"/>
        <w:gridCol w:w="10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512"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1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1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73,635 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Marketable investments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U.S. agency and government-sponsored securities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315,437 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587,096 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investments (short and long-term)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and government-sponsored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196,851 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Municipal bonds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22,619 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249,226 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434,628 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1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76" w:before="0" w:after="0"/>
        <w:ind w:left="0" w:right="0" w:firstLine="495"/>
        <w:jc w:val="left"/>
        <w:rPr/>
      </w:pPr>
      <w:r>
        <w:rPr>
          <w:rFonts w:ascii="Times New Roman;sans-serif" w:hAnsi="Times New Roman;sans-serif"/>
          <w:b w:val="false"/>
          <w:color w:val="000000"/>
          <w:sz w:val="20"/>
        </w:rPr>
        <w:t>As of December 31, 2022, the estimated fair value of the Company’s outstanding 2023 convertible senior notes was $0.3 million. The 2023 convertible senior notes matured on May 1, 2023. As of December 31, 2023 and 2022, the estimated fair value of the Company's outstanding 2025 convertible senior notes was $718.3 million and $687.1 million, respectively.</w:t>
      </w:r>
      <w:r>
        <w:rPr>
          <w:color w:val="000000"/>
        </w:rPr>
        <w:t xml:space="preserve"> </w:t>
      </w:r>
      <w:r>
        <w:rPr>
          <w:rFonts w:ascii="Times New Roman;sans-serif" w:hAnsi="Times New Roman;sans-serif"/>
          <w:b w:val="false"/>
          <w:color w:val="000000"/>
          <w:sz w:val="20"/>
        </w:rPr>
        <w:t>The fair values were determined based on the quoted price of the convertible senior notes in an inactive market on the last trading day of the reporting period and have been classified as Level 2 in the fair value hierarchy. See Note 6 for further information on the Company’s convertible senior notes.</w:t>
      </w:r>
    </w:p>
    <w:p>
      <w:pPr>
        <w:pStyle w:val="TextBody"/>
        <w:bidi w:val="0"/>
        <w:spacing w:lineRule="auto" w:line="276" w:before="120" w:after="283"/>
        <w:ind w:left="0" w:right="0" w:firstLine="495"/>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February 2022, the Company made a $2.0 million equity investment in a privately-held company that it does not have the ability to exercise significant influence over. The Company elected the measurement alternative for an equity security without a readily determinable fair value. Accordingly, this investment is accounted for at its cost minus impairment, if any, and is classified within Level 3. If the Company identifies observable price changes in orderly transactions for such investment or a similar investment, it will measure the investment at fair value as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86"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date that the observable transactions or events occurred. The Company concluded that there was no indicator of impairment of this investment as of December 31,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Except for the $2.0 million equity investment described above, there were no assets or liabilities measured at fair value on a non-recurring basis as of December 31, 2023 and 2022.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fair value of the Company’s other financial instruments, including accounts receivable, accounts payable and other current liabilities, approximate their carrying value due to the relatively short maturity of those instruments. The carrying amounts of the Company’s operating and finance leases approximate their fair value, which is the present value of expected future cash payments based on assumptions about current interest rates and the creditworthiness of the Company.</w:t>
      </w:r>
    </w:p>
    <w:p>
      <w:pPr>
        <w:pStyle w:val="TextBody"/>
        <w:bidi w:val="0"/>
        <w:spacing w:before="6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4. Financial Statement Components</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consisted of the following (in thousands):</w:t>
      </w:r>
    </w:p>
    <w:tbl>
      <w:tblPr>
        <w:tblW w:w="5848" w:type="dxa"/>
        <w:jc w:val="left"/>
        <w:tblInd w:w="0" w:type="dxa"/>
        <w:tblLayout w:type="fixed"/>
        <w:tblCellMar>
          <w:top w:w="28" w:type="dxa"/>
          <w:left w:w="28" w:type="dxa"/>
          <w:bottom w:w="28" w:type="dxa"/>
          <w:right w:w="28" w:type="dxa"/>
        </w:tblCellMar>
      </w:tblPr>
      <w:tblGrid>
        <w:gridCol w:w="975"/>
        <w:gridCol w:w="856"/>
        <w:gridCol w:w="869"/>
        <w:gridCol w:w="109"/>
        <w:gridCol w:w="109"/>
        <w:gridCol w:w="109"/>
        <w:gridCol w:w="211"/>
        <w:gridCol w:w="826"/>
        <w:gridCol w:w="109"/>
        <w:gridCol w:w="109"/>
        <w:gridCol w:w="109"/>
        <w:gridCol w:w="109"/>
        <w:gridCol w:w="211"/>
        <w:gridCol w:w="826"/>
        <w:gridCol w:w="311"/>
      </w:tblGrid>
      <w:tr>
        <w:trPr/>
        <w:tc>
          <w:tcPr>
            <w:tcW w:w="9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123,260 </w:t>
            </w:r>
          </w:p>
        </w:tc>
        <w:tc>
          <w:tcPr>
            <w:tcW w:w="3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19,700 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1"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180,520 </w:t>
            </w:r>
          </w:p>
        </w:tc>
        <w:tc>
          <w:tcPr>
            <w:tcW w:w="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Accounts receivable, net consisted of the following (in thousands): </w:t>
      </w:r>
    </w:p>
    <w:tbl>
      <w:tblPr>
        <w:tblW w:w="8226" w:type="dxa"/>
        <w:jc w:val="left"/>
        <w:tblInd w:w="0" w:type="dxa"/>
        <w:tblLayout w:type="fixed"/>
        <w:tblCellMar>
          <w:top w:w="28" w:type="dxa"/>
          <w:left w:w="28" w:type="dxa"/>
          <w:bottom w:w="28" w:type="dxa"/>
          <w:right w:w="28" w:type="dxa"/>
        </w:tblCellMar>
      </w:tblPr>
      <w:tblGrid>
        <w:gridCol w:w="1972"/>
        <w:gridCol w:w="1733"/>
        <w:gridCol w:w="1740"/>
        <w:gridCol w:w="109"/>
        <w:gridCol w:w="109"/>
        <w:gridCol w:w="109"/>
        <w:gridCol w:w="211"/>
        <w:gridCol w:w="721"/>
        <w:gridCol w:w="109"/>
        <w:gridCol w:w="109"/>
        <w:gridCol w:w="109"/>
        <w:gridCol w:w="109"/>
        <w:gridCol w:w="211"/>
        <w:gridCol w:w="721"/>
        <w:gridCol w:w="154"/>
      </w:tblGrid>
      <w:tr>
        <w:trPr/>
        <w:tc>
          <w:tcPr>
            <w:tcW w:w="1972" w:type="dxa"/>
            <w:tcBorders/>
            <w:vAlign w:val="center"/>
          </w:tcPr>
          <w:p>
            <w:pPr>
              <w:pStyle w:val="TableContents"/>
              <w:bidi w:val="0"/>
              <w:spacing w:before="0" w:after="283"/>
              <w:jc w:val="left"/>
              <w:rPr>
                <w:sz w:val="4"/>
                <w:szCs w:val="4"/>
              </w:rPr>
            </w:pPr>
            <w:r>
              <w:rPr>
                <w:sz w:val="4"/>
                <w:szCs w:val="4"/>
              </w:rPr>
            </w:r>
          </w:p>
        </w:tc>
        <w:tc>
          <w:tcPr>
            <w:tcW w:w="1733" w:type="dxa"/>
            <w:tcBorders/>
            <w:vAlign w:val="center"/>
          </w:tcPr>
          <w:p>
            <w:pPr>
              <w:pStyle w:val="TableContents"/>
              <w:bidi w:val="0"/>
              <w:spacing w:before="0" w:after="283"/>
              <w:jc w:val="left"/>
              <w:rPr>
                <w:sz w:val="4"/>
                <w:szCs w:val="4"/>
              </w:rPr>
            </w:pPr>
            <w:r>
              <w:rPr>
                <w:sz w:val="4"/>
                <w:szCs w:val="4"/>
              </w:rPr>
            </w:r>
          </w:p>
        </w:tc>
        <w:tc>
          <w:tcPr>
            <w:tcW w:w="1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54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77,621 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Unbilled trade accounts receivable, net of advance client deposits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97,424 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 expenses and other current assets consisted of the following (in thousands): </w:t>
      </w:r>
    </w:p>
    <w:tbl>
      <w:tblPr>
        <w:tblW w:w="6231" w:type="dxa"/>
        <w:jc w:val="left"/>
        <w:tblInd w:w="0" w:type="dxa"/>
        <w:tblLayout w:type="fixed"/>
        <w:tblCellMar>
          <w:top w:w="28" w:type="dxa"/>
          <w:left w:w="28" w:type="dxa"/>
          <w:bottom w:w="28" w:type="dxa"/>
          <w:right w:w="28" w:type="dxa"/>
        </w:tblCellMar>
      </w:tblPr>
      <w:tblGrid>
        <w:gridCol w:w="1250"/>
        <w:gridCol w:w="1096"/>
        <w:gridCol w:w="1104"/>
        <w:gridCol w:w="109"/>
        <w:gridCol w:w="109"/>
        <w:gridCol w:w="109"/>
        <w:gridCol w:w="211"/>
        <w:gridCol w:w="721"/>
        <w:gridCol w:w="109"/>
        <w:gridCol w:w="109"/>
        <w:gridCol w:w="109"/>
        <w:gridCol w:w="109"/>
        <w:gridCol w:w="211"/>
        <w:gridCol w:w="721"/>
        <w:gridCol w:w="154"/>
      </w:tblGrid>
      <w:tr>
        <w:trPr/>
        <w:tc>
          <w:tcPr>
            <w:tcW w:w="1250"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4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17,151 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34,622 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87"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net consisted of the following (in thousands): </w:t>
      </w:r>
    </w:p>
    <w:tbl>
      <w:tblPr>
        <w:tblW w:w="6680" w:type="dxa"/>
        <w:jc w:val="left"/>
        <w:tblInd w:w="0" w:type="dxa"/>
        <w:tblLayout w:type="fixed"/>
        <w:tblCellMar>
          <w:top w:w="28" w:type="dxa"/>
          <w:left w:w="28" w:type="dxa"/>
          <w:bottom w:w="28" w:type="dxa"/>
          <w:right w:w="28" w:type="dxa"/>
        </w:tblCellMar>
      </w:tblPr>
      <w:tblGrid>
        <w:gridCol w:w="1336"/>
        <w:gridCol w:w="1173"/>
        <w:gridCol w:w="1180"/>
        <w:gridCol w:w="109"/>
        <w:gridCol w:w="109"/>
        <w:gridCol w:w="109"/>
        <w:gridCol w:w="211"/>
        <w:gridCol w:w="826"/>
        <w:gridCol w:w="109"/>
        <w:gridCol w:w="109"/>
        <w:gridCol w:w="109"/>
        <w:gridCol w:w="109"/>
        <w:gridCol w:w="211"/>
        <w:gridCol w:w="826"/>
        <w:gridCol w:w="154"/>
      </w:tblGrid>
      <w:tr>
        <w:trPr/>
        <w:tc>
          <w:tcPr>
            <w:tcW w:w="1336"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6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and network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148,789 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software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Internal-use software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Furniture and fixtures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Leasehold improvements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246,274 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(114,534)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expense associated with property and equipment was $36.5 million, $33.0 million and $26.9 million for the years ended December 31, 2023, 2022 and 2021, respectively.</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and equipment capitalized under finance lease obligations consists primarily of computer and network equipment and was immaterial as of December 31, 2023 and 2022. </w:t>
      </w:r>
    </w:p>
    <w:p>
      <w:pPr>
        <w:pStyle w:val="TextBody"/>
        <w:bidi w:val="0"/>
        <w:spacing w:lineRule="auto" w:line="288" w:before="24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consisted of the following (in thousands):</w:t>
      </w:r>
    </w:p>
    <w:tbl>
      <w:tblPr>
        <w:tblW w:w="6988" w:type="dxa"/>
        <w:jc w:val="left"/>
        <w:tblInd w:w="0" w:type="dxa"/>
        <w:tblLayout w:type="fixed"/>
        <w:tblCellMar>
          <w:top w:w="28" w:type="dxa"/>
          <w:left w:w="28" w:type="dxa"/>
          <w:bottom w:w="28" w:type="dxa"/>
          <w:right w:w="28" w:type="dxa"/>
        </w:tblCellMar>
      </w:tblPr>
      <w:tblGrid>
        <w:gridCol w:w="1431"/>
        <w:gridCol w:w="1257"/>
        <w:gridCol w:w="1272"/>
        <w:gridCol w:w="109"/>
        <w:gridCol w:w="109"/>
        <w:gridCol w:w="109"/>
        <w:gridCol w:w="211"/>
        <w:gridCol w:w="721"/>
        <w:gridCol w:w="109"/>
        <w:gridCol w:w="109"/>
        <w:gridCol w:w="109"/>
        <w:gridCol w:w="109"/>
        <w:gridCol w:w="211"/>
        <w:gridCol w:w="721"/>
        <w:gridCol w:w="401"/>
      </w:tblGrid>
      <w:tr>
        <w:trPr/>
        <w:tc>
          <w:tcPr>
            <w:tcW w:w="143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9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5,081 </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investment in a privately-held company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3,976 </w:t>
            </w:r>
          </w:p>
        </w:tc>
        <w:tc>
          <w:tcPr>
            <w:tcW w:w="401" w:type="dxa"/>
            <w:tcBorders/>
            <w:shd w:fill="CCEE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3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11,057 </w:t>
            </w:r>
          </w:p>
        </w:tc>
        <w:tc>
          <w:tcPr>
            <w:tcW w:w="4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Accrued and other current liabilities consisted of the following (in thousands): </w:t>
      </w:r>
    </w:p>
    <w:tbl>
      <w:tblPr>
        <w:tblW w:w="5825" w:type="dxa"/>
        <w:jc w:val="left"/>
        <w:tblInd w:w="0" w:type="dxa"/>
        <w:tblLayout w:type="fixed"/>
        <w:tblCellMar>
          <w:top w:w="28" w:type="dxa"/>
          <w:left w:w="28" w:type="dxa"/>
          <w:bottom w:w="28" w:type="dxa"/>
          <w:right w:w="28" w:type="dxa"/>
        </w:tblCellMar>
      </w:tblPr>
      <w:tblGrid>
        <w:gridCol w:w="1103"/>
        <w:gridCol w:w="967"/>
        <w:gridCol w:w="974"/>
        <w:gridCol w:w="109"/>
        <w:gridCol w:w="109"/>
        <w:gridCol w:w="109"/>
        <w:gridCol w:w="211"/>
        <w:gridCol w:w="721"/>
        <w:gridCol w:w="109"/>
        <w:gridCol w:w="109"/>
        <w:gridCol w:w="109"/>
        <w:gridCol w:w="109"/>
        <w:gridCol w:w="211"/>
        <w:gridCol w:w="72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19,343 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benefits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federal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58,536 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0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Other long-term liabilities consisted of the following (in thousands): </w:t>
      </w:r>
    </w:p>
    <w:tbl>
      <w:tblPr>
        <w:tblW w:w="4806" w:type="dxa"/>
        <w:jc w:val="left"/>
        <w:tblInd w:w="0" w:type="dxa"/>
        <w:tblLayout w:type="fixed"/>
        <w:tblCellMar>
          <w:top w:w="28" w:type="dxa"/>
          <w:left w:w="28" w:type="dxa"/>
          <w:bottom w:w="28" w:type="dxa"/>
          <w:right w:w="28" w:type="dxa"/>
        </w:tblCellMar>
      </w:tblPr>
      <w:tblGrid>
        <w:gridCol w:w="811"/>
        <w:gridCol w:w="710"/>
        <w:gridCol w:w="714"/>
        <w:gridCol w:w="109"/>
        <w:gridCol w:w="109"/>
        <w:gridCol w:w="109"/>
        <w:gridCol w:w="211"/>
        <w:gridCol w:w="616"/>
        <w:gridCol w:w="109"/>
        <w:gridCol w:w="109"/>
        <w:gridCol w:w="109"/>
        <w:gridCol w:w="109"/>
        <w:gridCol w:w="211"/>
        <w:gridCol w:w="616"/>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long-term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45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88"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5. Goodwill and Intangible Assets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Goodwill of $62.0 million and intangible assets of $22.1 million were recognized as a result of the Company's acquisition of Aceyus, Inc. ("Aceyus") in August 2023. See Note 14 for further details. The following table summarizes the activity in the Company's goodwill and intangible asset balances during the years ended December 31, 2023 and 2022 (in thousands): </w:t>
      </w:r>
    </w:p>
    <w:tbl>
      <w:tblPr>
        <w:tblW w:w="6899" w:type="dxa"/>
        <w:jc w:val="left"/>
        <w:tblInd w:w="0" w:type="dxa"/>
        <w:tblLayout w:type="fixed"/>
        <w:tblCellMar>
          <w:top w:w="28" w:type="dxa"/>
          <w:left w:w="28" w:type="dxa"/>
          <w:bottom w:w="28" w:type="dxa"/>
          <w:right w:w="28" w:type="dxa"/>
        </w:tblCellMar>
      </w:tblPr>
      <w:tblGrid>
        <w:gridCol w:w="1354"/>
        <w:gridCol w:w="1187"/>
        <w:gridCol w:w="1194"/>
        <w:gridCol w:w="109"/>
        <w:gridCol w:w="109"/>
        <w:gridCol w:w="109"/>
        <w:gridCol w:w="211"/>
        <w:gridCol w:w="826"/>
        <w:gridCol w:w="109"/>
        <w:gridCol w:w="109"/>
        <w:gridCol w:w="109"/>
        <w:gridCol w:w="109"/>
        <w:gridCol w:w="265"/>
        <w:gridCol w:w="906"/>
        <w:gridCol w:w="193"/>
      </w:tblGrid>
      <w:tr>
        <w:trPr/>
        <w:tc>
          <w:tcPr>
            <w:tcW w:w="1354" w:type="dxa"/>
            <w:tcBorders/>
            <w:vAlign w:val="center"/>
          </w:tcPr>
          <w:p>
            <w:pPr>
              <w:pStyle w:val="TableContents"/>
              <w:bidi w:val="0"/>
              <w:spacing w:before="0" w:after="283"/>
              <w:jc w:val="left"/>
              <w:rPr>
                <w:sz w:val="4"/>
                <w:szCs w:val="4"/>
              </w:rPr>
            </w:pPr>
            <w:r>
              <w:rPr>
                <w:sz w:val="4"/>
                <w:szCs w:val="4"/>
              </w:rPr>
            </w:r>
          </w:p>
        </w:tc>
        <w:tc>
          <w:tcPr>
            <w:tcW w:w="1187"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90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Intangible Assets</w:t>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January 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39,897 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Beginning of the period,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165,420 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28,192 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Addition (Aceyus)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(12,019)</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End of the period,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227,412 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38,323 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fourth quarter of 2023, the Company completed its annual goodwill impairment test. Based on the Company’s assessment, it concluded that it is more likely than not that the fair values are more than their carrying values. Accordingly, there was no indication of impairment of goodwill, and further quantitative testing was not required. Subsequent to the 2023 annual impairment test, the Company believes there have been no significant events or circumstances negatively affecting the valuation of goodwill. As of December 31, 2023 and 2022, there was no impairment to the carrying value of the Company’s goodwill.</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intangible assets were as follows (in thousands): </w:t>
      </w:r>
    </w:p>
    <w:tbl>
      <w:tblPr>
        <w:tblW w:w="11453" w:type="dxa"/>
        <w:jc w:val="left"/>
        <w:tblInd w:w="0" w:type="dxa"/>
        <w:tblLayout w:type="fixed"/>
        <w:tblCellMar>
          <w:top w:w="28" w:type="dxa"/>
          <w:left w:w="28" w:type="dxa"/>
          <w:bottom w:w="28" w:type="dxa"/>
          <w:right w:w="28" w:type="dxa"/>
        </w:tblCellMar>
      </w:tblPr>
      <w:tblGrid>
        <w:gridCol w:w="416"/>
        <w:gridCol w:w="287"/>
        <w:gridCol w:w="288"/>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109"/>
        <w:gridCol w:w="109"/>
        <w:gridCol w:w="109"/>
        <w:gridCol w:w="360"/>
        <w:gridCol w:w="360"/>
        <w:gridCol w:w="361"/>
        <w:gridCol w:w="109"/>
        <w:gridCol w:w="109"/>
        <w:gridCol w:w="109"/>
        <w:gridCol w:w="196"/>
        <w:gridCol w:w="646"/>
        <w:gridCol w:w="109"/>
        <w:gridCol w:w="109"/>
        <w:gridCol w:w="109"/>
        <w:gridCol w:w="109"/>
        <w:gridCol w:w="219"/>
        <w:gridCol w:w="739"/>
        <w:gridCol w:w="123"/>
        <w:gridCol w:w="109"/>
        <w:gridCol w:w="109"/>
        <w:gridCol w:w="109"/>
        <w:gridCol w:w="196"/>
        <w:gridCol w:w="646"/>
        <w:gridCol w:w="109"/>
        <w:gridCol w:w="329"/>
        <w:gridCol w:w="329"/>
        <w:gridCol w:w="468"/>
      </w:tblGrid>
      <w:tr>
        <w:trPr/>
        <w:tc>
          <w:tcPr>
            <w:tcW w:w="41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4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63"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 xml:space="preserve">Carrying </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Accumulated </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 xml:space="preserve">Carrying </w:t>
              <w:br/>
              <w:t>Amount</w:t>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Amortization Period (Years)</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Developed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(40,327)</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56,214 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(28,881)</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Acquired workforce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(1,252)</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2.7</w:t>
            </w:r>
          </w:p>
        </w:tc>
      </w:tr>
      <w:tr>
        <w:trPr/>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(562)</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(500)</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0.0</w:t>
            </w:r>
          </w:p>
        </w:tc>
      </w:tr>
      <w:tr>
        <w:trPr/>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80,934 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(42,611)</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38,323 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58,784 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(30,592)</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28,192 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3.2</w:t>
            </w:r>
          </w:p>
        </w:tc>
      </w:tr>
    </w:tbl>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related to intangible assets was $12.0 million, $11.7 million and $11.8 million for the years ended December 31, 2023, 2022 and 2021,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89"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the expected future amortization expense for intangible assets was as follows (in thousands): </w:t>
      </w:r>
    </w:p>
    <w:tbl>
      <w:tblPr>
        <w:tblW w:w="3027" w:type="dxa"/>
        <w:jc w:val="left"/>
        <w:tblInd w:w="0" w:type="dxa"/>
        <w:tblLayout w:type="fixed"/>
        <w:tblCellMar>
          <w:top w:w="28" w:type="dxa"/>
          <w:left w:w="28" w:type="dxa"/>
          <w:bottom w:w="28" w:type="dxa"/>
          <w:right w:w="28" w:type="dxa"/>
        </w:tblCellMar>
      </w:tblPr>
      <w:tblGrid>
        <w:gridCol w:w="341"/>
        <w:gridCol w:w="300"/>
        <w:gridCol w:w="305"/>
        <w:gridCol w:w="109"/>
        <w:gridCol w:w="109"/>
        <w:gridCol w:w="109"/>
        <w:gridCol w:w="339"/>
        <w:gridCol w:w="1164"/>
        <w:gridCol w:w="251"/>
      </w:tblGrid>
      <w:tr>
        <w:trPr/>
        <w:tc>
          <w:tcPr>
            <w:tcW w:w="34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r>
      <w:tr>
        <w:trP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Expected Future </w:t>
              <w:br/>
              <w:t>Amortization Expense</w:t>
            </w:r>
          </w:p>
        </w:tc>
      </w:tr>
      <w:tr>
        <w:trPr/>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7,201 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2,706 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6,267 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38,323 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are reviewed for impairment whenever events or changes in circumstances indicate an asset’s carrying value may not be recoverable. The Company concluded that there was no indicators of impairment of its intangible assets as of December 31, 2023 and 2022.</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6. Debt </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2025 Convertible Senior Notes and Related Capped Call Transactions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May and June 2020, the Company issued $747.5 million aggregate principal amount of 2025 convertible senior notes in a private offering, which aggregate principal amount included the exercise in full of the initial purchasers’ option to purchase up to an additional $97.5 million principal amount of the 2025 convertible senior notes. The 2025 convertible senior notes mature on June 1, 2025 and bear interest at a fixed rate of 0.500% per annum, payable semiannually in arrears on June 1 and December 1 of each year, beginning on December 1, 2020. The total net proceeds from the issuance of the 2025 convertible senior notes, after deducting initial purchasers' discounts and commissions and estimated debt issuance costs, were approximately $728.8 million.</w:t>
      </w:r>
    </w:p>
    <w:p>
      <w:pPr>
        <w:pStyle w:val="TextBody"/>
        <w:bidi w:val="0"/>
        <w:spacing w:lineRule="auto" w:line="276"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Each $1,000 principal amount of the 2025 convertible senior notes is initially convertible into 7.4437 shares of the Company’s common stock (the “2025 Conversion Option”), which is equivalent to an initial conversion price of approximately $134.34 per share of common stock, subject to adjustment upon the occurrence of specified events. The initial conversion price represents a premium of approximately 30% to the $103.34 per share closing price of the Company’s common stock on The Nasdaq Global Market on May 21, 2020. The 2025 convertible senior notes are convertible, in multiples of $1,000 principal amount, at the option of the holders prior to the close of business on the business day immediately preceding March 1, 2025, only under the following circumstances: (1) during any calendar quarter commencing after the calendar quarter ending on September 30, 2020 (and only during such calendar quarter), if the last reported sale price of the Company’s common stock for at least 20 trading days (whether or not consecutive) during a period of 30 consecutive trading days ending on, and including, the last trading day of the immediately preceding calendar quarter is greater than or equal to 130% of the conversion price on each applicable trading day; (2) during the five business day period after any five consecutive trading day period (the “2025 Measurement Period”) in which the trading price (as defined in the 2025 Indenture governing the 2025 convertible senior notes) per $1,000 principal amount of the 2025 convertible senior notes for each trading day of the 2025 Measurement Period was less than 98% of the product of the last reported sale price of the Company’s common stock and the conversion rate in effect on each such trading day; (3) if the Company calls any or all of the 2025 convertible senior notes for redemption, at any time prior to the close of business on the second scheduled trading day immediately preceding the redemption date; or (4) upon the occurrence of specified corporate events. On or after March 1, 2025 until the close of business on the second scheduled trading day immediately preceding the maturity date, holders may convert all or any portion of their 2025 convertible senior notes, in multiples of $1,000 principal amount, at the option of the holder regardless of the foregoing circumstances. </w:t>
      </w:r>
    </w:p>
    <w:p>
      <w:pPr>
        <w:pStyle w:val="TextBody"/>
        <w:bidi w:val="0"/>
        <w:spacing w:lineRule="auto" w:line="276"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conversion, the Company will pay or deliver, as the case may be, cash, shares of the Company’s common stock or a combination of cash and shares of the Company’s common stock, at the Company’s election. If the Company undergoes a fundamental change (as defined in the indenture governing the 2025 convertible senior notes), subject to certain conditions, holders may require the Company to repurchase for cash all or any portion of their 2025 convertible senior notes, in principal amounts of $1,000 or a multiple thereof, at a fundamental change repurchase price equal to 100% of the principal amount of the 2025 convertible senior notes to be repurchased, plus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0"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and unpaid interest, if any, to, but excluding, the fundamental change repurchase date. In addition, following certain corporate events or if the Company issues a notice of redemption, it will, under certain circumstances, increase the conversion rate for holders who elect to convert their notes in connection with such corporate event or during the relevant redemption period.</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have been no changes to the initial conversion price of the 2025 convertible senior notes since issuance. The closing market price of the Company's common stock of $78.69 per share as of December 29, 2023, the last trading day during the three months ended December 31, 2023, was below $174.64 per share, which represents 130% of the initial conversion price of $134.34 per share. Additionally, the last reported sale price of the Company’s common stock for at least 20 trading days (whether or not consecutive) during a period of 30 consecutive trading days ending on, and including, the last trading day, December 29, 2023, was not greater than or equal to 130% of the initial conversion price. As such, during the three months ended December 31, 2023, the conditions allowing holders of the 2025 convertible senior notes to convert were not met. The 2025 convertible senior notes are therefore not convertible during the three months ending March 31, 2024.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2025 convertible senior notes became redeemable at the Company’s option on June 6, 2023. The Company may redeem for cash all or any portion of the 2025 convertible senior notes, at its option, prior to March 1, 2025, if the last reported sale price of its common stock has been at least 130% of the conversion price then in effect for at least 20 trading days (whether or not consecutive) during any 30 consecutive trading day period (including the last trading day of such period) ending not more than two trading days immediately preceding the date on which the Company provides notice of redemption at a redemption price equal to 100% of the principal amount of the 2025 convertible senior notes to be redeemed, plus accrued and unpaid interest, if any, to, but excluding, the redemption date. No sinking fund is provided for the 2025 convertible senior notes. During the three months ended December 31, 2023, the conditions allowing the Company to redeem for cash all or any portion of the 2025 convertible senior notes were not met. </w:t>
      </w:r>
    </w:p>
    <w:p>
      <w:pPr>
        <w:pStyle w:val="TextBody"/>
        <w:bidi w:val="0"/>
        <w:spacing w:lineRule="auto" w:line="276"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2025 convertible senior notes are the Company’s senior unsecured obligations and rank senior in right of payment to any of the Company’s indebtedness that is expressly subordinated in right of payment to the 2025 convertible senior notes; equal in right of payment to any of the Company’s unsecured indebtedness that is not so subordinated; effectively junior in right of payment to any of the Company’s secured indebtedness to the extent of the value of the assets securing such indebtedness; and structurally junior to all indebtedness and other liabilities (including trade payables) of the Company’s subsidiaries.</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carrying amount of the 2025 convertible senior notes as of December 31, 2023 and 2022 was as follows (in thousands): </w:t>
      </w:r>
    </w:p>
    <w:tbl>
      <w:tblPr>
        <w:tblW w:w="6052" w:type="dxa"/>
        <w:jc w:val="left"/>
        <w:tblInd w:w="0" w:type="dxa"/>
        <w:tblLayout w:type="fixed"/>
        <w:tblCellMar>
          <w:top w:w="28" w:type="dxa"/>
          <w:left w:w="28" w:type="dxa"/>
          <w:bottom w:w="28" w:type="dxa"/>
          <w:right w:w="28" w:type="dxa"/>
        </w:tblCellMar>
      </w:tblPr>
      <w:tblGrid>
        <w:gridCol w:w="853"/>
        <w:gridCol w:w="748"/>
        <w:gridCol w:w="754"/>
        <w:gridCol w:w="109"/>
        <w:gridCol w:w="109"/>
        <w:gridCol w:w="109"/>
        <w:gridCol w:w="276"/>
        <w:gridCol w:w="1081"/>
        <w:gridCol w:w="142"/>
        <w:gridCol w:w="109"/>
        <w:gridCol w:w="109"/>
        <w:gridCol w:w="109"/>
        <w:gridCol w:w="273"/>
        <w:gridCol w:w="1072"/>
        <w:gridCol w:w="199"/>
      </w:tblGrid>
      <w:tr>
        <w:trPr/>
        <w:tc>
          <w:tcPr>
            <w:tcW w:w="853"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747,500 </w:t>
            </w:r>
          </w:p>
        </w:tc>
        <w:tc>
          <w:tcPr>
            <w:tcW w:w="19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Unamortized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(5,375)</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(9,124)</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carrying amount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742,125 </w:t>
            </w:r>
          </w:p>
        </w:tc>
        <w:tc>
          <w:tcPr>
            <w:tcW w:w="1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738,376 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related to the 2025 convertible senior notes was as follows (in thousands):</w:t>
      </w:r>
    </w:p>
    <w:tbl>
      <w:tblPr>
        <w:tblW w:w="8554"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109"/>
        <w:gridCol w:w="109"/>
        <w:gridCol w:w="109"/>
        <w:gridCol w:w="109"/>
        <w:gridCol w:w="338"/>
        <w:gridCol w:w="987"/>
        <w:gridCol w:w="174"/>
        <w:gridCol w:w="109"/>
        <w:gridCol w:w="109"/>
        <w:gridCol w:w="109"/>
        <w:gridCol w:w="338"/>
        <w:gridCol w:w="987"/>
        <w:gridCol w:w="174"/>
        <w:gridCol w:w="109"/>
        <w:gridCol w:w="109"/>
        <w:gridCol w:w="109"/>
        <w:gridCol w:w="332"/>
        <w:gridCol w:w="970"/>
        <w:gridCol w:w="242"/>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3" w:type="dxa"/>
            <w:gridSpan w:val="1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w:t>
            </w:r>
          </w:p>
        </w:tc>
        <w:tc>
          <w:tcPr>
            <w:tcW w:w="1871" w:type="dxa"/>
            <w:gridSpan w:val="6"/>
            <w:tcBorders/>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2021</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Contractual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4,007 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issuance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3,711 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7,448 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7,681 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283"/>
        <w:ind w:left="0" w:right="0" w:firstLine="495"/>
        <w:jc w:val="left"/>
        <w:rPr/>
      </w:pPr>
      <w:r>
        <w:rPr/>
      </w:r>
    </w:p>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issuance of the 2025 convertible senior notes, the Company entered into privately negotiated capped call transactions (the “2025 Capped Call Transactions”) with certain financial institutions. The initial cap price of the 2025 Capped Call Transactions was $206.68 per share and is subject to certain adjustments under the terms of the 2025 Capped Call Transactions. The 2025 Capped Call Transactions cover, subject to anti-dilution adjustments, approximately 5.6 million shares of the Company’s common stock.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1"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2023 Convertible Senior Notes and Related Capped Call Transactions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May 2018, the Company issued $258.8 million aggregate principal amount of the 2023 convertible senior notes in a private offering. The total net proceeds from the offering, after deducting initial purchasers' discounts and commissions and estimated debt issuance costs, was approximately $250.8 million.</w:t>
      </w:r>
    </w:p>
    <w:p>
      <w:pPr>
        <w:pStyle w:val="TextBody"/>
        <w:bidi w:val="0"/>
        <w:spacing w:lineRule="auto" w:line="276"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May 2020, the Company used part of the net proceeds from the issuance of the 2025 convertible senior notes to repurchase, exchange or otherwise retire approximately $181.0 million aggregate principal amount of the 2023 convertible senior notes in privately-negotiated transactions for aggregate consideration of $449.6 million, consisting of $181.0 million in cash and 2,723,581 shares of the Company’s common stock. </w:t>
      </w:r>
    </w:p>
    <w:p>
      <w:pPr>
        <w:pStyle w:val="TextBody"/>
        <w:bidi w:val="0"/>
        <w:spacing w:lineRule="auto" w:line="276"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2023 convertible senior notes matured on May 1, 2023, and were settled in a combination of cash and shares of the Company’s common stock. Prior to maturity, the 2023 convertible senior notes bore interest at a fixed rate of 0.125% per annum, payable semiannually in arrears on May 1 and November 1 of each year. There were no changes to the 2023 convertible senior notes’ initial conversion price of approximately $40.82 per share of common stock since issuance.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net carrying amount of the 2023 convertible senior notes as of December 31, 2022 was $0.2 million. There were no 2023 convertible senior notes outstanding as of December 31, 2023. Interest expense related to the 2023 convertible senior notes was immaterial for the years ended December 31, 2023, 2022 and 2021. </w:t>
      </w:r>
    </w:p>
    <w:p>
      <w:pPr>
        <w:pStyle w:val="TextBody"/>
        <w:bidi w:val="0"/>
        <w:spacing w:lineRule="auto" w:line="276"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issuance of the 2023 convertible senior notes, the Company entered into privately negotiated capped call transactions (the “2023 Capped Call Transactions”) with certain financial institutions. The initial cap price of the 2023 Capped Call Transactions was $62.80 per share. The 2023 Capped Call Transactions covered approximately 6.3 million shares of the Company’s common stock. Upon maturity, the outstanding capped calls associated with the repurchase, early settlements and settlements at maturity of $194.7 million of the 2023 convertible senior notes were settled, which resulted in the Company receiving 370,877 shares of the Company’s common stock and $74.5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7. Stockholders’ Equity</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Capital Structure</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Common Stock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issue 450,000,000 shares of common stock with a par value of $0.001 per share. As of December 31, 2023 and 2022, the Company had 73,316,968 and 71,047,179 shares of common stock issued and outstanding, respectively.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and 2022, the Company issued 1,445 and 573,633 shares, respectively, of common stock in connection with 2023 convertible senior note settlements. During 2023 and 2022, the Company also received 370,877 and 119,492 shares, respectively, from the partial unwind and settlement of capped calls resulting from the settlement of its 2023 convertible senior notes. The receipt of the 370,877 and 119,492 shares reduced the number of shares of common stock outstanding. See Note 6 for further details.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Holders of the Company’s common stock are entitled to dividends, if and when declared by the board of directors. In the event of liquidation, dissolution or winding up, subject to the rights of the holders of any then outstanding shares of preferred stock, holders of common stock will be entitled to receive the assets and funds of the Company that are legally available for distribution.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Preferred Stock</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is authorized to designate and issue up to 5,000,000 shares of preferred stock with a par value of $0.001 per share in one or more series without stockholder approval and to fix the rights, preferences, privileges and restrictions thereof. As of December 31, 2023 and 2022, there were no shares of preferred stock issued and outstanding.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92"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Common Stock Reserved for Future Issuance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Shares of common stock reserved for future issuance related to outstanding equity awards and employee equity incentive plans as of December 31, 2023, were as follows (in thousands):</w:t>
      </w:r>
    </w:p>
    <w:tbl>
      <w:tblPr>
        <w:tblW w:w="6371" w:type="dxa"/>
        <w:jc w:val="left"/>
        <w:tblInd w:w="0" w:type="dxa"/>
        <w:tblLayout w:type="fixed"/>
        <w:tblCellMar>
          <w:top w:w="28" w:type="dxa"/>
          <w:left w:w="28" w:type="dxa"/>
          <w:bottom w:w="28" w:type="dxa"/>
          <w:right w:w="28" w:type="dxa"/>
        </w:tblCellMar>
      </w:tblPr>
      <w:tblGrid>
        <w:gridCol w:w="1478"/>
        <w:gridCol w:w="1299"/>
        <w:gridCol w:w="1303"/>
        <w:gridCol w:w="109"/>
        <w:gridCol w:w="109"/>
        <w:gridCol w:w="109"/>
        <w:gridCol w:w="574"/>
        <w:gridCol w:w="574"/>
        <w:gridCol w:w="816"/>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Reserved</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outstanding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8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(including PRSUs) outstanding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grant under 2014 Plan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15,653 </w:t>
            </w:r>
          </w:p>
        </w:tc>
        <w:tc>
          <w:tcPr>
            <w:tcW w:w="8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available for future issuance under ESPP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3,937 </w:t>
            </w:r>
          </w:p>
        </w:tc>
        <w:tc>
          <w:tcPr>
            <w:tcW w:w="8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shares of common stock reserved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24,584 </w:t>
            </w:r>
          </w:p>
        </w:tc>
        <w:tc>
          <w:tcPr>
            <w:tcW w:w="8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pPr>
      <w:r>
        <w:rPr>
          <w:rFonts w:ascii="Times New Roman;sans-serif" w:hAnsi="Times New Roman;sans-serif"/>
          <w:b/>
          <w:color w:val="000000"/>
          <w:sz w:val="20"/>
        </w:rPr>
        <w:t>Equity Incentive Plans</w:t>
      </w:r>
      <w:r>
        <w:rPr>
          <w:color w:val="000000"/>
        </w:rPr>
        <w: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Prior to the Company’s initial public offering (“IPO”) in April 2014, the Company granted stock options under its Amended and Restated 2004 Equity Incentive Plan, as amended (“2004 Plan”).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terms of the 2004 Plan, the Company had the ability to grant incentive and nonstatutory stock options. Incentive stock options could only be granted to Company employees. Nonstatutory stock options could be granted to Company employees, directors and consultants. Such options are exercisable at prices, as determined by the board of directors, generally equal to the fair value of the Company’s common stock at the date of grant. Options granted to employees generally vest over a four-year period, with an initial vesting period of 12 months for 25% of the shares, and the remaining 75% of the shares vesting monthly on a ratable basis over the remaining 36 months. Options generally expire 10 years after the grant date and are generally exercisable upon vesting. Vested options generally expire 90 days after termination of the optionee’s employment or relationship as a consultant or director, unless otherwise extended by the terms of the stock option agreement.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2014, the Company’s board of directors and stockholders approved the 2014 Equity Incentive Plan (“2014 Plan”) and 5,300,000 shares of common stock were authorized for issuance under the 2014 Plan. In addition, on the first day of each year beginning in 2015 and ending in 2024, the 2014 Plan provides for an annual automatic increase to the shares reserved for issuance in an amount equal to 5% of the total number of shares outstanding on December 31st of the preceding calendar year or a lesser number as determined by the Company’s board of directors. Pursuant to the automatic annual increase, 3,665,848 additional shares were reserved under the 2014 Plan on January 1, 2024. No further grants were made under the 2004 Plan once the 2014 Plan became effective on April 3, 2014. Upon the effectiveness of the 2014 Plan, all shares reserved for future issuance under the 2004 Plan became available for issuance under the 2014 Plan. Additionally, any forfeited or expired shares that would have otherwise returned to the 2004 Plan, instead return to the 2014 Plan. The 2014 Plan allows the Company to grant stock options, RSUs, restricted stock awards, performance stock awards, stock appreciation rights, performance cash awards, and other stock awards. To date, the Company has granted stock options and RSUs under the 2014 Plan. Stock options granted under the 2014 Plan are in general at a price equal to the fair market value of the common stock on the date of grant and vest over four years. The Company’s stock options expire 10 years from the date of grant. Each RSU granted under the 2014 Plan represents a right to receive one share of the Company’s common stock when the RSU vests. RSUs generally vest over one to four years. Vested options generally expire three months after termination of the optionee’s employment or relationship as a consultant or director, unless otherwise extended by the terms of the stock option agreement.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Company’s acquisition of Inference in 2020, the Company assumed unvested stock options that had been granted under the Inference Technologies Group Inc. 2018 Equity Incentive Plan. Each of the assumed stock options are subject to substantially the same terms and conditions as applied to the assumed stock options immediately prior to the acquisition date, except that the number of shares of the Company’s common stock subject to each assumed stock option and the exercise price has been adjusted in accordance with the terms of the acquisition agreement. If these assumed stock options are cancelled, forfeited or expire unexercised, the underlying shares do not become available for future grant. As of the acquisition date, the estimated fair value of the assumed unvested options was $7.6 million, of which $0.2 million was recognized as goodwill and the balance of $7.4 million is being recognized as stock-based compensation expense over the remaining service period of the assumed unvested stock options.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93"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 xml:space="preserve">Stock Options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the Company’s stock option activity during the year ended December 31, 2023 is as follows (in thousands, except years and per share data): </w:t>
      </w:r>
    </w:p>
    <w:tbl>
      <w:tblPr>
        <w:tblW w:w="10154" w:type="dxa"/>
        <w:jc w:val="left"/>
        <w:tblInd w:w="0" w:type="dxa"/>
        <w:tblLayout w:type="fixed"/>
        <w:tblCellMar>
          <w:top w:w="28" w:type="dxa"/>
          <w:left w:w="28" w:type="dxa"/>
          <w:bottom w:w="28" w:type="dxa"/>
          <w:right w:w="28" w:type="dxa"/>
        </w:tblCellMar>
      </w:tblPr>
      <w:tblGrid>
        <w:gridCol w:w="1603"/>
        <w:gridCol w:w="1409"/>
        <w:gridCol w:w="1412"/>
        <w:gridCol w:w="109"/>
        <w:gridCol w:w="109"/>
        <w:gridCol w:w="109"/>
        <w:gridCol w:w="469"/>
        <w:gridCol w:w="469"/>
        <w:gridCol w:w="471"/>
        <w:gridCol w:w="109"/>
        <w:gridCol w:w="109"/>
        <w:gridCol w:w="109"/>
        <w:gridCol w:w="211"/>
        <w:gridCol w:w="616"/>
        <w:gridCol w:w="109"/>
        <w:gridCol w:w="109"/>
        <w:gridCol w:w="109"/>
        <w:gridCol w:w="109"/>
        <w:gridCol w:w="330"/>
        <w:gridCol w:w="330"/>
        <w:gridCol w:w="331"/>
        <w:gridCol w:w="109"/>
        <w:gridCol w:w="109"/>
        <w:gridCol w:w="109"/>
        <w:gridCol w:w="211"/>
        <w:gridCol w:w="721"/>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Weighted </w:t>
              <w:br/>
              <w:t xml:space="preserve">Average </w:t>
              <w:br/>
              <w:t xml:space="preserve">Exercise </w:t>
              <w:br/>
              <w:t>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w:t>
              <w:br/>
              <w:t>Average</w:t>
              <w:br/>
              <w:t>Remaining</w:t>
              <w:br/>
              <w:t>Contractual</w:t>
              <w:b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Aggregate </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Intrinsic </w:t>
            </w:r>
          </w:p>
          <w:p>
            <w:pPr>
              <w:pStyle w:val="TableContents"/>
              <w:bidi w:val="0"/>
              <w:spacing w:lineRule="auto" w:line="240" w:before="0" w:after="0"/>
              <w:jc w:val="center"/>
              <w:rPr/>
            </w:pPr>
            <w:r>
              <w:rPr>
                <w:rFonts w:ascii="Times New Roman;sans-serif" w:hAnsi="Times New Roman;sans-serif"/>
                <w:b/>
                <w:color w:val="000000"/>
                <w:sz w:val="16"/>
              </w:rPr>
              <w:t xml:space="preserve">Value </w:t>
            </w:r>
            <w:r>
              <w:rPr>
                <w:rFonts w:ascii="Times New Roman;sans-serif" w:hAnsi="Times New Roman;sans-serif"/>
                <w:b w:val="false"/>
                <w:color w:val="000000"/>
                <w:sz w:val="10"/>
              </w:rPr>
              <w:t>(1)</w:t>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Vested and expected to vest as of December 31,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4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841 </w:t>
            </w:r>
          </w:p>
        </w:tc>
        <w:tc>
          <w:tcPr>
            <w:tcW w:w="4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34,131 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4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(1) The aggregate intrinsic value amounts are computed based on the difference between the exercise price of the</w:t>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the fair market value of the Company’s common stock of $78.69 per share as of December     29, 2023 for all in-the-money stock options outstanding.</w:t>
      </w:r>
    </w:p>
    <w:p>
      <w:pPr>
        <w:pStyle w:val="TextBody"/>
        <w:bidi w:val="0"/>
        <w:spacing w:before="0" w:after="0"/>
        <w:jc w:val="left"/>
        <w:rPr/>
      </w:pPr>
      <w:r>
        <w:rPr/>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Following is additional information pertaining to the Company’s stock option activity (in thousands, except per share data): </w:t>
      </w:r>
    </w:p>
    <w:tbl>
      <w:tblPr>
        <w:tblW w:w="10205" w:type="dxa"/>
        <w:jc w:val="left"/>
        <w:tblInd w:w="0" w:type="dxa"/>
        <w:tblLayout w:type="fixed"/>
        <w:tblCellMar>
          <w:top w:w="28" w:type="dxa"/>
          <w:left w:w="28" w:type="dxa"/>
          <w:bottom w:w="28" w:type="dxa"/>
          <w:right w:w="28" w:type="dxa"/>
        </w:tblCellMar>
      </w:tblPr>
      <w:tblGrid>
        <w:gridCol w:w="1947"/>
        <w:gridCol w:w="1707"/>
        <w:gridCol w:w="1718"/>
        <w:gridCol w:w="141"/>
        <w:gridCol w:w="141"/>
        <w:gridCol w:w="141"/>
        <w:gridCol w:w="318"/>
        <w:gridCol w:w="616"/>
        <w:gridCol w:w="141"/>
        <w:gridCol w:w="141"/>
        <w:gridCol w:w="141"/>
        <w:gridCol w:w="141"/>
        <w:gridCol w:w="273"/>
        <w:gridCol w:w="799"/>
        <w:gridCol w:w="141"/>
        <w:gridCol w:w="141"/>
        <w:gridCol w:w="141"/>
        <w:gridCol w:w="141"/>
        <w:gridCol w:w="273"/>
        <w:gridCol w:w="799"/>
        <w:gridCol w:w="204"/>
      </w:tblGrid>
      <w:tr>
        <w:trPr/>
        <w:tc>
          <w:tcPr>
            <w:tcW w:w="1947" w:type="dxa"/>
            <w:tcBorders/>
            <w:vAlign w:val="center"/>
          </w:tcPr>
          <w:p>
            <w:pPr>
              <w:pStyle w:val="TableContents"/>
              <w:bidi w:val="0"/>
              <w:spacing w:before="0" w:after="283"/>
              <w:jc w:val="left"/>
              <w:rPr>
                <w:sz w:val="4"/>
                <w:szCs w:val="4"/>
              </w:rPr>
            </w:pPr>
            <w:r>
              <w:rPr>
                <w:sz w:val="4"/>
                <w:szCs w:val="4"/>
              </w:rPr>
            </w:r>
          </w:p>
        </w:tc>
        <w:tc>
          <w:tcPr>
            <w:tcW w:w="1707" w:type="dxa"/>
            <w:tcBorders/>
            <w:vAlign w:val="center"/>
          </w:tcPr>
          <w:p>
            <w:pPr>
              <w:pStyle w:val="TableContents"/>
              <w:bidi w:val="0"/>
              <w:spacing w:before="0" w:after="283"/>
              <w:jc w:val="left"/>
              <w:rPr>
                <w:sz w:val="4"/>
                <w:szCs w:val="4"/>
              </w:rPr>
            </w:pPr>
            <w:r>
              <w:rPr>
                <w:sz w:val="4"/>
                <w:szCs w:val="4"/>
              </w:rPr>
            </w:r>
          </w:p>
        </w:tc>
        <w:tc>
          <w:tcPr>
            <w:tcW w:w="171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5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 of options granted</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50.44 </w:t>
            </w:r>
          </w:p>
        </w:tc>
        <w:tc>
          <w:tcPr>
            <w:tcW w:w="1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78.72 </w:t>
            </w:r>
          </w:p>
        </w:tc>
        <w:tc>
          <w:tcPr>
            <w:tcW w:w="20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075"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c>
          <w:tcPr>
            <w:tcW w:w="1276" w:type="dxa"/>
            <w:gridSpan w:val="3"/>
            <w:tcBorders/>
            <w:vAlign w:val="center"/>
          </w:tcPr>
          <w:p>
            <w:pPr>
              <w:pStyle w:val="TableContents"/>
              <w:bidi w:val="0"/>
              <w:spacing w:before="0" w:after="283"/>
              <w:jc w:val="left"/>
              <w:rPr>
                <w:sz w:val="4"/>
                <w:szCs w:val="4"/>
              </w:rPr>
            </w:pPr>
            <w:r>
              <w:rPr>
                <w:sz w:val="4"/>
                <w:szCs w:val="4"/>
              </w:rPr>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 xml:space="preserve">Intrinsic value of options exercised </w:t>
            </w:r>
            <w:r>
              <w:rPr>
                <w:rFonts w:ascii="Times New Roman;sans-serif" w:hAnsi="Times New Roman;sans-serif"/>
                <w:b w:val="false"/>
                <w:color w:val="000000"/>
                <w:sz w:val="13"/>
              </w:rPr>
              <w:t>(1)</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26,943 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45,698 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options vested during the period</w:t>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5,602 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11,421 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12,760 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received from options exercised</w:t>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9,127 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 Intrinsic value of options exercised is the difference between the fair market value of the Company’s common stock at the time of exercise and the exercise price paid.</w:t>
            </w:r>
          </w:p>
        </w:tc>
      </w:tr>
    </w:tbl>
    <w:p>
      <w:pPr>
        <w:pStyle w:val="TextBody"/>
        <w:bidi w:val="0"/>
        <w:spacing w:lineRule="auto" w:line="288" w:before="18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Restricted Stock Units (including Performance-Based Restricted Stock Units)</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summary of RSU activity (including PRSUs) during the year ended December 31, 2023 is as follows (in thousands, except years and per share data): </w:t>
      </w:r>
    </w:p>
    <w:tbl>
      <w:tblPr>
        <w:tblW w:w="9202" w:type="dxa"/>
        <w:jc w:val="left"/>
        <w:tblInd w:w="0" w:type="dxa"/>
        <w:tblLayout w:type="fixed"/>
        <w:tblCellMar>
          <w:top w:w="28" w:type="dxa"/>
          <w:left w:w="28" w:type="dxa"/>
          <w:bottom w:w="28" w:type="dxa"/>
          <w:right w:w="28" w:type="dxa"/>
        </w:tblCellMar>
      </w:tblPr>
      <w:tblGrid>
        <w:gridCol w:w="1147"/>
        <w:gridCol w:w="1008"/>
        <w:gridCol w:w="1010"/>
        <w:gridCol w:w="109"/>
        <w:gridCol w:w="109"/>
        <w:gridCol w:w="109"/>
        <w:gridCol w:w="469"/>
        <w:gridCol w:w="469"/>
        <w:gridCol w:w="471"/>
        <w:gridCol w:w="109"/>
        <w:gridCol w:w="109"/>
        <w:gridCol w:w="109"/>
        <w:gridCol w:w="772"/>
        <w:gridCol w:w="2639"/>
        <w:gridCol w:w="563"/>
      </w:tblGrid>
      <w:tr>
        <w:trPr/>
        <w:tc>
          <w:tcPr>
            <w:tcW w:w="114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2639"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 Per Share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26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103.55 </w:t>
            </w:r>
          </w:p>
        </w:tc>
        <w:tc>
          <w:tcPr>
            <w:tcW w:w="5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RSUs granted</w:t>
            </w:r>
            <w:r>
              <w:rPr>
                <w:rFonts w:ascii="Times New Roman;sans-serif" w:hAnsi="Times New Roman;sans-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2,648 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 and released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100.60 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 or cancelled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100.75 </w:t>
            </w:r>
          </w:p>
        </w:tc>
        <w:tc>
          <w:tcPr>
            <w:tcW w:w="5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as of December 31,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83.25 </w:t>
            </w:r>
          </w:p>
        </w:tc>
        <w:tc>
          <w:tcPr>
            <w:tcW w:w="5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bottom w:val="sing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firstLine="54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(1) Includes 36 thousand PRSUs granted during 2023. </w:t>
      </w:r>
    </w:p>
    <w:p>
      <w:pPr>
        <w:pStyle w:val="TextBody"/>
        <w:bidi w:val="0"/>
        <w:spacing w:lineRule="auto" w:line="268" w:before="120" w:after="283"/>
        <w:ind w:left="0" w:right="0" w:firstLine="540"/>
        <w:jc w:val="left"/>
        <w:rPr/>
      </w:pPr>
      <w:r>
        <w:rPr>
          <w:rFonts w:ascii="Times New Roman;sans-serif" w:hAnsi="Times New Roman;sans-serif"/>
          <w:b w:val="false"/>
          <w:i/>
          <w:color w:val="000000"/>
          <w:sz w:val="20"/>
          <w:u w:val="single"/>
        </w:rPr>
        <w:t>PRSUs with Market and Service Conditions</w:t>
      </w:r>
      <w:r>
        <w:rPr>
          <w:rFonts w:ascii="Times New Roman;sans-serif" w:hAnsi="Times New Roman;sans-serif"/>
          <w:b w:val="false"/>
          <w:color w:val="000000"/>
          <w:sz w:val="20"/>
        </w:rPr>
        <w:t xml:space="preserve">. In 2022, the Company granted 284,282 PRSUs subject to market and service conditions (“market-based PRSUs”) with a grant date fair value of $30.6 million as part of its annual grant of equity incentive awards to certain executives and in connection with the appointment of Michael Burkland as its new Chief Executive Officer. In 2023, the Company granted an additional 35,921 market-based PRSUs with a grant date fair value of $3.1 million. The amount that may be earned pursuant to the market-based PRSUs ranges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94"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0% to 200% of the target number based on the Company’s relative total shareholder return (“RTSR”) performance as compared to the companies in the S&amp;P Software and Services Select Index during three one-year performance periods. One-third of the total market-based PRSUs may be earned and settled in shares following the end of each one-year performance period based on RTSR performance and subject to continued employment through the payment date, but the amount initially paid for the first two one-year performance periods is limited to 100% of the target amount for such years, and any market-based PRSUs resulting from above-target performance in those first two years will be paid following the end of the final one-year performance period, subject to the executive’s continued employment through the payment date. If the Company’s absolute total shareholder return for any performance period is negative, then no more than 100% of the target amount of market-based PRSUs for such period may be earned. If an executive's employment with the Company terminates before the end of the final one-year performance period due to death or disability, 100% (if due to death) or 50% (if due to disability) of the unvested market-based PRSUs may be earned subject to ultimate RTSR performance in each remaining performance period. Upon a qualifying termination of employment in connection with a change in control of the Company, the unvested market-based PRSUs will vest on a double-trigger basis (i) at the target level for the market-based PRSUs subject to the 2022-2024 performance period, and (ii) for the market-based PRSUs subject to the 2023-2025 performance period, (a) at the target level for the uncompleted portions of the performance periods and (b) at the actual level of performance measured through the date of the change in control of the Company, based on the price per share paid in such change in control. The fair value of the market-based PRSUs is determined on their grant date using a Monte Carlo Simulation model based upon assumptions presented below. The Company recognizes the fair value of the market-based PRSUs ratably over their requisite service period. </w:t>
      </w:r>
    </w:p>
    <w:p>
      <w:pPr>
        <w:pStyle w:val="TextBody"/>
        <w:bidi w:val="0"/>
        <w:spacing w:lineRule="auto" w:line="26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certified the performance results for the 2022 measurement period for the market-based PRSUs subject to the 2022-2024 performance period. Under the market-based PRSU agreements, the TSR payout percentage ranges from 0% to 200%, with a 50% payout at the 25th TSR percentile (threshold), 100% payout at the 55th TSR percentile (target), 200% payout at the 90th percentile or greater (maximum) and no payout below the threshold performance level. The Company determined that its actual total shareholder return was -52.64% for 2022, and that its relative total shareholder return ranking was in the 30.2 percentile relative to companies in the S&amp;P Software &amp; Services Select Index, which resulted in a payout percentage of 58.7% of target. During the first quarter of 2024, the Company certified the performance results for the 2023 measurement period for the market-based PRSUs subject to the 2022-2024 performance period. The Company determined that its actual total shareholder return was 19.95% for 2023, and that its relative total shareholder return ranking was in the 53.8 percentile relative to companies in the S&amp;P Software &amp; Services Select Index, which resulted in a payout percentage of 98.0% of target. During the first quarter of 2024, the Company also certified the performance results for the 2023 measurement period for the market-based PRSUs subject to the 2023-2025 performance period. The Company determined that its actual total shareholder return was 19.95% for 2023, and that its relative total shareholder return ranking was in the 50.5 percentile relative to companies in the S&amp;P Software &amp; Services Select Index, which resulted in a payout percentage of 92.5% of target.</w:t>
      </w:r>
    </w:p>
    <w:p>
      <w:pPr>
        <w:pStyle w:val="TextBody"/>
        <w:bidi w:val="0"/>
        <w:spacing w:lineRule="auto" w:line="288" w:before="120" w:after="283"/>
        <w:ind w:left="0" w:right="0" w:firstLine="540"/>
        <w:jc w:val="both"/>
        <w:rPr/>
      </w:pPr>
      <w:r>
        <w:rPr>
          <w:rFonts w:ascii="Times New Roman;sans-serif" w:hAnsi="Times New Roman;sans-serif"/>
          <w:b w:val="false"/>
          <w:i/>
          <w:color w:val="000000"/>
          <w:sz w:val="20"/>
          <w:u w:val="single"/>
        </w:rPr>
        <w:t>PRSUs with Revenue and Service Conditions</w:t>
      </w:r>
      <w:r>
        <w:rPr>
          <w:rFonts w:ascii="Times New Roman;sans-serif" w:hAnsi="Times New Roman;sans-serif"/>
          <w:b w:val="false"/>
          <w:color w:val="000000"/>
          <w:sz w:val="20"/>
        </w:rPr>
        <w:t xml:space="preserve">. In 2022, the Company granted 66,167 PRSUs subject to revenue-based performance and service conditions (“revenue-based PRSUs”) with a grant date fair value of $6.6 million. The amount of revenue-based PRSUs that may be earned will be determined based on achievement of two quarterly revenue goals. One third of the revenue-based PRSUs may be earned based on achievement of the first revenue target and, if achieved, will vest in four quarterly installments, with the first installment occurring on the date such achievement is certified, subject to the executive's continuous service through the applicable vesting dates. Two thirds of the revenue-based PRSUs may be earned based on achievement of the second revenue target and, if achieved, will vest in eight quarterly installments, with the first installment occurring on the date such achievement is certified, subject to the executive's continuous service through the applicable vesting dates. The revenue-based PRSUs are otherwise on the Company's standard award terms for its market-based PRSUs. During 2023, the Company certified that the first revenue target was achieved, and thus recognized the related stock-based compensation expense for this first revenue target. However, the Company certified during the first quarter of 2024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95"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that, as of December 31, 2023, the second revenue target was not achieved, and thus did not recognize the related stock-based compensation expense and cancelled the shares associated with this target.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Following is additional information pertaining to the Company’s RSU activity (including PRSUs) (in thousands, except per share data):</w:t>
      </w:r>
    </w:p>
    <w:tbl>
      <w:tblPr>
        <w:tblW w:w="9324" w:type="dxa"/>
        <w:jc w:val="left"/>
        <w:tblInd w:w="0" w:type="dxa"/>
        <w:tblLayout w:type="fixed"/>
        <w:tblCellMar>
          <w:top w:w="28" w:type="dxa"/>
          <w:left w:w="28" w:type="dxa"/>
          <w:bottom w:w="28" w:type="dxa"/>
          <w:right w:w="28" w:type="dxa"/>
        </w:tblCellMar>
      </w:tblPr>
      <w:tblGrid>
        <w:gridCol w:w="1952"/>
        <w:gridCol w:w="1711"/>
        <w:gridCol w:w="1722"/>
        <w:gridCol w:w="109"/>
        <w:gridCol w:w="109"/>
        <w:gridCol w:w="109"/>
        <w:gridCol w:w="211"/>
        <w:gridCol w:w="616"/>
        <w:gridCol w:w="109"/>
        <w:gridCol w:w="109"/>
        <w:gridCol w:w="109"/>
        <w:gridCol w:w="109"/>
        <w:gridCol w:w="211"/>
        <w:gridCol w:w="616"/>
        <w:gridCol w:w="109"/>
        <w:gridCol w:w="109"/>
        <w:gridCol w:w="109"/>
        <w:gridCol w:w="109"/>
        <w:gridCol w:w="211"/>
        <w:gridCol w:w="721"/>
        <w:gridCol w:w="154"/>
      </w:tblGrid>
      <w:tr>
        <w:trPr/>
        <w:tc>
          <w:tcPr>
            <w:tcW w:w="1952" w:type="dxa"/>
            <w:tcBorders/>
            <w:vAlign w:val="center"/>
          </w:tcPr>
          <w:p>
            <w:pPr>
              <w:pStyle w:val="TableContents"/>
              <w:bidi w:val="0"/>
              <w:spacing w:before="0" w:after="283"/>
              <w:jc w:val="left"/>
              <w:rPr>
                <w:sz w:val="4"/>
                <w:szCs w:val="4"/>
              </w:rPr>
            </w:pPr>
            <w:r>
              <w:rPr>
                <w:sz w:val="4"/>
                <w:szCs w:val="4"/>
              </w:rPr>
            </w:r>
          </w:p>
        </w:tc>
        <w:tc>
          <w:tcPr>
            <w:tcW w:w="1711"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3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grant date fair value per share of RSUs granted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fair value of RSUs vested during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125,798 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hanging="450"/>
        <w:jc w:val="left"/>
        <w:rPr>
          <w:rFonts w:ascii="Times New Roman;sans-serif" w:hAnsi="Times New Roman;sans-serif"/>
          <w:b/>
          <w:i/>
          <w:color w:val="000000"/>
          <w:sz w:val="20"/>
        </w:rPr>
      </w:pPr>
      <w:r>
        <w:rPr>
          <w:rFonts w:ascii="Times New Roman;sans-serif" w:hAnsi="Times New Roman;sans-serif"/>
          <w:b/>
          <w:i/>
          <w:color w:val="000000"/>
          <w:sz w:val="20"/>
        </w:rPr>
        <w:t xml:space="preserve">Employee Stock Purchase Plan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In March 2014, the Company’s board of directors and stockholders adopted the 2014 ESPP and the shares authorized for issuance thereunder. The 2014 ESPP became effective on April 3, 2014.</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2014 ESPP permits eligible employees to purchase shares of the Company’s common stock through payroll deductions with up to 15% of their pre-tax earnings subject to certain Internal Revenue Code limitations. The purchase price of the shares is 85% of the lower of the fair market value of the Company’s common stock on the first day of a six month offering period, except for the initial offering period, or the relevant purchase date. In addition, no participant may purchase more than 1,500 shares of common stock in each purchase period.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shares of common stock originally reserved for issuance under the 2014 ESPP was 880,000 shares, which increases automatically each year, beginning on January 1, 2015 and continuing through January 1, 2024, by the lesser of (i) 1% of the total number of shares of the Company’s common stock outstanding on December 31 of the preceding calendar year; (ii) 1,000,000 shares of common stock (subject to adjustment to reflect any split or combination of its common stock); or (iii) such lesser number as determined by its board of directors. Pursuant to the automatic annual increase, 733,169 additional shares were reserved under the 2014 ESPP on January 1, 2024.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2023 and 2022, 344,309 and 190,257 shares were purchased by employees under the 2014 ESPP at a weighted average price of $46.26 and $70.50 per share, respectively.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Stock-Based Compensation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 expenses for the years ended December 31, 2023, 2022 and 2021 were as follows (in thousands):         </w:t>
      </w:r>
    </w:p>
    <w:tbl>
      <w:tblPr>
        <w:tblW w:w="7208" w:type="dxa"/>
        <w:jc w:val="left"/>
        <w:tblInd w:w="0" w:type="dxa"/>
        <w:tblLayout w:type="fixed"/>
        <w:tblCellMar>
          <w:top w:w="28" w:type="dxa"/>
          <w:left w:w="28" w:type="dxa"/>
          <w:bottom w:w="28" w:type="dxa"/>
          <w:right w:w="28" w:type="dxa"/>
        </w:tblCellMar>
      </w:tblPr>
      <w:tblGrid>
        <w:gridCol w:w="992"/>
        <w:gridCol w:w="874"/>
        <w:gridCol w:w="87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992"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206,292 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172,507 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108,805 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unrecognized stock-based compensation expense by award type and their expected weighted-average recognition periods are summarized in the following table (in thousands, except years). </w:t>
      </w:r>
    </w:p>
    <w:tbl>
      <w:tblPr>
        <w:tblW w:w="10205" w:type="dxa"/>
        <w:jc w:val="left"/>
        <w:tblInd w:w="0" w:type="dxa"/>
        <w:tblLayout w:type="fixed"/>
        <w:tblCellMar>
          <w:top w:w="28" w:type="dxa"/>
          <w:left w:w="28" w:type="dxa"/>
          <w:bottom w:w="28" w:type="dxa"/>
          <w:right w:w="28" w:type="dxa"/>
        </w:tblCellMar>
      </w:tblPr>
      <w:tblGrid>
        <w:gridCol w:w="1469"/>
        <w:gridCol w:w="1273"/>
        <w:gridCol w:w="1279"/>
        <w:gridCol w:w="109"/>
        <w:gridCol w:w="109"/>
        <w:gridCol w:w="109"/>
        <w:gridCol w:w="238"/>
        <w:gridCol w:w="696"/>
        <w:gridCol w:w="123"/>
        <w:gridCol w:w="109"/>
        <w:gridCol w:w="109"/>
        <w:gridCol w:w="109"/>
        <w:gridCol w:w="330"/>
        <w:gridCol w:w="1293"/>
        <w:gridCol w:w="170"/>
        <w:gridCol w:w="109"/>
        <w:gridCol w:w="109"/>
        <w:gridCol w:w="109"/>
        <w:gridCol w:w="211"/>
        <w:gridCol w:w="721"/>
        <w:gridCol w:w="109"/>
        <w:gridCol w:w="109"/>
        <w:gridCol w:w="109"/>
        <w:gridCol w:w="109"/>
        <w:gridCol w:w="211"/>
        <w:gridCol w:w="616"/>
        <w:gridCol w:w="158"/>
      </w:tblGrid>
      <w:tr>
        <w:trPr/>
        <w:tc>
          <w:tcPr>
            <w:tcW w:w="1469"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12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Stock Option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RSU (excluding PRSUs)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PRSU</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ESPP</w:t>
            </w:r>
          </w:p>
        </w:tc>
      </w:tr>
      <w:tr>
        <w:trPr/>
        <w:tc>
          <w:tcPr>
            <w:tcW w:w="40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stock-based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4,660 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284,201 </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amortization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years</w:t>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recognizes stock-based compensation expense that is calculated based upon awards that have vested, reduced for actual forfeitures. All stock-based compensation for equity awards granted to employees and non-employee directors is measured based on the grant date fair value of the award.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96"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values RSUs, including PRSUs subject to performance conditions, at the closing market price of its common stock on the date of grant. The Company estimates the fair value of each stock option and purchase right under the 2014 ESPP granted to employees on the date of grant using the Black-Scholes option-pricing model using the assumptions disclosed in the table below. The Company estimates the fair value of PRSUs subject to market conditions using a Monte Carlo Simulation model using the assumptions disclosed in the table below. Expected volatility is based upon the weighting of the Company’s historical volatility. The expected term of options granted is estimated using the simplified method by taking the average of the vesting term and the contractual term of the option. The expected volatility assumption for purchase rights under the 2014 ESPP is based on the historical volatility of the Company’s common stock. The risk-free rate for the expected term of the awards is based on U.S. Treasury zero-coupon issues at the time of grant. The Company has not paid, and does not anticipate paying, cash dividends on its shares of common stock. Accordingly, the expected dividend yield is zero.</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assumptions used to value stock options granted during the periods presented were as follows: </w:t>
      </w:r>
    </w:p>
    <w:tbl>
      <w:tblPr>
        <w:tblW w:w="4554" w:type="dxa"/>
        <w:jc w:val="left"/>
        <w:tblInd w:w="0" w:type="dxa"/>
        <w:tblLayout w:type="fixed"/>
        <w:tblCellMar>
          <w:top w:w="28" w:type="dxa"/>
          <w:left w:w="28" w:type="dxa"/>
          <w:bottom w:w="28" w:type="dxa"/>
          <w:right w:w="28" w:type="dxa"/>
        </w:tblCellMar>
      </w:tblPr>
      <w:tblGrid>
        <w:gridCol w:w="679"/>
        <w:gridCol w:w="594"/>
        <w:gridCol w:w="602"/>
        <w:gridCol w:w="109"/>
        <w:gridCol w:w="109"/>
        <w:gridCol w:w="109"/>
        <w:gridCol w:w="155"/>
        <w:gridCol w:w="155"/>
        <w:gridCol w:w="156"/>
        <w:gridCol w:w="132"/>
        <w:gridCol w:w="132"/>
        <w:gridCol w:w="132"/>
        <w:gridCol w:w="174"/>
        <w:gridCol w:w="174"/>
        <w:gridCol w:w="176"/>
        <w:gridCol w:w="132"/>
        <w:gridCol w:w="132"/>
        <w:gridCol w:w="132"/>
        <w:gridCol w:w="166"/>
        <w:gridCol w:w="166"/>
        <w:gridCol w:w="238"/>
      </w:tblGrid>
      <w:tr>
        <w:trPr/>
        <w:tc>
          <w:tcPr>
            <w:tcW w:w="67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100"/>
              <w:ind w:left="0" w:right="0" w:hanging="180"/>
              <w:jc w:val="left"/>
              <w:rPr>
                <w:rFonts w:ascii="Times New Roman;sans-serif" w:hAnsi="Times New Roman;sans-serif"/>
                <w:b/>
                <w:color w:val="000000"/>
                <w:sz w:val="16"/>
                <w:u w:val="single"/>
              </w:rPr>
            </w:pPr>
            <w:r>
              <w:rPr>
                <w:rFonts w:ascii="Times New Roman;sans-serif" w:hAnsi="Times New Roman;sans-serif"/>
                <w:b/>
                <w:color w:val="000000"/>
                <w:sz w:val="16"/>
                <w:u w:val="single"/>
              </w:rPr>
              <w:t>Stock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assumptions used to value PRSUs with market conditions granted during the periods presented were as follows: </w:t>
      </w:r>
    </w:p>
    <w:tbl>
      <w:tblPr>
        <w:tblW w:w="5032" w:type="dxa"/>
        <w:jc w:val="left"/>
        <w:tblInd w:w="0" w:type="dxa"/>
        <w:tblLayout w:type="fixed"/>
        <w:tblCellMar>
          <w:top w:w="28" w:type="dxa"/>
          <w:left w:w="28" w:type="dxa"/>
          <w:bottom w:w="28" w:type="dxa"/>
          <w:right w:w="28" w:type="dxa"/>
        </w:tblCellMar>
      </w:tblPr>
      <w:tblGrid>
        <w:gridCol w:w="776"/>
        <w:gridCol w:w="683"/>
        <w:gridCol w:w="685"/>
        <w:gridCol w:w="109"/>
        <w:gridCol w:w="109"/>
        <w:gridCol w:w="109"/>
        <w:gridCol w:w="209"/>
        <w:gridCol w:w="209"/>
        <w:gridCol w:w="211"/>
        <w:gridCol w:w="132"/>
        <w:gridCol w:w="132"/>
        <w:gridCol w:w="132"/>
        <w:gridCol w:w="209"/>
        <w:gridCol w:w="209"/>
        <w:gridCol w:w="211"/>
        <w:gridCol w:w="132"/>
        <w:gridCol w:w="132"/>
        <w:gridCol w:w="132"/>
        <w:gridCol w:w="149"/>
        <w:gridCol w:w="149"/>
        <w:gridCol w:w="213"/>
      </w:tblGrid>
      <w:tr>
        <w:trPr/>
        <w:tc>
          <w:tcPr>
            <w:tcW w:w="776"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100"/>
              <w:jc w:val="left"/>
              <w:rPr>
                <w:rFonts w:ascii="Times New Roman;sans-serif" w:hAnsi="Times New Roman;sans-serif"/>
                <w:b/>
                <w:color w:val="000000"/>
                <w:sz w:val="16"/>
                <w:u w:val="single"/>
              </w:rPr>
            </w:pPr>
            <w:r>
              <w:rPr>
                <w:rFonts w:ascii="Times New Roman;sans-serif" w:hAnsi="Times New Roman;sans-serif"/>
                <w:b/>
                <w:color w:val="000000"/>
                <w:sz w:val="16"/>
                <w:u w:val="single"/>
              </w:rPr>
              <w:t>PRSUs (Market Conditions)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53.0%</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21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0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weighted average assumptions used to value purchase rights under the 2014 ESPP granted during the periods presented were as follows: </w:t>
      </w:r>
    </w:p>
    <w:tbl>
      <w:tblPr>
        <w:tblW w:w="10205" w:type="dxa"/>
        <w:jc w:val="center"/>
        <w:tblInd w:w="0" w:type="dxa"/>
        <w:tblLayout w:type="fixed"/>
        <w:tblCellMar>
          <w:top w:w="28" w:type="dxa"/>
          <w:left w:w="28" w:type="dxa"/>
          <w:bottom w:w="28" w:type="dxa"/>
          <w:right w:w="28" w:type="dxa"/>
        </w:tblCellMar>
      </w:tblPr>
      <w:tblGrid>
        <w:gridCol w:w="656"/>
        <w:gridCol w:w="576"/>
        <w:gridCol w:w="579"/>
        <w:gridCol w:w="109"/>
        <w:gridCol w:w="109"/>
        <w:gridCol w:w="109"/>
        <w:gridCol w:w="403"/>
        <w:gridCol w:w="403"/>
        <w:gridCol w:w="405"/>
        <w:gridCol w:w="109"/>
        <w:gridCol w:w="109"/>
        <w:gridCol w:w="109"/>
        <w:gridCol w:w="264"/>
        <w:gridCol w:w="264"/>
        <w:gridCol w:w="266"/>
        <w:gridCol w:w="109"/>
        <w:gridCol w:w="109"/>
        <w:gridCol w:w="109"/>
        <w:gridCol w:w="403"/>
        <w:gridCol w:w="403"/>
        <w:gridCol w:w="405"/>
        <w:gridCol w:w="109"/>
        <w:gridCol w:w="109"/>
        <w:gridCol w:w="109"/>
        <w:gridCol w:w="264"/>
        <w:gridCol w:w="264"/>
        <w:gridCol w:w="266"/>
        <w:gridCol w:w="109"/>
        <w:gridCol w:w="109"/>
        <w:gridCol w:w="109"/>
        <w:gridCol w:w="403"/>
        <w:gridCol w:w="403"/>
        <w:gridCol w:w="405"/>
        <w:gridCol w:w="109"/>
        <w:gridCol w:w="109"/>
        <w:gridCol w:w="109"/>
        <w:gridCol w:w="351"/>
        <w:gridCol w:w="351"/>
        <w:gridCol w:w="509"/>
      </w:tblGrid>
      <w:tr>
        <w:trPr/>
        <w:tc>
          <w:tcPr>
            <w:tcW w:w="656"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r>
      <w:tr>
        <w:trPr/>
        <w:tc>
          <w:tcPr>
            <w:tcW w:w="1811" w:type="dxa"/>
            <w:gridSpan w:val="3"/>
            <w:tcBorders/>
            <w:tcMar>
              <w:top w:w="0" w:type="dxa"/>
              <w:left w:w="0" w:type="dxa"/>
              <w:bottom w:w="0" w:type="dxa"/>
              <w:right w:w="0" w:type="dxa"/>
            </w:tcMar>
            <w:vAlign w:val="center"/>
          </w:tcPr>
          <w:p>
            <w:pPr>
              <w:pStyle w:val="TableContents"/>
              <w:bidi w:val="0"/>
              <w:spacing w:lineRule="auto" w:line="240" w:before="0" w:after="100"/>
              <w:ind w:left="0" w:right="0" w:firstLine="810"/>
              <w:jc w:val="left"/>
              <w:rPr>
                <w:rFonts w:ascii="Times New Roman;sans-serif" w:hAnsi="Times New Roman;sans-serif"/>
                <w:b/>
                <w:color w:val="000000"/>
                <w:sz w:val="16"/>
                <w:u w:val="single"/>
              </w:rPr>
            </w:pPr>
            <w:r>
              <w:rPr>
                <w:rFonts w:ascii="Times New Roman;sans-serif" w:hAnsi="Times New Roman;sans-serif"/>
                <w:b/>
                <w:color w:val="000000"/>
                <w:sz w:val="16"/>
                <w:u w:val="single"/>
              </w:rPr>
              <w:t>ESPP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6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Granted In</w:t>
            </w:r>
          </w:p>
        </w:tc>
      </w:tr>
      <w:tr>
        <w:trPr/>
        <w:tc>
          <w:tcPr>
            <w:tcW w:w="18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May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November 2021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360"/>
              <w:jc w:val="center"/>
              <w:rPr>
                <w:rFonts w:ascii="Times New Roman;sans-serif" w:hAnsi="Times New Roman;sans-serif"/>
                <w:b/>
                <w:color w:val="000000"/>
                <w:sz w:val="16"/>
              </w:rPr>
            </w:pPr>
            <w:r>
              <w:rPr>
                <w:rFonts w:ascii="Times New Roman;sans-serif" w:hAnsi="Times New Roman;sans-serif"/>
                <w:b/>
                <w:color w:val="000000"/>
                <w:sz w:val="16"/>
              </w:rPr>
              <w:t>May 2021</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0.5</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9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r>
      <w:tr>
        <w:trPr/>
        <w:tc>
          <w:tcPr>
            <w:tcW w:w="18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0.1%</w:t>
            </w:r>
          </w:p>
        </w:tc>
      </w:tr>
      <w:tr>
        <w:trPr/>
        <w:tc>
          <w:tcPr>
            <w:tcW w:w="18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before="120" w:after="20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8. Net Loss Per Share</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calculated by dividing net loss by the weighted average number of shares of common stock outstanding during the period, and excludes any dilutive effects of employee stock-based awards and potential shares upon conversion of the convertible senior notes. Diluted net loss per share is computed giving effect to all potentially dilutive shares of common stock, including common stock issuable upon exercise of stock options, vesting of RSUs and PRSUs, and shares of common stock issuable upon conversion of convertible senior notes. As the Company had net losses for the years ended December 31, 2023, 2022 and 2021, all potentially issuable shares of common stock were determined to be anti-dilutive.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97"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calculation of basic and diluted net loss per share (in thousands, except per share data):</w:t>
      </w:r>
    </w:p>
    <w:tbl>
      <w:tblPr>
        <w:tblW w:w="10205" w:type="dxa"/>
        <w:jc w:val="left"/>
        <w:tblInd w:w="0" w:type="dxa"/>
        <w:tblLayout w:type="fixed"/>
        <w:tblCellMar>
          <w:top w:w="28" w:type="dxa"/>
          <w:left w:w="28" w:type="dxa"/>
          <w:bottom w:w="28" w:type="dxa"/>
          <w:right w:w="28" w:type="dxa"/>
        </w:tblCellMar>
      </w:tblPr>
      <w:tblGrid>
        <w:gridCol w:w="2118"/>
        <w:gridCol w:w="1852"/>
        <w:gridCol w:w="1885"/>
        <w:gridCol w:w="109"/>
        <w:gridCol w:w="109"/>
        <w:gridCol w:w="109"/>
        <w:gridCol w:w="211"/>
        <w:gridCol w:w="787"/>
        <w:gridCol w:w="109"/>
        <w:gridCol w:w="109"/>
        <w:gridCol w:w="109"/>
        <w:gridCol w:w="109"/>
        <w:gridCol w:w="211"/>
        <w:gridCol w:w="787"/>
        <w:gridCol w:w="109"/>
        <w:gridCol w:w="109"/>
        <w:gridCol w:w="109"/>
        <w:gridCol w:w="109"/>
        <w:gridCol w:w="211"/>
        <w:gridCol w:w="787"/>
        <w:gridCol w:w="157"/>
      </w:tblGrid>
      <w:tr>
        <w:trPr/>
        <w:tc>
          <w:tcPr>
            <w:tcW w:w="2118" w:type="dxa"/>
            <w:tcBorders/>
            <w:vAlign w:val="center"/>
          </w:tcPr>
          <w:p>
            <w:pPr>
              <w:pStyle w:val="TableContents"/>
              <w:bidi w:val="0"/>
              <w:spacing w:before="0" w:after="283"/>
              <w:jc w:val="left"/>
              <w:rPr>
                <w:sz w:val="4"/>
                <w:szCs w:val="4"/>
              </w:rPr>
            </w:pPr>
            <w:r>
              <w:rPr>
                <w:sz w:val="4"/>
                <w:szCs w:val="4"/>
              </w:rPr>
            </w:r>
          </w:p>
        </w:tc>
        <w:tc>
          <w:tcPr>
            <w:tcW w:w="1852"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(81,764)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(53,000)</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shares used in computing basic and diluted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72,048 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69,920 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67,512 </w:t>
            </w:r>
          </w:p>
        </w:tc>
        <w:tc>
          <w:tcPr>
            <w:tcW w:w="15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 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(0.79)</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0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securities were excluded from the calculation of diluted net loss per share because their effect would have been anti-dilutive (in thousands):</w:t>
      </w:r>
    </w:p>
    <w:tbl>
      <w:tblPr>
        <w:tblW w:w="5798" w:type="dxa"/>
        <w:jc w:val="left"/>
        <w:tblInd w:w="0" w:type="dxa"/>
        <w:tblLayout w:type="fixed"/>
        <w:tblCellMar>
          <w:top w:w="28" w:type="dxa"/>
          <w:left w:w="28" w:type="dxa"/>
          <w:bottom w:w="28" w:type="dxa"/>
          <w:right w:w="28" w:type="dxa"/>
        </w:tblCellMar>
      </w:tblPr>
      <w:tblGrid>
        <w:gridCol w:w="770"/>
        <w:gridCol w:w="677"/>
        <w:gridCol w:w="682"/>
        <w:gridCol w:w="109"/>
        <w:gridCol w:w="109"/>
        <w:gridCol w:w="109"/>
        <w:gridCol w:w="360"/>
        <w:gridCol w:w="361"/>
        <w:gridCol w:w="156"/>
        <w:gridCol w:w="109"/>
        <w:gridCol w:w="109"/>
        <w:gridCol w:w="109"/>
        <w:gridCol w:w="360"/>
        <w:gridCol w:w="361"/>
        <w:gridCol w:w="156"/>
        <w:gridCol w:w="109"/>
        <w:gridCol w:w="109"/>
        <w:gridCol w:w="109"/>
        <w:gridCol w:w="360"/>
        <w:gridCol w:w="361"/>
        <w:gridCol w:w="213"/>
      </w:tblGrid>
      <w:tr>
        <w:trPr/>
        <w:tc>
          <w:tcPr>
            <w:tcW w:w="770"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918 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1,982 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RSUs (including PRSUs)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6,663 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10,884 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11,205 </w:t>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20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used the if-converted method for calculating any potential dilutive effect of the convertible senior notes for the years ended December 31, 2023, 2022 and 2021. Under this method, the Company calculates diluted earnings per share under both the cash and share settlement assumptions to determine which is more dilutive. If share settlement is more dilutive, the Company calculates diluted earnings per share assuming that all of the convertible senior notes were converted solely into shares of common stock at the beginning of the reporting period. The potential impact upon the conversion of the convertible senior notes were excluded from the calculation of diluted net loss per share for the years ended December 31, 2023, 2022 and 2021 because the effect would have been anti-dilutive. </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98"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9. Income Taxes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components of loss before income taxes for the periods presented (in thousands):</w:t>
      </w:r>
    </w:p>
    <w:tbl>
      <w:tblPr>
        <w:tblW w:w="6534" w:type="dxa"/>
        <w:jc w:val="left"/>
        <w:tblInd w:w="0" w:type="dxa"/>
        <w:tblLayout w:type="fixed"/>
        <w:tblCellMar>
          <w:top w:w="28" w:type="dxa"/>
          <w:left w:w="28" w:type="dxa"/>
          <w:bottom w:w="28" w:type="dxa"/>
          <w:right w:w="28" w:type="dxa"/>
        </w:tblCellMar>
      </w:tblPr>
      <w:tblGrid>
        <w:gridCol w:w="784"/>
        <w:gridCol w:w="686"/>
        <w:gridCol w:w="690"/>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784"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(80,348)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(59,856)</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(90,262)</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(benefit from) income taxes for the periods presented consisted of (in thousands):</w:t>
      </w:r>
    </w:p>
    <w:tbl>
      <w:tblPr>
        <w:tblW w:w="8768" w:type="dxa"/>
        <w:jc w:val="left"/>
        <w:tblInd w:w="0" w:type="dxa"/>
        <w:tblLayout w:type="fixed"/>
        <w:tblCellMar>
          <w:top w:w="28" w:type="dxa"/>
          <w:left w:w="28" w:type="dxa"/>
          <w:bottom w:w="28" w:type="dxa"/>
          <w:right w:w="28" w:type="dxa"/>
        </w:tblCellMar>
      </w:tblPr>
      <w:tblGrid>
        <w:gridCol w:w="1716"/>
        <w:gridCol w:w="1512"/>
        <w:gridCol w:w="1526"/>
        <w:gridCol w:w="109"/>
        <w:gridCol w:w="109"/>
        <w:gridCol w:w="109"/>
        <w:gridCol w:w="211"/>
        <w:gridCol w:w="616"/>
        <w:gridCol w:w="109"/>
        <w:gridCol w:w="109"/>
        <w:gridCol w:w="109"/>
        <w:gridCol w:w="109"/>
        <w:gridCol w:w="211"/>
        <w:gridCol w:w="616"/>
        <w:gridCol w:w="109"/>
        <w:gridCol w:w="109"/>
        <w:gridCol w:w="109"/>
        <w:gridCol w:w="109"/>
        <w:gridCol w:w="211"/>
        <w:gridCol w:w="796"/>
        <w:gridCol w:w="154"/>
      </w:tblGrid>
      <w:tr>
        <w:trPr/>
        <w:tc>
          <w:tcPr>
            <w:tcW w:w="1716"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1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income taxes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54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 - Deferred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(11,345)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7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current income tax expense during 2023 principally due to U.S. taxable income as a result of IRC Section 174 research and experimental capitalization requirements. The Company offset federal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99"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taxable income through the utilization of available net operating loss carryforward attributes. However, the Company was subject to net operating loss utilization limitations in some U.S. state jurisdictions. </w:t>
      </w:r>
    </w:p>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expense (benefit) differed from the amount computed by applying the U.S. federal statutory income tax rate of 21% to pre-tax (loss) income for the periods presented as a result of the following (in thousands): </w:t>
      </w:r>
    </w:p>
    <w:tbl>
      <w:tblPr>
        <w:tblW w:w="9953" w:type="dxa"/>
        <w:jc w:val="left"/>
        <w:tblInd w:w="0" w:type="dxa"/>
        <w:tblLayout w:type="fixed"/>
        <w:tblCellMar>
          <w:top w:w="28" w:type="dxa"/>
          <w:left w:w="28" w:type="dxa"/>
          <w:bottom w:w="28" w:type="dxa"/>
          <w:right w:w="28" w:type="dxa"/>
        </w:tblCellMar>
      </w:tblPr>
      <w:tblGrid>
        <w:gridCol w:w="2017"/>
        <w:gridCol w:w="1778"/>
        <w:gridCol w:w="1784"/>
        <w:gridCol w:w="109"/>
        <w:gridCol w:w="109"/>
        <w:gridCol w:w="109"/>
        <w:gridCol w:w="211"/>
        <w:gridCol w:w="796"/>
        <w:gridCol w:w="109"/>
        <w:gridCol w:w="109"/>
        <w:gridCol w:w="109"/>
        <w:gridCol w:w="109"/>
        <w:gridCol w:w="211"/>
        <w:gridCol w:w="796"/>
        <w:gridCol w:w="109"/>
        <w:gridCol w:w="109"/>
        <w:gridCol w:w="109"/>
        <w:gridCol w:w="109"/>
        <w:gridCol w:w="211"/>
        <w:gridCol w:w="796"/>
        <w:gridCol w:w="154"/>
      </w:tblGrid>
      <w:tr>
        <w:trPr/>
        <w:tc>
          <w:tcPr>
            <w:tcW w:w="2017" w:type="dxa"/>
            <w:tcBorders/>
            <w:vAlign w:val="center"/>
          </w:tcPr>
          <w:p>
            <w:pPr>
              <w:pStyle w:val="TableContents"/>
              <w:bidi w:val="0"/>
              <w:spacing w:before="0" w:after="283"/>
              <w:jc w:val="left"/>
              <w:rPr>
                <w:sz w:val="4"/>
                <w:szCs w:val="4"/>
              </w:rPr>
            </w:pPr>
            <w:r>
              <w:rPr>
                <w:sz w:val="4"/>
                <w:szCs w:val="4"/>
              </w:rPr>
            </w:r>
          </w:p>
        </w:tc>
        <w:tc>
          <w:tcPr>
            <w:tcW w:w="1778" w:type="dxa"/>
            <w:tcBorders/>
            <w:vAlign w:val="center"/>
          </w:tcPr>
          <w:p>
            <w:pPr>
              <w:pStyle w:val="TableContents"/>
              <w:bidi w:val="0"/>
              <w:spacing w:before="0" w:after="283"/>
              <w:jc w:val="left"/>
              <w:rPr>
                <w:sz w:val="4"/>
                <w:szCs w:val="4"/>
              </w:rPr>
            </w:pPr>
            <w:r>
              <w:rPr>
                <w:sz w:val="4"/>
                <w:szCs w:val="4"/>
              </w:rPr>
            </w:r>
          </w:p>
        </w:tc>
        <w:tc>
          <w:tcPr>
            <w:tcW w:w="17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federal tax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(16,676)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(13,500)</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state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Section 162(m)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Global intangible low-taxed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waived tax deductions - Base Erosion and Anti-Abuse Tax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Non-deductible expenses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credit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 benefit from acquisition/reorganizations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(11,285)</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tax effects of temporary differences that give rise to significant portions of the Company’s deferred tax assets and liabilities as of December 31, 2023 and 2022 related to the following (in thousands):    </w:t>
      </w:r>
    </w:p>
    <w:tbl>
      <w:tblPr>
        <w:tblW w:w="6575" w:type="dxa"/>
        <w:jc w:val="left"/>
        <w:tblInd w:w="0" w:type="dxa"/>
        <w:tblLayout w:type="fixed"/>
        <w:tblCellMar>
          <w:top w:w="28" w:type="dxa"/>
          <w:left w:w="28" w:type="dxa"/>
          <w:bottom w:w="28" w:type="dxa"/>
          <w:right w:w="28" w:type="dxa"/>
        </w:tblCellMar>
      </w:tblPr>
      <w:tblGrid>
        <w:gridCol w:w="1296"/>
        <w:gridCol w:w="1140"/>
        <w:gridCol w:w="1148"/>
        <w:gridCol w:w="109"/>
        <w:gridCol w:w="109"/>
        <w:gridCol w:w="109"/>
        <w:gridCol w:w="211"/>
        <w:gridCol w:w="826"/>
        <w:gridCol w:w="109"/>
        <w:gridCol w:w="109"/>
        <w:gridCol w:w="109"/>
        <w:gridCol w:w="109"/>
        <w:gridCol w:w="211"/>
        <w:gridCol w:w="826"/>
        <w:gridCol w:w="154"/>
      </w:tblGrid>
      <w:tr>
        <w:trPr/>
        <w:tc>
          <w:tcPr>
            <w:tcW w:w="1296"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3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operating loss and credit carryforwards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125,698 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R&amp;D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Amortized intangibles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188,380 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Valuation allowance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(134,802)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52,974 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Deferred tax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contract acquisition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(35,443)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3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deferred tax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(49,155)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deferred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3,819 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With the exception of Russia, the Company has not provided for U.S. income taxes on undistributed earnings of its foreign subsidiaries because it intends to permanently re-invest those earnings outside the United States. The Company has plans to liquidate its Russian subsidiary. As such, the Company can no longer assert an intention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00"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permanently re-invest those earnings. The undistributed earnings of the Company’s foreign subsidiaries were immaterial as of December 31, 2023 and 2022 and no U.S. income taxes have been accrued.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valuation allowance is provided for deferred tax assets where the recoverability of the assets is uncertain. The determination to provide a valuation allowance is dependent upon the assessment of whether it is more likely than not that sufficient future taxable income will be generated to utilize the deferred tax assets. Based on the weight of the available evidence, which includes the Company’s historical operating losses, lack of taxable income and the accumulated deficit for the year ended December 31, 2023, the Company has provided a valuation allowance against its U.S. and U.K. net deferred tax assets. The Company has recorded net foreign deferred tax assets associated with its Australia and Portugal operations totaling $3.8 million since management has assessed it is more likely than not that the results of future operations within these jurisdictions will generate sufficient taxable income to realize the deferred tax assets. The Australia and Portugal deferred tax assets cannot increase its U.S. or U.K. valuation allowance. The net change in the valuation allowance for the years ended December 31, 2023 and 2022 was a decrease of $0.6 million and an increase of $13.6 million, respectively. The decrease of the valuation allowance in the current year was primarily attributed to the utilization of net operating losses, an increase in deductible deferred contract acquisition costs, federal bonus tax depreciation, and Aceyus purchased intangibles, offset by the requirement to capitalize research and development costs under IRC Section 174.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the Company had net operating loss carryforwards for federal, state and foreign income tax purposes of $403.4 million, $298.6 million and $14.0 million, respectively, available to reduce future income subject to income taxes. If not utilized, $69.5 million of federal and various amounts of significant state net operating loss carryforwards will begin to expire in 2027 and 2028, respectively, while $333.9 million of federal net operating losses, as well as the foreign net operating losses, do not expire. As of December 31, 2023, the Company also had gross research credit carryforwards for federal and California state tax purposes of $12.9 million and $7.5 million, available to reduce future income subject to income taxes. The federal research credit carryforwards will expire between 2024 and 2043. The California state research credits do not expire. The IRC imposes restrictions on the utilization of net operating losses and credits in the event of an “ownership change” of a corporation. Accordingly, a company’s ability to use net operating losses and credits may be subject to substantial limitation as prescribed under the IRC Sections 382 and 383 and similar state provisions. Events that may cause limitations in the amount of the net operating losses and credits that the Company may use in any one year include, but are not limited to, a cumulative ownership change of more than 50% over a three-year period. The Company completed a study covering through December 31, 2022, discovering we experienced certain ownership changes prior to 2015, and adjusted the disclosed amounts of our net operating losses and research credit carryforwards for the resulting effect of the IRC Section 382 limitations, as necessary. In the event the Company has further changes in ownership, net operating losses and research and development credit carryforwards, which are fully reserved by the deferred tax asset valuation allowance, could be limited and may expire unutilized.</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Unrecognized Tax Benefits</w:t>
      </w:r>
    </w:p>
    <w:p>
      <w:pPr>
        <w:pStyle w:val="TextBody"/>
        <w:bidi w:val="0"/>
        <w:spacing w:lineRule="auto" w:line="288" w:before="120" w:after="283"/>
        <w:ind w:left="0" w:right="0" w:firstLine="45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shows the changes in the gross amount of unrecognized tax benefits for the periods presented (in thousands):</w:t>
      </w:r>
    </w:p>
    <w:tbl>
      <w:tblPr>
        <w:tblW w:w="7719" w:type="dxa"/>
        <w:jc w:val="left"/>
        <w:tblInd w:w="0" w:type="dxa"/>
        <w:tblLayout w:type="fixed"/>
        <w:tblCellMar>
          <w:top w:w="28" w:type="dxa"/>
          <w:left w:w="28" w:type="dxa"/>
          <w:bottom w:w="28" w:type="dxa"/>
          <w:right w:w="28" w:type="dxa"/>
        </w:tblCellMar>
      </w:tblPr>
      <w:tblGrid>
        <w:gridCol w:w="1370"/>
        <w:gridCol w:w="1202"/>
        <w:gridCol w:w="1208"/>
        <w:gridCol w:w="109"/>
        <w:gridCol w:w="109"/>
        <w:gridCol w:w="109"/>
        <w:gridCol w:w="211"/>
        <w:gridCol w:w="721"/>
        <w:gridCol w:w="109"/>
        <w:gridCol w:w="109"/>
        <w:gridCol w:w="109"/>
        <w:gridCol w:w="109"/>
        <w:gridCol w:w="211"/>
        <w:gridCol w:w="616"/>
        <w:gridCol w:w="109"/>
        <w:gridCol w:w="109"/>
        <w:gridCol w:w="109"/>
        <w:gridCol w:w="109"/>
        <w:gridCol w:w="211"/>
        <w:gridCol w:w="616"/>
        <w:gridCol w:w="154"/>
      </w:tblGrid>
      <w:tr>
        <w:trPr/>
        <w:tc>
          <w:tcPr>
            <w:tcW w:w="1370"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benefit — beginning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current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increases — prior year tax positions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decreases — prior year tax positions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Settlements with tax authorities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Unrecognized benefit — end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each of December 31, 2023 and 2022, the Company had unrecognized tax benefits that, if recognized, would impact its effective tax rate by $0.5 million and $0.1 million, respectively. The Company recognizes interest and penalties related to uncertain tax positions as income tax expense, which has cumulatively been immaterial to its financial statements. The Company does not anticipate its total unrecognized tax benefits as of December 31, 2023 will significantly change due to settlement of examination or the expiration of statutes of limitation during the next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01"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12 months. The Company is currently unaware of any uncertain tax positions that could result in significant additional payments, accruals or other material deviation in this estimate over the next 12 months.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subject to taxation in the United States, various states and several foreign jurisdictions. Due to the Company’s net carryover of unused operating losses, all years from 2003 forward remain subject to future examination by the U.S. federal and state tax authorities. The Company’s foreign tax returns are open to audit under the statutes of limitation of the respective foreign countries in which its subsidiaries are located. With the exception of Russia, the Company considers all undistributed earnings of its foreign subsidiaries indefinitely reinvested.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10. Commitments and Contingencies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Commitments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$747.5 million of aggregate principal of the 2025 convertible senior notes were outstanding and are due on June 1, 2025. As of December 31, 2023, no 2023 convertible senior notes were outstanding. See Note 6 for more information concerning the convertible senior notes.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outstanding operating lease and finance lease obligations of $52.0 million and $5.0 million, respectively, as of December 31, 2023. See Note 13 for further details. As of December 31, 2023, the Company also had outstanding cloud services and software and maintenance agreement commitments totaling $104.4 million, of which $33.0 million is expected to be purchased in 2024, $45.6 million is expected to be purchased in 2025 and the remaining $25.8 million is expected to be purchased in 2026. </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 xml:space="preserve">Hosting and Telecommunication Usage Services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agreements with third parties to provide co-location hosting and telecommunication usage services. The agreements require payments per month for a fixed period of time in exchange for certain guarantees of network and telecommunication availability.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December 31, 2023, future minimum payments under these arrangements were as follows in thousands): </w:t>
      </w:r>
    </w:p>
    <w:tbl>
      <w:tblPr>
        <w:tblW w:w="7501" w:type="dxa"/>
        <w:jc w:val="left"/>
        <w:tblInd w:w="0" w:type="dxa"/>
        <w:tblLayout w:type="fixed"/>
        <w:tblCellMar>
          <w:top w:w="28" w:type="dxa"/>
          <w:left w:w="28" w:type="dxa"/>
          <w:bottom w:w="28" w:type="dxa"/>
          <w:right w:w="28" w:type="dxa"/>
        </w:tblCellMar>
      </w:tblPr>
      <w:tblGrid>
        <w:gridCol w:w="961"/>
        <w:gridCol w:w="844"/>
        <w:gridCol w:w="849"/>
        <w:gridCol w:w="109"/>
        <w:gridCol w:w="109"/>
        <w:gridCol w:w="109"/>
        <w:gridCol w:w="350"/>
        <w:gridCol w:w="774"/>
        <w:gridCol w:w="181"/>
        <w:gridCol w:w="109"/>
        <w:gridCol w:w="109"/>
        <w:gridCol w:w="109"/>
        <w:gridCol w:w="531"/>
        <w:gridCol w:w="1817"/>
        <w:gridCol w:w="277"/>
        <w:gridCol w:w="109"/>
        <w:gridCol w:w="154"/>
      </w:tblGrid>
      <w:tr>
        <w:trPr/>
        <w:tc>
          <w:tcPr>
            <w:tcW w:w="961"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774"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Hosting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Telecommunication Usage Services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7,619 </w:t>
            </w:r>
          </w:p>
        </w:tc>
        <w:tc>
          <w:tcPr>
            <w:tcW w:w="2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1,358 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payment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250 </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14,677 </w:t>
            </w:r>
          </w:p>
        </w:tc>
        <w:tc>
          <w:tcPr>
            <w:tcW w:w="2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2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 xml:space="preserve">Universal Services Fund Liability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classified as a telecommunications service provider for regulatory purposes and is required to make contributions to the USF based on the revenue the Company receives from the resale of interstate and some international telecommunications services. In order to comply with the obligation to make direct contributions, the Company is registered with the USAC, which is charged by the FCC with administering the USF, and has been remitting the required contributions to USAC since its registration with the USAC in April 2013. The Company also made retroactive USF contributions based on its revenues for the period from 2008 to 2012. The Company, however, has an unresolved and arguably dormant dispute with the FCC regarding whether the Company is liable for USF contributions related to the period from 2003 through 2007. As of December 31, 2023, the Company had accrued $0.1 million in interest related to the disputed assessments for the period of 2003 through 2007.</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State and Local Taxes and Surcharges </w:t>
      </w:r>
    </w:p>
    <w:p>
      <w:pPr>
        <w:pStyle w:val="TextBody"/>
        <w:bidi w:val="0"/>
        <w:spacing w:lineRule="auto" w:line="288" w:before="12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based on analysis of its activities, has determined that it is obligated to collect and remit U.S. state or local sales, use, gross receipts, excise and utility user taxes, as well as fees or surcharges as a communications service provider in certain U.S. states, municipalities or local tax jurisdictions. The Company is registered for, collecting and remitting applicable taxes where such a determination has been made. Prior to the Company’s making such determination, the Company neither collected nor remitted these taxes, fees or surcharges to applicable local, municipal or state jurisdictions. The Company continues to analyze its activities to determine if it is subject to these taxes in additional jurisdictions and based on the Company’s ongoing assessment of its U.S. state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02"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 local tax collection and remittance obligations, the Company registers for tax and regulatory purposes in such jurisdictions and commences collecting and remitting applicable state and local taxes and surcharges to these jurisdictions.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As of December 31, 2023 and 2022, the Company had total accrued liabilities of $1.7 million and $1.2 million, respectively, for such contingent sales taxes and surcharges that were not being collected from its clients but may be imposed by various taxing authorities, of which $0.8 million and $0.3 million, respectively, were included in “Accrued and other current liabilities” on the consolidated balance sheet, and the remaining were included in “Other long-term liabilities” on the consolidated balance sheet. The Company’s estimate of the probable loss incurred under this contingency is based on its analysis of the source location of its usage-based fees and the regulations and rules in each tax jurisdiction.</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Legal Matters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involved in various legal and regulatory matters arising in the normal course of business. In management’s opinion, resolution of these matters is not expected to have a material impact on the Company’s consolidated results of operations, cash flows, or its financial position. However, due to the uncertain nature of legal matters, an unfavorable resolution of a matter could materially affect the Company’s future consolidated results of operations, cash flows or financial position in a particular period. The Company expenses legal fees as incurred.</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Indemnification Agreements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ordinary course of business, the Company enters into agreements of varying scope and terms pursuant to which it agrees to indemnify clients, vendors, lessors, business partners and other parties with respect to certain matters, including, but not limited to, losses arising out of breach of such agreements, including breach of security, services to be provided by the Company or from intellectual property infringement claims made by third parties. In addition, the Company has entered into indemnification agreements with its directors, officers and certain employees that requires it, among other things, to indemnify them against certain liabilities that may arise by reason of their status or service as directors, officers or employees. There are no claims that the Company is aware of that could have a material effect on the consolidated balance sheets, consolidated statements of operations and comprehensive loss, or consolidated statements of cash flows. </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11. Geographical Information</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revenues by geographic region based on client billing address (in thousands): </w:t>
      </w:r>
    </w:p>
    <w:tbl>
      <w:tblPr>
        <w:tblW w:w="5709" w:type="dxa"/>
        <w:jc w:val="left"/>
        <w:tblInd w:w="0" w:type="dxa"/>
        <w:tblLayout w:type="fixed"/>
        <w:tblCellMar>
          <w:top w:w="28" w:type="dxa"/>
          <w:left w:w="28" w:type="dxa"/>
          <w:bottom w:w="28" w:type="dxa"/>
          <w:right w:w="28" w:type="dxa"/>
        </w:tblCellMar>
      </w:tblPr>
      <w:tblGrid>
        <w:gridCol w:w="452"/>
        <w:gridCol w:w="395"/>
        <w:gridCol w:w="398"/>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452"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12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812,708 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556,385 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910,488 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778,846 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609,591 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total property and equipment, net in the respective locations (in thousands): </w:t>
      </w:r>
    </w:p>
    <w:tbl>
      <w:tblPr>
        <w:tblW w:w="5623" w:type="dxa"/>
        <w:jc w:val="left"/>
        <w:tblInd w:w="0" w:type="dxa"/>
        <w:tblLayout w:type="fixed"/>
        <w:tblCellMar>
          <w:top w:w="28" w:type="dxa"/>
          <w:left w:w="28" w:type="dxa"/>
          <w:bottom w:w="28" w:type="dxa"/>
          <w:right w:w="28" w:type="dxa"/>
        </w:tblCellMar>
      </w:tblPr>
      <w:tblGrid>
        <w:gridCol w:w="876"/>
        <w:gridCol w:w="767"/>
        <w:gridCol w:w="771"/>
        <w:gridCol w:w="109"/>
        <w:gridCol w:w="109"/>
        <w:gridCol w:w="109"/>
        <w:gridCol w:w="211"/>
        <w:gridCol w:w="826"/>
        <w:gridCol w:w="109"/>
        <w:gridCol w:w="109"/>
        <w:gridCol w:w="109"/>
        <w:gridCol w:w="109"/>
        <w:gridCol w:w="211"/>
        <w:gridCol w:w="826"/>
        <w:gridCol w:w="109"/>
        <w:gridCol w:w="109"/>
        <w:gridCol w:w="154"/>
      </w:tblGrid>
      <w:tr>
        <w:trPr/>
        <w:tc>
          <w:tcPr>
            <w:tcW w:w="876"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108,572 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101,221 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12. Retirement Plans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401(k) plan to provide tax deferred salary deductions for all eligible employees. Participants may make voluntary contributions to the 401(k) plan, limited by certain Internal Revenue Service restrictions. The Company is responsible for the administrative costs of the 401(k) plan. The Company began matching employee contributions in cash in the fourth quarter of 2019. The contribution expense for the years ended December 31, 2023 and 2022 was $2.4 million and $2.1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03"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complies with the requirement of maintaining a retirement plan for employees in the Philippines. This plan is a non-contributory and defined benefit plan that provides retirement to employees equal to approximately one month salary for every year of credited service for employees who attain the normal retirement age of 60 with at least five years of service. The benefits are paid in a lump sum amount upon retirement from the Company. Total defined benefit liability under this plan was $0.8 million and $0.5 million as of each of December 31, 2023 and 2022, respectively. Total retirement expense for this plan were $0.3 million, $0.2 million, and $0.2 million for the years ended December 31, 2023, 2022, and 2021, respectively.</w:t>
      </w:r>
    </w:p>
    <w:p>
      <w:pPr>
        <w:pStyle w:val="TextBody"/>
        <w:bidi w:val="0"/>
        <w:spacing w:before="0" w:after="0"/>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13. Leases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has leases for offices, data centers and computer and networking equipment that expire at various dates through 2031. The Company’s leases have remaining terms of one to seven years, some of the leases include a Company option to extend the leases for up to one to five years, and some of the leases include the option to terminate the leases upon 30-days notice. The Company does not separate lease and non-lease components for real estate operating leases.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lease expenses were as follows (in thousands):</w:t>
      </w:r>
    </w:p>
    <w:tbl>
      <w:tblPr>
        <w:tblW w:w="6744" w:type="dxa"/>
        <w:jc w:val="left"/>
        <w:tblInd w:w="0" w:type="dxa"/>
        <w:tblLayout w:type="fixed"/>
        <w:tblCellMar>
          <w:top w:w="28" w:type="dxa"/>
          <w:left w:w="28" w:type="dxa"/>
          <w:bottom w:w="28" w:type="dxa"/>
          <w:right w:w="28" w:type="dxa"/>
        </w:tblCellMar>
      </w:tblPr>
      <w:tblGrid>
        <w:gridCol w:w="939"/>
        <w:gridCol w:w="825"/>
        <w:gridCol w:w="831"/>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on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leases was as follows (in thousands):</w:t>
      </w:r>
    </w:p>
    <w:tbl>
      <w:tblPr>
        <w:tblW w:w="10133" w:type="dxa"/>
        <w:jc w:val="left"/>
        <w:tblInd w:w="0" w:type="dxa"/>
        <w:tblLayout w:type="fixed"/>
        <w:tblCellMar>
          <w:top w:w="28" w:type="dxa"/>
          <w:left w:w="28" w:type="dxa"/>
          <w:bottom w:w="28" w:type="dxa"/>
          <w:right w:w="28" w:type="dxa"/>
        </w:tblCellMar>
      </w:tblPr>
      <w:tblGrid>
        <w:gridCol w:w="2126"/>
        <w:gridCol w:w="1864"/>
        <w:gridCol w:w="1874"/>
        <w:gridCol w:w="109"/>
        <w:gridCol w:w="109"/>
        <w:gridCol w:w="109"/>
        <w:gridCol w:w="211"/>
        <w:gridCol w:w="796"/>
        <w:gridCol w:w="109"/>
        <w:gridCol w:w="109"/>
        <w:gridCol w:w="109"/>
        <w:gridCol w:w="109"/>
        <w:gridCol w:w="211"/>
        <w:gridCol w:w="796"/>
        <w:gridCol w:w="109"/>
        <w:gridCol w:w="109"/>
        <w:gridCol w:w="109"/>
        <w:gridCol w:w="109"/>
        <w:gridCol w:w="211"/>
        <w:gridCol w:w="691"/>
        <w:gridCol w:w="154"/>
      </w:tblGrid>
      <w:tr>
        <w:trPr/>
        <w:tc>
          <w:tcPr>
            <w:tcW w:w="2126" w:type="dxa"/>
            <w:tcBorders/>
            <w:vAlign w:val="center"/>
          </w:tcPr>
          <w:p>
            <w:pPr>
              <w:pStyle w:val="TableContents"/>
              <w:bidi w:val="0"/>
              <w:spacing w:before="0" w:after="283"/>
              <w:jc w:val="left"/>
              <w:rPr>
                <w:sz w:val="4"/>
                <w:szCs w:val="4"/>
              </w:rPr>
            </w:pPr>
            <w:r>
              <w:rPr>
                <w:sz w:val="4"/>
                <w:szCs w:val="4"/>
              </w:rPr>
            </w:r>
          </w:p>
        </w:tc>
        <w:tc>
          <w:tcPr>
            <w:tcW w:w="1864" w:type="dxa"/>
            <w:tcBorders/>
            <w:vAlign w:val="center"/>
          </w:tcPr>
          <w:p>
            <w:pPr>
              <w:pStyle w:val="TableContents"/>
              <w:bidi w:val="0"/>
              <w:spacing w:before="0" w:after="283"/>
              <w:jc w:val="left"/>
              <w:rPr>
                <w:sz w:val="4"/>
                <w:szCs w:val="4"/>
              </w:rPr>
            </w:pPr>
            <w:r>
              <w:rPr>
                <w:sz w:val="4"/>
                <w:szCs w:val="4"/>
              </w:rPr>
            </w:r>
          </w:p>
        </w:tc>
        <w:tc>
          <w:tcPr>
            <w:tcW w:w="18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w:t>
            </w:r>
          </w:p>
        </w:tc>
      </w:tr>
      <w:tr>
        <w:trPr/>
        <w:tc>
          <w:tcPr>
            <w:tcW w:w="5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2021</w:t>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cash used in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(7,178)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Financing cash used in 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assets obtained in exchange for lease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04"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101</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leases was as follows (in thousands):</w:t>
      </w:r>
    </w:p>
    <w:tbl>
      <w:tblPr>
        <w:tblW w:w="6891" w:type="dxa"/>
        <w:jc w:val="left"/>
        <w:tblInd w:w="0" w:type="dxa"/>
        <w:tblLayout w:type="fixed"/>
        <w:tblCellMar>
          <w:top w:w="28" w:type="dxa"/>
          <w:left w:w="28" w:type="dxa"/>
          <w:bottom w:w="28" w:type="dxa"/>
          <w:right w:w="28" w:type="dxa"/>
        </w:tblCellMar>
      </w:tblPr>
      <w:tblGrid>
        <w:gridCol w:w="1486"/>
        <w:gridCol w:w="1307"/>
        <w:gridCol w:w="1317"/>
        <w:gridCol w:w="109"/>
        <w:gridCol w:w="109"/>
        <w:gridCol w:w="109"/>
        <w:gridCol w:w="211"/>
        <w:gridCol w:w="721"/>
        <w:gridCol w:w="109"/>
        <w:gridCol w:w="109"/>
        <w:gridCol w:w="109"/>
        <w:gridCol w:w="109"/>
        <w:gridCol w:w="211"/>
        <w:gridCol w:w="721"/>
        <w:gridCol w:w="154"/>
      </w:tblGrid>
      <w:tr>
        <w:trPr/>
        <w:tc>
          <w:tcPr>
            <w:tcW w:w="1486"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4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41,389 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52,015 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gross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(36,203)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lease liabilities — less current portion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finance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41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terms were as follows (in years):</w:t>
      </w:r>
    </w:p>
    <w:tbl>
      <w:tblPr>
        <w:tblW w:w="5384" w:type="dxa"/>
        <w:jc w:val="left"/>
        <w:tblInd w:w="0" w:type="dxa"/>
        <w:tblLayout w:type="fixed"/>
        <w:tblCellMar>
          <w:top w:w="28" w:type="dxa"/>
          <w:left w:w="28" w:type="dxa"/>
          <w:bottom w:w="28" w:type="dxa"/>
          <w:right w:w="28" w:type="dxa"/>
        </w:tblCellMar>
      </w:tblPr>
      <w:tblGrid>
        <w:gridCol w:w="1086"/>
        <w:gridCol w:w="953"/>
        <w:gridCol w:w="960"/>
        <w:gridCol w:w="109"/>
        <w:gridCol w:w="109"/>
        <w:gridCol w:w="109"/>
        <w:gridCol w:w="273"/>
        <w:gridCol w:w="273"/>
        <w:gridCol w:w="279"/>
        <w:gridCol w:w="121"/>
        <w:gridCol w:w="121"/>
        <w:gridCol w:w="121"/>
        <w:gridCol w:w="253"/>
        <w:gridCol w:w="253"/>
        <w:gridCol w:w="364"/>
      </w:tblGrid>
      <w:tr>
        <w:trPr/>
        <w:tc>
          <w:tcPr>
            <w:tcW w:w="1086" w:type="dxa"/>
            <w:tcBorders/>
            <w:vAlign w:val="center"/>
          </w:tcPr>
          <w:p>
            <w:pPr>
              <w:pStyle w:val="TableContents"/>
              <w:bidi w:val="0"/>
              <w:spacing w:before="0" w:after="283"/>
              <w:jc w:val="left"/>
              <w:rPr>
                <w:sz w:val="4"/>
                <w:szCs w:val="4"/>
              </w:rPr>
            </w:pPr>
            <w:r>
              <w:rPr>
                <w:sz w:val="4"/>
                <w:szCs w:val="4"/>
              </w:rPr>
            </w:r>
          </w:p>
        </w:tc>
        <w:tc>
          <w:tcPr>
            <w:tcW w:w="953"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remaining lease term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years</w:t>
            </w:r>
          </w:p>
        </w:tc>
        <w:tc>
          <w:tcPr>
            <w:tcW w:w="3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 years</w:t>
            </w:r>
          </w:p>
        </w:tc>
      </w:tr>
      <w:tr>
        <w:trPr/>
        <w:tc>
          <w:tcPr>
            <w:tcW w:w="29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 years</w:t>
            </w:r>
          </w:p>
        </w:tc>
        <w:tc>
          <w:tcPr>
            <w:tcW w:w="3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 years</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rates were as follows:</w:t>
      </w:r>
    </w:p>
    <w:tbl>
      <w:tblPr>
        <w:tblW w:w="4483" w:type="dxa"/>
        <w:jc w:val="left"/>
        <w:tblInd w:w="0" w:type="dxa"/>
        <w:tblLayout w:type="fixed"/>
        <w:tblCellMar>
          <w:top w:w="28" w:type="dxa"/>
          <w:left w:w="28" w:type="dxa"/>
          <w:bottom w:w="28" w:type="dxa"/>
          <w:right w:w="28" w:type="dxa"/>
        </w:tblCellMar>
      </w:tblPr>
      <w:tblGrid>
        <w:gridCol w:w="881"/>
        <w:gridCol w:w="773"/>
        <w:gridCol w:w="776"/>
        <w:gridCol w:w="109"/>
        <w:gridCol w:w="109"/>
        <w:gridCol w:w="109"/>
        <w:gridCol w:w="203"/>
        <w:gridCol w:w="203"/>
        <w:gridCol w:w="271"/>
        <w:gridCol w:w="109"/>
        <w:gridCol w:w="109"/>
        <w:gridCol w:w="109"/>
        <w:gridCol w:w="203"/>
        <w:gridCol w:w="203"/>
        <w:gridCol w:w="316"/>
      </w:tblGrid>
      <w:tr>
        <w:trPr/>
        <w:tc>
          <w:tcPr>
            <w:tcW w:w="881"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r>
          </w:p>
        </w:tc>
      </w:tr>
      <w:tr>
        <w:trPr/>
        <w:tc>
          <w:tcPr>
            <w:tcW w:w="2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2022</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Weighted average discount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Finance leases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24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lease liabilities were as follows (in thousands):</w:t>
      </w:r>
    </w:p>
    <w:tbl>
      <w:tblPr>
        <w:tblW w:w="6648" w:type="dxa"/>
        <w:jc w:val="left"/>
        <w:tblInd w:w="0" w:type="dxa"/>
        <w:tblLayout w:type="fixed"/>
        <w:tblCellMar>
          <w:top w:w="28" w:type="dxa"/>
          <w:left w:w="28" w:type="dxa"/>
          <w:bottom w:w="28" w:type="dxa"/>
          <w:right w:w="28" w:type="dxa"/>
        </w:tblCellMar>
      </w:tblPr>
      <w:tblGrid>
        <w:gridCol w:w="1151"/>
        <w:gridCol w:w="1011"/>
        <w:gridCol w:w="1017"/>
        <w:gridCol w:w="109"/>
        <w:gridCol w:w="109"/>
        <w:gridCol w:w="109"/>
        <w:gridCol w:w="276"/>
        <w:gridCol w:w="946"/>
        <w:gridCol w:w="144"/>
        <w:gridCol w:w="109"/>
        <w:gridCol w:w="109"/>
        <w:gridCol w:w="109"/>
        <w:gridCol w:w="267"/>
        <w:gridCol w:w="780"/>
        <w:gridCol w:w="139"/>
        <w:gridCol w:w="109"/>
        <w:gridCol w:w="154"/>
      </w:tblGrid>
      <w:tr>
        <w:trPr/>
        <w:tc>
          <w:tcPr>
            <w:tcW w:w="1151"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Year Ending 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Operating Leases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Finance Leases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12,283 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9,329 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7,109 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future minimum lease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51,981 </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4,995 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(4,872)</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47,109 </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4,644 </w:t>
            </w:r>
          </w:p>
        </w:tc>
        <w:tc>
          <w:tcPr>
            <w:tcW w:w="1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24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05"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102</w:t>
                      </w:r>
                    </w:p>
                  </w:txbxContent>
                </v:textbox>
                <w10:wrap type="none"/>
              </v:rect>
            </w:pict>
          </mc:Fallback>
        </mc:AlternateContent>
      </w:r>
    </w:p>
    <w:p>
      <w:pPr>
        <w:pStyle w:val="TextBody"/>
        <w:bidi w:val="0"/>
        <w:spacing w:before="0" w:after="0"/>
        <w:jc w:val="left"/>
        <w:rPr/>
      </w:pPr>
      <w:r>
        <w:rPr/>
      </w: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 xml:space="preserve">14. Acquisitions </w:t>
      </w:r>
    </w:p>
    <w:p>
      <w:pPr>
        <w:pStyle w:val="TextBody"/>
        <w:bidi w:val="0"/>
        <w:spacing w:lineRule="auto" w:line="276" w:before="180" w:after="283"/>
        <w:jc w:val="both"/>
        <w:rPr>
          <w:rFonts w:ascii="Times New Roman;sans-serif" w:hAnsi="Times New Roman;sans-serif"/>
          <w:b/>
          <w:color w:val="000000"/>
          <w:sz w:val="20"/>
        </w:rPr>
      </w:pPr>
      <w:r>
        <w:rPr>
          <w:rFonts w:ascii="Times New Roman;sans-serif" w:hAnsi="Times New Roman;sans-serif"/>
          <w:b/>
          <w:color w:val="000000"/>
          <w:sz w:val="20"/>
        </w:rPr>
        <w:t xml:space="preserve">Aceyus </w:t>
      </w:r>
    </w:p>
    <w:p>
      <w:pPr>
        <w:pStyle w:val="TextBody"/>
        <w:bidi w:val="0"/>
        <w:spacing w:lineRule="auto" w:line="276" w:before="12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August 14, 2023, the Company acquired all of the issued and outstanding shares of capital stock of Aceyus for total cash consideration of approximately $82.0 million. This acquisition, which was accounted for as a business combination, is intended to accelerate the Company's ability to capitalize on two business opportunities, namely facilitating the migration of large enterprise customers from on-premise to cloud and leveraging contextual data to deliver personalized experiences throughout the customer journey, including using this contextual data in the Company's AI &amp; Automation solutions. </w:t>
      </w:r>
    </w:p>
    <w:p>
      <w:pPr>
        <w:pStyle w:val="TextBody"/>
        <w:bidi w:val="0"/>
        <w:spacing w:lineRule="auto" w:line="288" w:before="180" w:after="6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excess of the purchase price over identifiable intangible assets and net tangible assets in the amount of $62.0 million was allocated to goodwill, which is not deductible for tax purposes. The fair values assigned to assets acquired and liabilities assumed are based on management’s best estimates and assumptions as of the acquisition date and are considered preliminary pending finalization of valuation analyses pertaining to intangible assets acquired, liabilities assumed and tax liabilities assumed. During the measurement period, which may be up to one year from the acquisition date, the Company may record adjustments to the fair value of these tangible and intangible assets acquired and liabilities assumed, with the corresponding offset to goodwill. The following table presents the preliminary allocation of the purchase price at the acquisition date (in thousands):</w:t>
      </w:r>
    </w:p>
    <w:tbl>
      <w:tblPr>
        <w:tblW w:w="3246" w:type="dxa"/>
        <w:jc w:val="left"/>
        <w:tblInd w:w="0" w:type="dxa"/>
        <w:tblLayout w:type="fixed"/>
        <w:tblCellMar>
          <w:top w:w="28" w:type="dxa"/>
          <w:left w:w="28" w:type="dxa"/>
          <w:bottom w:w="28" w:type="dxa"/>
          <w:right w:w="28" w:type="dxa"/>
        </w:tblCellMar>
      </w:tblPr>
      <w:tblGrid>
        <w:gridCol w:w="780"/>
        <w:gridCol w:w="684"/>
        <w:gridCol w:w="696"/>
        <w:gridCol w:w="211"/>
        <w:gridCol w:w="721"/>
        <w:gridCol w:w="154"/>
      </w:tblGrid>
      <w:tr>
        <w:trPr/>
        <w:tc>
          <w:tcPr>
            <w:tcW w:w="78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Tangible assets acquired </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 acquired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Acquired technology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Customer relationships </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 acquired</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1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Liabilities assumed</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ans-serif" w:hAnsi="Times New Roman;sans-serif"/>
                <w:b w:val="false"/>
                <w:color w:val="000000"/>
                <w:sz w:val="20"/>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82,012 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acquired technology, customer relationships, and trademarks will be amortized on a straight-line basis over their estimated useful lives of eight years, five years, and three years, respectively. The Company used the income approach to estimate the fair value of intangible assets acquired. </w:t>
      </w:r>
    </w:p>
    <w:p>
      <w:pPr>
        <w:pStyle w:val="TextBody"/>
        <w:bidi w:val="0"/>
        <w:spacing w:lineRule="auto" w:line="28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this acquisition, the Company incurred total acquisition-related transaction costs of $2.2 million during the year ended December 31, 2023 that have been expensed as incurred and included in general and administrative expenses in the consolidated statements of operations and comprehensive loss. </w:t>
      </w:r>
    </w:p>
    <w:p>
      <w:pPr>
        <w:pStyle w:val="TextBody"/>
        <w:bidi w:val="0"/>
        <w:spacing w:lineRule="auto" w:line="268" w:before="180" w:after="283"/>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results of operations of this acquisition are included in the accompanying consolidated statements of operations and comprehensive loss from the date of acquisition and are not material to the Company's consolidated financial statements. </w:t>
      </w:r>
    </w:p>
    <w:p>
      <w:pPr>
        <w:pStyle w:val="TextBody"/>
        <w:bidi w:val="0"/>
        <w:spacing w:before="120" w:after="283"/>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283"/>
        <w:jc w:val="left"/>
        <w:rPr/>
      </w:pPr>
      <w:r>
        <w:rPr/>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06"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103</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15. Selected Quarterly Financial Data (Unaudited)</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Selected quarterly financial information for 2023 and 2022 is as follows: </w:t>
      </w:r>
    </w:p>
    <w:tbl>
      <w:tblPr>
        <w:tblW w:w="12085" w:type="dxa"/>
        <w:jc w:val="left"/>
        <w:tblInd w:w="0" w:type="dxa"/>
        <w:tblLayout w:type="fixed"/>
        <w:tblCellMar>
          <w:top w:w="28" w:type="dxa"/>
          <w:left w:w="28" w:type="dxa"/>
          <w:bottom w:w="28" w:type="dxa"/>
          <w:right w:w="28" w:type="dxa"/>
        </w:tblCellMar>
      </w:tblPr>
      <w:tblGrid>
        <w:gridCol w:w="624"/>
        <w:gridCol w:w="241"/>
        <w:gridCol w:w="231"/>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09"/>
        <w:gridCol w:w="109"/>
        <w:gridCol w:w="109"/>
        <w:gridCol w:w="109"/>
        <w:gridCol w:w="196"/>
        <w:gridCol w:w="736"/>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2022</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2" w:type="dxa"/>
            <w:gridSpan w:val="45"/>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 except per share data)</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230,105 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222,882 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218,439 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198,342 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189,382 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182,777 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Cost of revenue </w:t>
            </w:r>
            <w:r>
              <w:rPr>
                <w:rFonts w:ascii="Times New Roman;sans-serif" w:hAnsi="Times New Roman;sans-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111,080 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96,294 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94,111 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88,867 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126,569 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119,025 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118,521 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113,683 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112,051 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101,153 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93,910 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Research and development </w:t>
            </w: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38,108 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34,992 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35,824 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Sales and marketing </w:t>
            </w:r>
            <w:r>
              <w:rPr>
                <w:rFonts w:ascii="Times New Roman;sans-serif" w:hAnsi="Times New Roman;sans-serif"/>
                <w:b w:val="false"/>
                <w:color w:val="000000"/>
                <w:sz w:val="1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73,366 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74,077 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65,928 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64,098 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64,611 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6"/>
              </w:rPr>
              <w:t xml:space="preserve">General and administrative </w:t>
            </w:r>
            <w:r>
              <w:rPr>
                <w:rFonts w:ascii="Times New Roman;sans-serif" w:hAnsi="Times New Roman;sans-serif"/>
                <w:b w:val="false"/>
                <w:color w:val="000000"/>
                <w:sz w:val="1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31,006 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24,314 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145,167 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144,763 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143,764 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125,302 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125,962 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122,914 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124,749 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from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(18,598)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(25,738)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(25,243)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(28,997)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(30,839)</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(expense)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(1,870)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4,257 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before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(19,477)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(20,986)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(26,721)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(12,432)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(22,628)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(23,338)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(31,864)</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Provision for (benefit from)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2,256 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(12,358)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(20,419)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(27,248)</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(13,653)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(23,207)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(23,670)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(34,120)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(0.17)</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(0.28)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(0.38)</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(0.19)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(0.33)</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(0.34)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(0.49)</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Shares used in computing net loss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72,926 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72,356 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71,627 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71,259 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70,704 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70,232 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69,748 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68,974 </w:t>
            </w:r>
          </w:p>
        </w:tc>
        <w:tc>
          <w:tcPr>
            <w:tcW w:w="15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ind w:left="0" w:right="0" w:firstLine="450"/>
        <w:jc w:val="left"/>
        <w:rPr>
          <w:rFonts w:ascii="Times New Roman;sans-serif" w:hAnsi="Times New Roman;sans-serif"/>
          <w:b w:val="false"/>
          <w:color w:val="000000"/>
          <w:sz w:val="16"/>
        </w:rPr>
      </w:pPr>
      <w:r>
        <w:rPr>
          <w:rFonts w:ascii="Times New Roman;sans-serif" w:hAnsi="Times New Roman;sans-serif"/>
          <w:b w:val="false"/>
          <w:color w:val="000000"/>
          <w:sz w:val="16"/>
        </w:rPr>
        <w:t>(1) Included stock-based compensation as follows:</w:t>
      </w:r>
    </w:p>
    <w:tbl>
      <w:tblPr>
        <w:tblW w:w="11365" w:type="dxa"/>
        <w:jc w:val="left"/>
        <w:tblInd w:w="0" w:type="dxa"/>
        <w:tblLayout w:type="fixed"/>
        <w:tblCellMar>
          <w:top w:w="28" w:type="dxa"/>
          <w:left w:w="28" w:type="dxa"/>
          <w:bottom w:w="28" w:type="dxa"/>
          <w:right w:w="28" w:type="dxa"/>
        </w:tblCellMar>
      </w:tblPr>
      <w:tblGrid>
        <w:gridCol w:w="515"/>
        <w:gridCol w:w="365"/>
        <w:gridCol w:w="21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2022</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9,182 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9,333 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7,793 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stock-based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49,571 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52,611 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53,367 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50,743 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43,824 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44,503 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44,786 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39,394 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07"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283"/>
        <w:ind w:left="0" w:right="0" w:firstLine="450"/>
        <w:jc w:val="left"/>
        <w:rPr/>
      </w:pPr>
      <w:r>
        <w:rPr>
          <w:rFonts w:ascii="Times New Roman;sans-serif" w:hAnsi="Times New Roman;sans-serif"/>
          <w:b w:val="false"/>
          <w:color w:val="000000"/>
          <w:sz w:val="16"/>
        </w:rPr>
        <w:t>(2) Included depreciation and amortization expenses as follows:</w:t>
      </w:r>
      <w:r>
        <w:rPr>
          <w:color w:val="EE2724"/>
        </w:rPr>
        <w:t xml:space="preserve"> </w:t>
      </w:r>
    </w:p>
    <w:tbl>
      <w:tblPr>
        <w:tblW w:w="11365" w:type="dxa"/>
        <w:jc w:val="left"/>
        <w:tblInd w:w="0" w:type="dxa"/>
        <w:tblLayout w:type="fixed"/>
        <w:tblCellMar>
          <w:top w:w="28" w:type="dxa"/>
          <w:left w:w="28" w:type="dxa"/>
          <w:bottom w:w="28" w:type="dxa"/>
          <w:right w:w="28" w:type="dxa"/>
        </w:tblCellMar>
      </w:tblPr>
      <w:tblGrid>
        <w:gridCol w:w="515"/>
        <w:gridCol w:w="365"/>
        <w:gridCol w:w="216"/>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09"/>
        <w:gridCol w:w="109"/>
        <w:gridCol w:w="109"/>
        <w:gridCol w:w="109"/>
        <w:gridCol w:w="196"/>
        <w:gridCol w:w="646"/>
        <w:gridCol w:w="154"/>
      </w:tblGrid>
      <w:tr>
        <w:trPr/>
        <w:tc>
          <w:tcPr>
            <w:tcW w:w="515"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Quarter Ended</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 31,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Sept.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 30, 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 31, 2022</w:t>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(unaudited, in thousands)</w:t>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10,308 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Sales and marketing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General and administrative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Total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12,482 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11,021 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11,215 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11,640 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45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ITEM 9. Changes in and Disagreements with Accountants on Accounting and Financial Disclosure</w:t>
      </w:r>
    </w:p>
    <w:p>
      <w:pPr>
        <w:pStyle w:val="TextBody"/>
        <w:bidi w:val="0"/>
        <w:spacing w:lineRule="auto" w:line="34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ITEM 9A. Controls and Procedures</w:t>
      </w:r>
    </w:p>
    <w:p>
      <w:pPr>
        <w:pStyle w:val="TextBody"/>
        <w:bidi w:val="0"/>
        <w:spacing w:lineRule="auto" w:line="288" w:before="10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Evaluation of Disclosure Controls and Procedures </w:t>
      </w:r>
    </w:p>
    <w:p>
      <w:pPr>
        <w:pStyle w:val="TextBody"/>
        <w:bidi w:val="0"/>
        <w:spacing w:lineRule="auto" w:line="288" w:before="10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Under the supervision and with the participation of our management, including our Chief Executive Officer and Chief Financial Officer, we conducted an evaluation of the effectiveness of our disclosure controls and procedures, as defined in Rules 13a-15(e) and 15d-15(e) under the Exchange Act, as of December 31, 2023.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management’s evaluation, our Chief Executive Officer and Chief Financial Officer concluded that, as of December 31, 2023, our disclosure controls and procedures were designed, and were effective, to provide assurance at a reasonable level that the information we are required to disclose in reports that we file or submit under the Exchange Act is recorded, processed, summarized and reported within the time periods specified in the SEC rules and forms, and that such information is accumulated and communicated to our management as appropriate to allow timely decisions regarding required disclosures.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designing and evaluating our disclosure controls and procedures, management recognizes that any disclosure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Management’s Annual Report on Internal Control Over Financial Reporting</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is responsible for establishing and maintaining adequate internal control over financial reporting (as defined in Rule 13a-15(f) and 15d-15(f) under the Exchange Act). Our management conducted an assessment of the effectiveness of our internal control over financial reporting as of December 31, 2023 based on the criteria set forth in the 2013 Internal Control-Integrated Framework issued by the Committee of Sponsoring Organizations of the Treadway Commission. Based on the assessment, our management has concluded that our internal control over financial reporting was effective as of December 31, 2023 to provide reasonable assurance regarding the reliability of financial reporting and the preparation of financial statements in accordance with U.S. GAAP.</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KPMG LLP, the independent registered public accounting firm that audited our financial statements included in this Annual Report on Form 10-K, has issued an auditors’ report on our internal control over financial reporting, which is included herein. </w:t>
      </w:r>
    </w:p>
    <w:p>
      <w:pPr>
        <w:pStyle w:val="TextBody"/>
        <w:bidi w:val="0"/>
        <w:spacing w:lineRule="auto" w:line="288" w:before="180" w:after="283"/>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Internal Control over Financial Reporting </w:t>
      </w:r>
    </w:p>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During the three months ended December 31, 2023, there was no change in our internal control over financial reporting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08"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105</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9B. Other Information </w:t>
      </w:r>
    </w:p>
    <w:p>
      <w:pPr>
        <w:pStyle w:val="TextBody"/>
        <w:bidi w:val="0"/>
        <w:spacing w:lineRule="auto" w:line="345" w:before="120" w:after="283"/>
        <w:ind w:left="0" w:right="0" w:firstLine="495"/>
        <w:jc w:val="left"/>
        <w:rPr>
          <w:rFonts w:ascii="Times New Roman;sans-serif" w:hAnsi="Times New Roman;sans-serif"/>
          <w:b/>
          <w:i/>
          <w:color w:val="000000"/>
          <w:sz w:val="20"/>
        </w:rPr>
      </w:pPr>
      <w:r>
        <w:rPr>
          <w:rFonts w:ascii="Times New Roman;sans-serif" w:hAnsi="Times New Roman;sans-serif"/>
          <w:b/>
          <w:i/>
          <w:color w:val="000000"/>
          <w:sz w:val="20"/>
        </w:rPr>
        <w:t xml:space="preserve">Rule 10b5-1 Plans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fiscal quarter ended December 31, 2023, none of the Company’s directors and officers adopted, modified, or terminated a Rule 10b5-1 trading arrangement or a non-Rule 10b5-1 trading arrangement.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ITEM 9C. Disclosure Regarding Foreign Jurisdictions that Prevent Inspections </w:t>
      </w:r>
    </w:p>
    <w:p>
      <w:pPr>
        <w:pStyle w:val="TextBody"/>
        <w:bidi w:val="0"/>
        <w:spacing w:lineRule="auto" w:line="345"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09"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106</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ITEM 10. Directors, Executive Officers and Corporate Governance</w:t>
      </w:r>
    </w:p>
    <w:p>
      <w:pPr>
        <w:pStyle w:val="TextBody"/>
        <w:bidi w:val="0"/>
        <w:spacing w:lineRule="auto" w:line="288" w:before="18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directors, compliance with Section 16(a) of the Exchange Act, our Audit Committee and any changes to the process by which stockholders may recommend nominees to the Board required by this Item are incorporated herein by reference to information contained in our Proxy Statement for the 2024 Annual Meeting of Stockholders to be filed with the SEC within 120 days of the year ended December 31, 2023, or the 2024 Proxy Statement, including “Proposal No 1. — Election of Directors,” “Corporate Governance” and “Section 16(a) Beneficial Ownership Reporting Compliance.”</w:t>
      </w:r>
    </w:p>
    <w:p>
      <w:pPr>
        <w:pStyle w:val="TextBody"/>
        <w:bidi w:val="0"/>
        <w:spacing w:lineRule="auto" w:line="288" w:before="120" w:after="283"/>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concerning our executive officers required by this Item is incorporated herein by reference to information contained in the 2024 Proxy Statement including “Executive Officers.”</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We have adopted a code of ethics and business conduct, or code of conduct, that applies to all employees, including our principal executive officer, our principal financial officer, our principal accounting officer, and all other executive officers. Our code of conduct is available on our website at http://investors.five9.com/corporate-governance.cfm. We plan to post on our website at the address described above any future amendments or waivers of our code of conduct.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ITEM 11. Executive Compensation</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information contained in the 2024 Proxy Statement, including “Corporate Governance,” “Executive Compensation” and “Compensation of Directors.”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ITEM 12. Security Ownership of Certain Beneficial Owners and Management and Related Stockholder Matters</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information contained in the 2024 Proxy Statement, including “Security Ownership of Certain Beneficial Owners and Management” and “Equity Compensation Plan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ITEM 13. Certain Relationships and Related Transactions, and Director Independence</w:t>
      </w:r>
    </w:p>
    <w:p>
      <w:pPr>
        <w:pStyle w:val="TextBody"/>
        <w:bidi w:val="0"/>
        <w:spacing w:lineRule="auto" w:line="288" w:before="18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information contained in the 2024 Proxy Statement, including “Corporate Governance” and “Transactions With Related Persons.”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180" w:after="283"/>
        <w:jc w:val="left"/>
        <w:rPr>
          <w:rFonts w:ascii="Times New Roman;sans-serif" w:hAnsi="Times New Roman;sans-serif"/>
          <w:b/>
          <w:color w:val="000000"/>
          <w:sz w:val="20"/>
        </w:rPr>
      </w:pPr>
      <w:r>
        <w:rPr>
          <w:rFonts w:ascii="Times New Roman;sans-serif" w:hAnsi="Times New Roman;sans-serif"/>
          <w:b/>
          <w:color w:val="000000"/>
          <w:sz w:val="20"/>
        </w:rPr>
        <w:t>ITEM 14. Principal Accountant Fees and Services</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required by this Item is incorporated herein by reference to information contained in the 2024 Proxy Statement, including “Proposal No. 4 — Ratification of Appointment of Independent Registered Public Accounting Firm.”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10"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107</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left"/>
        <w:rPr>
          <w:rFonts w:ascii="Times New Roman;sans-serif" w:hAnsi="Times New Roman;sans-serif"/>
          <w:b/>
          <w:color w:val="000000"/>
          <w:sz w:val="20"/>
        </w:rPr>
      </w:pPr>
      <w:r>
        <w:rPr>
          <w:rFonts w:ascii="Times New Roman;sans-serif" w:hAnsi="Times New Roman;sans-serif"/>
          <w:b/>
          <w:color w:val="000000"/>
          <w:sz w:val="20"/>
        </w:rPr>
        <w:t>ITEM 15. Exhibits and Financial Statement Schedules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The following documents are filed as part of this Report:</w:t>
      </w:r>
    </w:p>
    <w:p>
      <w:pPr>
        <w:pStyle w:val="TextBody"/>
        <w:bidi w:val="0"/>
        <w:spacing w:lineRule="auto" w:line="288" w:before="180" w:after="283"/>
        <w:jc w:val="left"/>
        <w:rPr>
          <w:rFonts w:ascii="Times New Roman;sans-serif" w:hAnsi="Times New Roman;sans-serif"/>
          <w:b/>
          <w:color w:val="000000"/>
          <w:sz w:val="20"/>
        </w:rPr>
      </w:pPr>
      <w:r>
        <w:rPr>
          <w:rFonts w:ascii="Times New Roman;sans-serif" w:hAnsi="Times New Roman;sans-serif"/>
          <w:b/>
          <w:color w:val="000000"/>
          <w:sz w:val="20"/>
        </w:rPr>
        <w:t>1. Consolidated Financial Statements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The consolidated financial statements of Five9 and the report of independent registered public accounting firm thereon are set forth under Part II, Item 8 of this report.</w:t>
      </w:r>
    </w:p>
    <w:tbl>
      <w:tblPr>
        <w:tblW w:w="6113" w:type="dxa"/>
        <w:jc w:val="left"/>
        <w:tblInd w:w="0" w:type="dxa"/>
        <w:tblLayout w:type="fixed"/>
        <w:tblCellMar>
          <w:top w:w="28" w:type="dxa"/>
          <w:left w:w="28" w:type="dxa"/>
          <w:bottom w:w="28" w:type="dxa"/>
          <w:right w:w="28" w:type="dxa"/>
        </w:tblCellMar>
      </w:tblPr>
      <w:tblGrid>
        <w:gridCol w:w="1963"/>
        <w:gridCol w:w="1721"/>
        <w:gridCol w:w="1730"/>
        <w:gridCol w:w="109"/>
        <w:gridCol w:w="109"/>
        <w:gridCol w:w="109"/>
        <w:gridCol w:w="109"/>
        <w:gridCol w:w="109"/>
        <w:gridCol w:w="154"/>
      </w:tblGrid>
      <w:tr>
        <w:trPr/>
        <w:tc>
          <w:tcPr>
            <w:tcW w:w="1963"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7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21">
              <w:r>
                <w:rPr>
                  <w:rStyle w:val="InternetLink"/>
                  <w:rFonts w:ascii="Times New Roman;sans-serif" w:hAnsi="Times New Roman;sans-serif"/>
                  <w:b w:val="false"/>
                  <w:color w:val="0000FF"/>
                  <w:sz w:val="20"/>
                  <w:u w:val="single"/>
                </w:rPr>
                <w:t>Report of Independent Registered Public Accounting Firm</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21">
              <w:r>
                <w:rPr>
                  <w:rStyle w:val="InternetLink"/>
                  <w:rFonts w:ascii="Times New Roman;sans-serif" w:hAnsi="Times New Roman;sans-serif"/>
                  <w:b w:val="false"/>
                  <w:color w:val="0000FF"/>
                  <w:sz w:val="20"/>
                  <w:u w:val="single"/>
                </w:rPr>
                <w:t>67</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24">
              <w:r>
                <w:rPr>
                  <w:rStyle w:val="InternetLink"/>
                  <w:rFonts w:ascii="Times New Roman;sans-serif" w:hAnsi="Times New Roman;sans-serif"/>
                  <w:b w:val="false"/>
                  <w:color w:val="0000FF"/>
                  <w:sz w:val="20"/>
                  <w:u w:val="single"/>
                </w:rPr>
                <w:t>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24">
              <w:r>
                <w:rPr>
                  <w:rStyle w:val="InternetLink"/>
                  <w:rFonts w:ascii="Times New Roman;sans-serif" w:hAnsi="Times New Roman;sans-serif"/>
                  <w:b w:val="false"/>
                  <w:color w:val="0000FF"/>
                  <w:sz w:val="20"/>
                  <w:u w:val="single"/>
                </w:rPr>
                <w:t>70</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30">
              <w:r>
                <w:rPr>
                  <w:rStyle w:val="InternetLink"/>
                  <w:rFonts w:ascii="Times New Roman;sans-serif" w:hAnsi="Times New Roman;sans-serif"/>
                  <w:b w:val="false"/>
                  <w:color w:val="0000FF"/>
                  <w:sz w:val="20"/>
                  <w:u w:val="single"/>
                </w:rPr>
                <w:t>Consolidated Statements of Operations and Comprehensive Loss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30">
              <w:r>
                <w:rPr>
                  <w:rStyle w:val="InternetLink"/>
                  <w:rFonts w:ascii="Times New Roman;sans-serif" w:hAnsi="Times New Roman;sans-serif"/>
                  <w:b w:val="false"/>
                  <w:color w:val="0000FF"/>
                  <w:sz w:val="20"/>
                  <w:u w:val="single"/>
                </w:rPr>
                <w:t>71</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33">
              <w:r>
                <w:rPr>
                  <w:rStyle w:val="InternetLink"/>
                  <w:rFonts w:ascii="Times New Roman;sans-serif" w:hAnsi="Times New Roman;sans-serif"/>
                  <w:b w:val="false"/>
                  <w:color w:val="000080"/>
                  <w:sz w:val="20"/>
                  <w:u w:val="single"/>
                </w:rPr>
                <w:t>Consolidated Statements of Stockholders</w:t>
              </w:r>
            </w:hyperlink>
            <w:hyperlink w:anchor="i29c07625a5e743748e3fcbf777f29f13_133">
              <w:r>
                <w:rPr>
                  <w:rStyle w:val="InternetLink"/>
                  <w:rFonts w:ascii="Times New Roman;sans-serif" w:hAnsi="Times New Roman;sans-serif"/>
                  <w:b w:val="false"/>
                  <w:color w:val="000080"/>
                  <w:sz w:val="20"/>
                  <w:u w:val="single"/>
                </w:rPr>
                <w:t>'</w:t>
              </w:r>
            </w:hyperlink>
            <w:hyperlink w:anchor="i29c07625a5e743748e3fcbf777f29f13_133">
              <w:r>
                <w:rPr>
                  <w:rStyle w:val="InternetLink"/>
                  <w:rFonts w:ascii="Times New Roman;sans-serif" w:hAnsi="Times New Roman;sans-serif"/>
                  <w:b w:val="false"/>
                  <w:color w:val="000080"/>
                  <w:sz w:val="20"/>
                  <w:u w:val="single"/>
                </w:rPr>
                <w:t xml:space="preserve">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33">
              <w:r>
                <w:rPr>
                  <w:rStyle w:val="InternetLink"/>
                  <w:rFonts w:ascii="Times New Roman;sans-serif" w:hAnsi="Times New Roman;sans-serif"/>
                  <w:b w:val="false"/>
                  <w:color w:val="0000FF"/>
                  <w:sz w:val="20"/>
                  <w:u w:val="single"/>
                </w:rPr>
                <w:t>72</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36">
              <w:r>
                <w:rPr>
                  <w:rStyle w:val="InternetLink"/>
                  <w:rFonts w:ascii="Times New Roman;sans-serif" w:hAnsi="Times New Roman;sans-serif"/>
                  <w:b w:val="false"/>
                  <w:color w:val="0000FF"/>
                  <w:sz w:val="20"/>
                  <w:u w:val="single"/>
                </w:rPr>
                <w:t>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36">
              <w:r>
                <w:rPr>
                  <w:rStyle w:val="InternetLink"/>
                  <w:rFonts w:ascii="Times New Roman;sans-serif" w:hAnsi="Times New Roman;sans-serif"/>
                  <w:b w:val="false"/>
                  <w:color w:val="0000FF"/>
                  <w:sz w:val="20"/>
                  <w:u w:val="single"/>
                </w:rPr>
                <w:t>73</w:t>
              </w:r>
            </w:hyperlink>
          </w:p>
        </w:tc>
      </w:tr>
      <w:tr>
        <w:trPr/>
        <w:tc>
          <w:tcPr>
            <w:tcW w:w="5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left"/>
              <w:rPr/>
            </w:pPr>
            <w:hyperlink w:anchor="i29c07625a5e743748e3fcbf777f29f13_139">
              <w:r>
                <w:rPr>
                  <w:rStyle w:val="InternetLink"/>
                  <w:rFonts w:ascii="Times New Roman;sans-serif" w:hAnsi="Times New Roman;sans-serif"/>
                  <w:b w:val="false"/>
                  <w:color w:val="0000FF"/>
                  <w:sz w:val="20"/>
                  <w:u w:val="single"/>
                </w:rPr>
                <w:t>Notes to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345" w:before="0" w:after="0"/>
              <w:jc w:val="right"/>
              <w:rPr/>
            </w:pPr>
            <w:hyperlink w:anchor="i29c07625a5e743748e3fcbf777f29f13_139">
              <w:r>
                <w:rPr>
                  <w:rStyle w:val="InternetLink"/>
                  <w:rFonts w:ascii="Times New Roman;sans-serif" w:hAnsi="Times New Roman;sans-serif"/>
                  <w:b w:val="false"/>
                  <w:color w:val="0000FF"/>
                  <w:sz w:val="20"/>
                  <w:u w:val="single"/>
                </w:rPr>
                <w:t>74</w:t>
              </w:r>
            </w:hyperlink>
          </w:p>
        </w:tc>
      </w:tr>
    </w:tbl>
    <w:p>
      <w:pPr>
        <w:pStyle w:val="TextBody"/>
        <w:bidi w:val="0"/>
        <w:spacing w:lineRule="auto" w:line="288" w:before="300" w:after="283"/>
        <w:ind w:left="0" w:right="0" w:firstLine="495"/>
        <w:jc w:val="left"/>
        <w:rPr>
          <w:rFonts w:ascii="Times New Roman;sans-serif" w:hAnsi="Times New Roman;sans-serif"/>
          <w:b/>
          <w:color w:val="000000"/>
          <w:sz w:val="20"/>
        </w:rPr>
      </w:pPr>
      <w:r>
        <w:rPr>
          <w:rFonts w:ascii="Times New Roman;sans-serif" w:hAnsi="Times New Roman;sans-serif"/>
          <w:b/>
          <w:color w:val="000000"/>
          <w:sz w:val="20"/>
        </w:rPr>
        <w:t>2. Consolidated Financial Statement Schedules</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Financial Statement Schedules not listed have been omitted because the information required to be set forth herein is included in ITEM 8 — Financial Statements and Supplementary Data or they are not applicable or are not required. </w:t>
      </w:r>
    </w:p>
    <w:p>
      <w:pPr>
        <w:pStyle w:val="TextBody"/>
        <w:bidi w:val="0"/>
        <w:spacing w:lineRule="auto" w:line="288" w:before="300" w:after="283"/>
        <w:jc w:val="left"/>
        <w:rPr>
          <w:rFonts w:ascii="Times New Roman;sans-serif" w:hAnsi="Times New Roman;sans-serif"/>
          <w:b/>
          <w:color w:val="000000"/>
          <w:sz w:val="20"/>
        </w:rPr>
      </w:pPr>
      <w:r>
        <w:rPr>
          <w:rFonts w:ascii="Times New Roman;sans-serif" w:hAnsi="Times New Roman;sans-serif"/>
          <w:b/>
          <w:color w:val="000000"/>
          <w:sz w:val="20"/>
        </w:rPr>
        <w:t xml:space="preserve">3. Exhibits. </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exhibits are filed with or incorporated by reference in this report. Where such filing is made by incorporation by reference to a previously filed registration statement or report, such registration statement or report is identified in parentheses. </w:t>
      </w:r>
    </w:p>
    <w:tbl>
      <w:tblPr>
        <w:tblW w:w="10205" w:type="dxa"/>
        <w:jc w:val="left"/>
        <w:tblInd w:w="0" w:type="dxa"/>
        <w:tblLayout w:type="fixed"/>
        <w:tblCellMar>
          <w:top w:w="28" w:type="dxa"/>
          <w:left w:w="28" w:type="dxa"/>
          <w:bottom w:w="28" w:type="dxa"/>
          <w:right w:w="28" w:type="dxa"/>
        </w:tblCellMar>
      </w:tblPr>
      <w:tblGrid>
        <w:gridCol w:w="320"/>
        <w:gridCol w:w="282"/>
        <w:gridCol w:w="284"/>
        <w:gridCol w:w="119"/>
        <w:gridCol w:w="119"/>
        <w:gridCol w:w="119"/>
        <w:gridCol w:w="2708"/>
        <w:gridCol w:w="2575"/>
        <w:gridCol w:w="3679"/>
      </w:tblGrid>
      <w:tr>
        <w:trPr/>
        <w:tc>
          <w:tcPr>
            <w:tcW w:w="320"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708" w:type="dxa"/>
            <w:tcBorders/>
            <w:vAlign w:val="center"/>
          </w:tcPr>
          <w:p>
            <w:pPr>
              <w:pStyle w:val="TableContents"/>
              <w:bidi w:val="0"/>
              <w:spacing w:before="0" w:after="283"/>
              <w:jc w:val="left"/>
              <w:rPr>
                <w:sz w:val="4"/>
                <w:szCs w:val="4"/>
              </w:rPr>
            </w:pPr>
            <w:r>
              <w:rPr>
                <w:sz w:val="4"/>
                <w:szCs w:val="4"/>
              </w:rPr>
            </w:r>
          </w:p>
        </w:tc>
        <w:tc>
          <w:tcPr>
            <w:tcW w:w="2575" w:type="dxa"/>
            <w:tcBorders/>
            <w:vAlign w:val="center"/>
          </w:tcPr>
          <w:p>
            <w:pPr>
              <w:pStyle w:val="TableContents"/>
              <w:bidi w:val="0"/>
              <w:spacing w:before="0" w:after="283"/>
              <w:jc w:val="left"/>
              <w:rPr>
                <w:sz w:val="4"/>
                <w:szCs w:val="4"/>
              </w:rPr>
            </w:pPr>
            <w:r>
              <w:rPr>
                <w:sz w:val="4"/>
                <w:szCs w:val="4"/>
              </w:rPr>
            </w:r>
          </w:p>
        </w:tc>
        <w:tc>
          <w:tcPr>
            <w:tcW w:w="367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3.1</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ans-serif" w:hAnsi="Times New Roman;sans-serif"/>
                  <w:b w:val="false"/>
                  <w:color w:val="000080"/>
                  <w:sz w:val="20"/>
                </w:rPr>
                <w:t>Amended and Restated Certificate of Incorporation of Five9, Inc</w:t>
              </w:r>
            </w:hyperlink>
            <w:r>
              <w:rPr>
                <w:rFonts w:ascii="Times New Roman;sans-serif" w:hAnsi="Times New Roman;sans-serif"/>
                <w:b w:val="false"/>
                <w:color w:val="000000"/>
                <w:sz w:val="20"/>
              </w:rPr>
              <w:t>. (filed as Exhibit 3.2 to the Company’s Current Report on Form 8-K filed with the SEC on April 10, 2014 (File No. 001-36383) and incorporated by reference herein).</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3.2</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ans-serif" w:hAnsi="Times New Roman;sans-serif"/>
                  <w:b w:val="false"/>
                  <w:color w:val="000080"/>
                  <w:sz w:val="20"/>
                </w:rPr>
                <w:t>Amended and Restated Bylaws of Five9, Inc</w:t>
              </w:r>
            </w:hyperlink>
            <w:hyperlink r:id="rId6">
              <w:r>
                <w:rPr>
                  <w:rStyle w:val="InternetLink"/>
                  <w:rFonts w:ascii="Times New Roman;sans-serif" w:hAnsi="Times New Roman;sans-serif"/>
                  <w:b w:val="false"/>
                  <w:color w:val="000080"/>
                  <w:sz w:val="20"/>
                </w:rPr>
                <w:t>.</w:t>
              </w:r>
            </w:hyperlink>
            <w:r>
              <w:rPr>
                <w:rFonts w:ascii="Times New Roman;sans-serif" w:hAnsi="Times New Roman;sans-serif"/>
                <w:b w:val="false"/>
                <w:color w:val="000000"/>
                <w:sz w:val="20"/>
              </w:rPr>
              <w:t xml:space="preserve"> (filed as Exhibit 3.1 to the Company’s Quarterly Report on Form 10-Q filed with the SEC on November 2, 2023 (File No. 001-36383) and incorporated by reference herein).</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4.1</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Form of Common Stock Certificate</w:t>
              </w:r>
            </w:hyperlink>
            <w:r>
              <w:rPr>
                <w:color w:val="000000"/>
              </w:rPr>
              <w:t xml:space="preserve"> </w:t>
            </w:r>
            <w:r>
              <w:rPr>
                <w:rFonts w:ascii="Times New Roman;sans-serif" w:hAnsi="Times New Roman;sans-serif"/>
                <w:b w:val="false"/>
                <w:color w:val="000000"/>
                <w:sz w:val="20"/>
              </w:rPr>
              <w:t>(filed as Exhibit 4.1 to Amendment No.1 to the Company’s Registration Statement on Form S-1 filed with the SEC on March 24, 2014 (File No. 333-194258) and incorporated by reference herein).</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4.2</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ans-serif" w:hAnsi="Times New Roman;sans-serif"/>
                  <w:b w:val="false"/>
                  <w:color w:val="000080"/>
                  <w:sz w:val="20"/>
                  <w:u w:val="single"/>
                </w:rPr>
                <w:t>Description of Registrant</w:t>
              </w:r>
            </w:hyperlink>
            <w:hyperlink r:id="rId9">
              <w:r>
                <w:rPr>
                  <w:rStyle w:val="InternetLink"/>
                  <w:rFonts w:ascii="Times New Roman;sans-serif" w:hAnsi="Times New Roman;sans-serif"/>
                  <w:b w:val="false"/>
                  <w:color w:val="000080"/>
                  <w:sz w:val="20"/>
                  <w:u w:val="single"/>
                </w:rPr>
                <w:t>’</w:t>
              </w:r>
            </w:hyperlink>
            <w:hyperlink r:id="rId10">
              <w:r>
                <w:rPr>
                  <w:rStyle w:val="InternetLink"/>
                  <w:rFonts w:ascii="Times New Roman;sans-serif" w:hAnsi="Times New Roman;sans-serif"/>
                  <w:b w:val="false"/>
                  <w:color w:val="000080"/>
                  <w:sz w:val="20"/>
                  <w:u w:val="single"/>
                </w:rPr>
                <w:t xml:space="preserve">s Securities. </w:t>
              </w:r>
            </w:hyperlink>
            <w:r>
              <w:rPr>
                <w:rFonts w:ascii="Times New Roman;sans-serif" w:hAnsi="Times New Roman;sans-serif"/>
                <w:b w:val="false"/>
                <w:color w:val="000000"/>
                <w:sz w:val="20"/>
              </w:rPr>
              <w:t>(filed as Exhibit 4.4 to the Company’s Annual Report on Form 10-K filed with the SEC on February 27, 2020 (File No. 001-36383) and incorporated by reference herein).</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4.3</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 xml:space="preserve">Indenture, dated as of May 27, 2020, between Five 9, Inc. and U.S. Bank National Association, as trustee </w:t>
              </w:r>
            </w:hyperlink>
            <w:r>
              <w:rPr>
                <w:rFonts w:ascii="Times New Roman;sans-serif" w:hAnsi="Times New Roman;sans-serif"/>
                <w:b w:val="false"/>
                <w:color w:val="000000"/>
                <w:sz w:val="20"/>
              </w:rPr>
              <w:t xml:space="preserve">(filed as Exhibit 4.1 to the Company's Current Report on Form 8-K filed with the SEC on May 28, 2020 (File No. 001-36383) and incorporated by reference herein).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Times New Roman;sans-serif" w:hAnsi="Times New Roman;sans-serif"/>
                <w:b w:val="false"/>
                <w:color w:val="000000"/>
                <w:sz w:val="20"/>
              </w:rPr>
              <w:t>4.6</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ans-serif" w:hAnsi="Times New Roman;sans-serif"/>
                  <w:b w:val="false"/>
                  <w:color w:val="0000FF"/>
                  <w:sz w:val="20"/>
                  <w:u w:val="single"/>
                </w:rPr>
                <w:t>Form of 0.500% Convertible Senior Notes due 2025 (filed as Exhibit 4.2 to the Company's Current Report on Form 8-K filed with the SEC on May 28, 2020</w:t>
              </w:r>
            </w:hyperlink>
            <w:r>
              <w:rPr>
                <w:color w:val="000000"/>
              </w:rPr>
              <w:t xml:space="preserve"> </w:t>
            </w:r>
            <w:r>
              <w:rPr>
                <w:rFonts w:ascii="Times New Roman;sans-serif" w:hAnsi="Times New Roman;sans-serif"/>
                <w:b w:val="false"/>
                <w:color w:val="000000"/>
                <w:sz w:val="20"/>
              </w:rPr>
              <w:t xml:space="preserve">(File No. 001-36383) and incorporated by reference herein). </w:t>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6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Form of Indemnification Agreement between the Registrant and each of its directors and executive officers, as amended on July 31, 2015</w:t>
              </w:r>
            </w:hyperlink>
            <w:r>
              <w:rPr>
                <w:color w:val="000000"/>
              </w:rPr>
              <w:t xml:space="preserve"> </w:t>
            </w:r>
            <w:r>
              <w:rPr>
                <w:rFonts w:ascii="Times New Roman;sans-serif" w:hAnsi="Times New Roman;sans-serif"/>
                <w:b w:val="false"/>
                <w:color w:val="000000"/>
                <w:sz w:val="20"/>
              </w:rPr>
              <w:t>(filed as Exhibit 10.1 to the Company’s Quarterly Report on Form 10-Q filed with the SEC on August 5, 2015 (File No. 001-36383) and incorporated by reference herein).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11"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108</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28"/>
        <w:gridCol w:w="280"/>
        <w:gridCol w:w="281"/>
        <w:gridCol w:w="119"/>
        <w:gridCol w:w="119"/>
        <w:gridCol w:w="119"/>
        <w:gridCol w:w="2838"/>
        <w:gridCol w:w="2515"/>
        <w:gridCol w:w="3606"/>
      </w:tblGrid>
      <w:tr>
        <w:trPr/>
        <w:tc>
          <w:tcPr>
            <w:tcW w:w="328"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838" w:type="dxa"/>
            <w:tcBorders/>
            <w:vAlign w:val="center"/>
          </w:tcPr>
          <w:p>
            <w:pPr>
              <w:pStyle w:val="TableContents"/>
              <w:bidi w:val="0"/>
              <w:spacing w:before="0" w:after="283"/>
              <w:jc w:val="left"/>
              <w:rPr>
                <w:sz w:val="4"/>
                <w:szCs w:val="4"/>
              </w:rPr>
            </w:pPr>
            <w:r>
              <w:rPr>
                <w:sz w:val="4"/>
                <w:szCs w:val="4"/>
              </w:rPr>
            </w:r>
          </w:p>
        </w:tc>
        <w:tc>
          <w:tcPr>
            <w:tcW w:w="2515" w:type="dxa"/>
            <w:tcBorders/>
            <w:vAlign w:val="center"/>
          </w:tcPr>
          <w:p>
            <w:pPr>
              <w:pStyle w:val="TableContents"/>
              <w:bidi w:val="0"/>
              <w:spacing w:before="0" w:after="283"/>
              <w:jc w:val="left"/>
              <w:rPr>
                <w:sz w:val="4"/>
                <w:szCs w:val="4"/>
              </w:rPr>
            </w:pPr>
            <w:r>
              <w:rPr>
                <w:sz w:val="4"/>
                <w:szCs w:val="4"/>
              </w:rPr>
            </w:r>
          </w:p>
        </w:tc>
        <w:tc>
          <w:tcPr>
            <w:tcW w:w="360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88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10.2+</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ans-serif" w:hAnsi="Times New Roman;sans-serif"/>
                  <w:b w:val="false"/>
                  <w:color w:val="0000FF"/>
                  <w:sz w:val="20"/>
                  <w:u w:val="single"/>
                </w:rPr>
                <w:t>Confirmation Letter between the Registrant and Barry Zwarenstein</w:t>
              </w:r>
            </w:hyperlink>
            <w:r>
              <w:rPr>
                <w:color w:val="000000"/>
              </w:rPr>
              <w:t xml:space="preserve"> </w:t>
            </w:r>
            <w:r>
              <w:rPr>
                <w:rFonts w:ascii="Times New Roman;sans-serif" w:hAnsi="Times New Roman;sans-serif"/>
                <w:b w:val="false"/>
                <w:color w:val="000000"/>
                <w:sz w:val="20"/>
              </w:rPr>
              <w:t>(filed as Exhibit 10.3 to the Company’s Registration Statement on Form S-1 filed with the SEC on March 3, 2014 (File No. 333-194258)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10.3+</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Offer Letter between the Registrant and Dan Burkland and amendment</w:t>
              </w:r>
            </w:hyperlink>
            <w:r>
              <w:rPr>
                <w:color w:val="000000"/>
              </w:rPr>
              <w:t xml:space="preserve"> </w:t>
            </w:r>
            <w:r>
              <w:rPr>
                <w:rFonts w:ascii="Times New Roman;sans-serif" w:hAnsi="Times New Roman;sans-serif"/>
                <w:b w:val="false"/>
                <w:color w:val="000000"/>
                <w:sz w:val="20"/>
              </w:rPr>
              <w:t>(filed as Exhibit 10.4 to the Company’s Registration Statement on Form S-1 filed with the SEC on March 3, 2014 (File No. 333-194258)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10.4+</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ans-serif" w:hAnsi="Times New Roman;sans-serif"/>
                  <w:b w:val="false"/>
                  <w:color w:val="0000FF"/>
                  <w:sz w:val="20"/>
                  <w:u w:val="single"/>
                </w:rPr>
                <w:t>Offer Letter between the Registrant and Michael Burkland</w:t>
              </w:r>
            </w:hyperlink>
            <w:r>
              <w:rPr>
                <w:color w:val="000000"/>
              </w:rPr>
              <w:t xml:space="preserve"> </w:t>
            </w:r>
            <w:r>
              <w:rPr>
                <w:rFonts w:ascii="Times New Roman;sans-serif" w:hAnsi="Times New Roman;sans-serif"/>
                <w:b w:val="false"/>
                <w:color w:val="000000"/>
                <w:sz w:val="20"/>
              </w:rPr>
              <w:t>(filed as Exhibit 10.1 to the Company’s Current Report on Form 8-K filed with the SEC on October 11, 2022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10.5+</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ans-serif" w:hAnsi="Times New Roman;sans-serif"/>
                  <w:b w:val="false"/>
                  <w:color w:val="0000FF"/>
                  <w:sz w:val="20"/>
                  <w:u w:val="single"/>
                </w:rPr>
                <w:t>Five9, Inc. Amended and Restated 2004 Equity Incentive Plan</w:t>
              </w:r>
            </w:hyperlink>
            <w:r>
              <w:rPr>
                <w:color w:val="000000"/>
              </w:rPr>
              <w:t xml:space="preserve"> </w:t>
            </w:r>
            <w:r>
              <w:rPr>
                <w:rFonts w:ascii="Times New Roman;sans-serif" w:hAnsi="Times New Roman;sans-serif"/>
                <w:b w:val="false"/>
                <w:color w:val="000000"/>
                <w:sz w:val="20"/>
              </w:rPr>
              <w:t>(filed as Exhibit 10.8 to Amendment No.2 to the Company’s Registration Statement on Form S-1 filed with the SEC on April 3, 2014 (File No. 333-194258)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10.6+</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ans-serif" w:hAnsi="Times New Roman;sans-serif"/>
                  <w:b w:val="false"/>
                  <w:color w:val="0000FF"/>
                  <w:sz w:val="20"/>
                  <w:u w:val="single"/>
                </w:rPr>
                <w:t>Amendment to Five9, Inc. Amended and Restated 2004 Equity Incentive Plan, effective March 6, 2014</w:t>
              </w:r>
            </w:hyperlink>
            <w:r>
              <w:rPr>
                <w:color w:val="000000"/>
              </w:rPr>
              <w:t xml:space="preserve"> </w:t>
            </w:r>
            <w:r>
              <w:rPr>
                <w:rFonts w:ascii="Times New Roman;sans-serif" w:hAnsi="Times New Roman;sans-serif"/>
                <w:b w:val="false"/>
                <w:color w:val="000000"/>
                <w:sz w:val="20"/>
              </w:rPr>
              <w:t>(filed as Exhibit 10.2 to the Company’s Quarterly Report on Form 10-Q filed with the SEC on May 14, 2014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10.7+</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ans-serif" w:hAnsi="Times New Roman;sans-serif"/>
                  <w:b w:val="false"/>
                  <w:color w:val="0000FF"/>
                  <w:sz w:val="20"/>
                  <w:u w:val="single"/>
                </w:rPr>
                <w:t>Five9, Inc. 2014 Equity Incentive Plan and related form agreements</w:t>
              </w:r>
            </w:hyperlink>
            <w:r>
              <w:rPr>
                <w:color w:val="000000"/>
              </w:rPr>
              <w:t xml:space="preserve"> </w:t>
            </w:r>
            <w:r>
              <w:rPr>
                <w:rFonts w:ascii="Times New Roman;sans-serif" w:hAnsi="Times New Roman;sans-serif"/>
                <w:b w:val="false"/>
                <w:color w:val="000000"/>
                <w:sz w:val="20"/>
              </w:rPr>
              <w:t>(filed as Exhibit 10.9 to Amendment No.1 to the Company’s Registration Statement on Form S-1 filed with the SEC on March 24, 2014 (File No. 333-194258)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10.8+</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ans-serif" w:hAnsi="Times New Roman;sans-serif"/>
                  <w:b w:val="false"/>
                  <w:color w:val="0000FF"/>
                  <w:sz w:val="20"/>
                  <w:u w:val="single"/>
                </w:rPr>
                <w:t xml:space="preserve">Inference Technologies Group Inc. 2018 Equity Incentive Plan </w:t>
              </w:r>
            </w:hyperlink>
            <w:r>
              <w:rPr>
                <w:rFonts w:ascii="Times New Roman;sans-serif" w:hAnsi="Times New Roman;sans-serif"/>
                <w:b w:val="false"/>
                <w:color w:val="000000"/>
                <w:sz w:val="20"/>
              </w:rPr>
              <w:t>(filed as Exhibit 4.3 to the Company’s Form S-8 filed with the SEC on November 19, 2020 (File No. 333-250197)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10.9+</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ans-serif" w:hAnsi="Times New Roman;sans-serif"/>
                  <w:b w:val="false"/>
                  <w:color w:val="0000FF"/>
                  <w:sz w:val="20"/>
                  <w:u w:val="single"/>
                </w:rPr>
                <w:t>Five9, Inc. 2014 Employee Stock Purchase Plan</w:t>
              </w:r>
            </w:hyperlink>
            <w:r>
              <w:rPr>
                <w:color w:val="000000"/>
              </w:rPr>
              <w:t xml:space="preserve"> </w:t>
            </w:r>
            <w:r>
              <w:rPr>
                <w:rFonts w:ascii="Times New Roman;sans-serif" w:hAnsi="Times New Roman;sans-serif"/>
                <w:b w:val="false"/>
                <w:color w:val="000000"/>
                <w:sz w:val="20"/>
              </w:rPr>
              <w:t>(filed as Exhibit 10.10 to Amendment No.1 to the Company’s Registration Statement on Form S-1 filed with the SEC on March 24, 2014 (File No. 333-194258)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10.10+</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ans-serif" w:hAnsi="Times New Roman;sans-serif"/>
                  <w:b w:val="false"/>
                  <w:color w:val="0000FF"/>
                  <w:sz w:val="20"/>
                  <w:u w:val="single"/>
                </w:rPr>
                <w:t>Five9, Inc. 2019 Key Employee Severance Benefit Plan</w:t>
              </w:r>
            </w:hyperlink>
            <w:r>
              <w:rPr>
                <w:color w:val="000000"/>
              </w:rPr>
              <w:t xml:space="preserve"> </w:t>
            </w:r>
            <w:r>
              <w:rPr>
                <w:rFonts w:ascii="Times New Roman;sans-serif" w:hAnsi="Times New Roman;sans-serif"/>
                <w:b w:val="false"/>
                <w:color w:val="000000"/>
                <w:sz w:val="20"/>
              </w:rPr>
              <w:t>(filed as Exhibit 10.1 to the Company’s Current Report Form 8-K filed with the SEC on April 9, 2019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10.11+</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3">
              <w:r>
                <w:rPr>
                  <w:rStyle w:val="InternetLink"/>
                  <w:rFonts w:ascii="Times New Roman;sans-serif" w:hAnsi="Times New Roman;sans-serif"/>
                  <w:b w:val="false"/>
                  <w:color w:val="0000FF"/>
                  <w:sz w:val="20"/>
                  <w:u w:val="single"/>
                </w:rPr>
                <w:t xml:space="preserve">Five9 Inc. Executive Incentive Compensation Plan </w:t>
              </w:r>
            </w:hyperlink>
            <w:r>
              <w:rPr>
                <w:rFonts w:ascii="Times New Roman;sans-serif" w:hAnsi="Times New Roman;sans-serif"/>
                <w:b w:val="false"/>
                <w:color w:val="000000"/>
                <w:sz w:val="20"/>
              </w:rPr>
              <w:t>(filed as Exhibit 10.1 to the Company’s Current Report on Form 8-K filed with the SEC on February 18, 2021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10.12+</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ans-serif" w:hAnsi="Times New Roman;sans-serif"/>
                  <w:b w:val="false"/>
                  <w:color w:val="0000FF"/>
                  <w:sz w:val="20"/>
                  <w:u w:val="single"/>
                </w:rPr>
                <w:t>Five9 Inc. Non-Employee Director Compensation Policy</w:t>
              </w:r>
            </w:hyperlink>
            <w:r>
              <w:rPr>
                <w:color w:val="000000"/>
              </w:rPr>
              <w:t xml:space="preserve"> </w:t>
            </w:r>
            <w:r>
              <w:rPr>
                <w:rFonts w:ascii="Times New Roman;sans-serif" w:hAnsi="Times New Roman;sans-serif"/>
                <w:b w:val="false"/>
                <w:color w:val="000000"/>
                <w:sz w:val="20"/>
              </w:rPr>
              <w:t>(filed as Exhibit 10.13 to the Company’s Annual Report on Form 10-K filed with the SEC on February 24, 2023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10.13</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ans-serif" w:hAnsi="Times New Roman;sans-serif"/>
                  <w:b w:val="false"/>
                  <w:color w:val="0000FF"/>
                  <w:sz w:val="20"/>
                  <w:u w:val="single"/>
                </w:rPr>
                <w:t>Form of Capped Call Confirmation</w:t>
              </w:r>
            </w:hyperlink>
            <w:r>
              <w:rPr>
                <w:color w:val="000000"/>
              </w:rPr>
              <w:t xml:space="preserve"> </w:t>
            </w:r>
            <w:r>
              <w:rPr>
                <w:rFonts w:ascii="Times New Roman;sans-serif" w:hAnsi="Times New Roman;sans-serif"/>
                <w:b w:val="false"/>
                <w:color w:val="000000"/>
                <w:sz w:val="20"/>
              </w:rPr>
              <w:t>(filed as Exhibit 10.1 to the Company's Current Report on Form 8-K filed with the SEC on May 28, 2020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10.14</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ans-serif" w:hAnsi="Times New Roman;sans-serif"/>
                  <w:b w:val="false"/>
                  <w:color w:val="0000FF"/>
                  <w:sz w:val="20"/>
                  <w:u w:val="single"/>
                </w:rPr>
                <w:t xml:space="preserve">Bishop Ranch Building Lease, dated July 29, 2020, between the Registrant and 2600 CR, LLC </w:t>
              </w:r>
            </w:hyperlink>
            <w:r>
              <w:rPr>
                <w:rFonts w:ascii="Times New Roman;sans-serif" w:hAnsi="Times New Roman;sans-serif"/>
                <w:b w:val="false"/>
                <w:color w:val="000000"/>
                <w:sz w:val="20"/>
              </w:rPr>
              <w:t xml:space="preserve">(filed as Exhibit 10.1 to the Company's Current Report on Form 8-K filed with the SEC on August 3, 2020 (File No. 001-36383) and incorporated by reference herein). </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10.15+</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ans-serif" w:hAnsi="Times New Roman;sans-serif"/>
                  <w:b w:val="false"/>
                  <w:color w:val="0000FF"/>
                  <w:sz w:val="20"/>
                  <w:u w:val="single"/>
                </w:rPr>
                <w:t>Five9 Inc. Performance-Based Restricted Stock Unit Grant Notice and Award Agreement - 2014 Equity Incentive Plan</w:t>
              </w:r>
            </w:hyperlink>
            <w:r>
              <w:rPr>
                <w:color w:val="000000"/>
              </w:rPr>
              <w:t xml:space="preserve"> </w:t>
            </w:r>
            <w:r>
              <w:rPr>
                <w:rFonts w:ascii="Times New Roman;sans-serif" w:hAnsi="Times New Roman;sans-serif"/>
                <w:b w:val="false"/>
                <w:color w:val="000000"/>
                <w:sz w:val="20"/>
              </w:rPr>
              <w:t>(filed as Exhibit 10.19 to the Company’s Annual Report on Form 10-K filed with the SEC on February 28, 2022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10.16+</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ans-serif" w:hAnsi="Times New Roman;sans-serif"/>
                  <w:b w:val="false"/>
                  <w:color w:val="0000FF"/>
                  <w:sz w:val="20"/>
                  <w:u w:val="single"/>
                </w:rPr>
                <w:t>Form of Five9 Inc. Restricted Stock Unit Grant Notice and Award Agreement - 2014 Equity Incentive Plan</w:t>
              </w:r>
            </w:hyperlink>
            <w:r>
              <w:rPr>
                <w:color w:val="000000"/>
              </w:rPr>
              <w:t xml:space="preserve"> </w:t>
            </w:r>
            <w:r>
              <w:rPr>
                <w:rFonts w:ascii="Times New Roman;sans-serif" w:hAnsi="Times New Roman;sans-serif"/>
                <w:b w:val="false"/>
                <w:color w:val="000000"/>
                <w:sz w:val="20"/>
              </w:rPr>
              <w:t>(filed as Exhibit 10.20 to the Company’s Annual Report on Form 10-K filed with the SEC on February 28, 2022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10.17+</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ans-serif" w:hAnsi="Times New Roman;sans-serif"/>
                  <w:b w:val="false"/>
                  <w:color w:val="0000FF"/>
                  <w:sz w:val="20"/>
                  <w:u w:val="single"/>
                </w:rPr>
                <w:t>Form of Five9 Inc. Stock Option Grant Notice and Award Agreement - 2014 Equity Incentive Plan</w:t>
              </w:r>
            </w:hyperlink>
            <w:r>
              <w:rPr>
                <w:color w:val="000000"/>
              </w:rPr>
              <w:t xml:space="preserve"> </w:t>
            </w:r>
            <w:r>
              <w:rPr>
                <w:rFonts w:ascii="Times New Roman;sans-serif" w:hAnsi="Times New Roman;sans-serif"/>
                <w:b w:val="false"/>
                <w:color w:val="000000"/>
                <w:sz w:val="20"/>
              </w:rPr>
              <w:t>(filed as Exhibit 10.21 to the Company’s Annual Report on Form 10-K filed with the SEC on February 28, 2022 (File No. 001-36383) and incorporated by reference herein).</w:t>
            </w:r>
          </w:p>
        </w:tc>
      </w:tr>
      <w:tr>
        <w:trPr/>
        <w:tc>
          <w:tcPr>
            <w:tcW w:w="88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10.18+</w:t>
            </w:r>
            <w:r>
              <w:rPr>
                <w:rFonts w:ascii="Wingdings 2;sans-serif" w:hAnsi="Wingdings 2;sans-serif"/>
                <w:b w:val="false"/>
                <w:color w:val="000000"/>
                <w:sz w:val="16"/>
              </w:rPr>
              <w:t>Ø</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ans-serif" w:hAnsi="Times New Roman;sans-serif"/>
                  <w:b w:val="false"/>
                  <w:color w:val="0000FF"/>
                  <w:sz w:val="20"/>
                  <w:u w:val="single"/>
                </w:rPr>
                <w:t>Five9, Inc. Form of Performance-Based Restricted Stock Unit Grant Notice and Award Agreement (Revenue Goals) - 2014 Equity Incentive Plan</w:t>
              </w:r>
            </w:hyperlink>
            <w:r>
              <w:rPr>
                <w:color w:val="000000"/>
              </w:rPr>
              <w:t xml:space="preserve"> </w:t>
            </w:r>
            <w:r>
              <w:rPr>
                <w:rFonts w:ascii="Times New Roman;sans-serif" w:hAnsi="Times New Roman;sans-serif"/>
                <w:b w:val="false"/>
                <w:color w:val="000000"/>
                <w:sz w:val="20"/>
              </w:rPr>
              <w:t>(filed as Exhibit 10.1 to the Company’s Quarterly Report on Form 10-Q filed with the SEC on July 28, 2022 (File No. 001-36383) and incorporated by reference herein).</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12"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109</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15"/>
        <w:gridCol w:w="278"/>
        <w:gridCol w:w="279"/>
        <w:gridCol w:w="118"/>
        <w:gridCol w:w="118"/>
        <w:gridCol w:w="118"/>
        <w:gridCol w:w="2617"/>
        <w:gridCol w:w="2617"/>
        <w:gridCol w:w="3745"/>
      </w:tblGrid>
      <w:tr>
        <w:trPr/>
        <w:tc>
          <w:tcPr>
            <w:tcW w:w="315"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2617" w:type="dxa"/>
            <w:tcBorders/>
            <w:vAlign w:val="center"/>
          </w:tcPr>
          <w:p>
            <w:pPr>
              <w:pStyle w:val="TableContents"/>
              <w:bidi w:val="0"/>
              <w:spacing w:before="0" w:after="283"/>
              <w:jc w:val="left"/>
              <w:rPr>
                <w:sz w:val="4"/>
                <w:szCs w:val="4"/>
              </w:rPr>
            </w:pPr>
            <w:r>
              <w:rPr>
                <w:sz w:val="4"/>
                <w:szCs w:val="4"/>
              </w:rPr>
            </w:r>
          </w:p>
        </w:tc>
        <w:tc>
          <w:tcPr>
            <w:tcW w:w="374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Exhibit Index </w:t>
            </w:r>
          </w:p>
        </w:tc>
      </w:tr>
      <w:tr>
        <w:trPr/>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10.19+</w:t>
            </w:r>
            <w:r>
              <w:rPr>
                <w:rFonts w:ascii="Wingdings 2;sans-serif" w:hAnsi="Wingdings 2;sans-serif"/>
                <w:b w:val="false"/>
                <w:color w:val="000000"/>
                <w:sz w:val="16"/>
              </w:rPr>
              <w:t>Ø</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ans-serif" w:hAnsi="Times New Roman;sans-serif"/>
                  <w:b w:val="false"/>
                  <w:color w:val="0000FF"/>
                  <w:sz w:val="20"/>
                  <w:u w:val="single"/>
                </w:rPr>
                <w:t>Five9, Inc. Performance-Based Restricted Stock Unit Grant Notice and Award Agreement for 2023-2025 Performance Period - 2014 Equity Incentive Plan</w:t>
              </w:r>
            </w:hyperlink>
            <w:r>
              <w:rPr>
                <w:color w:val="000000"/>
              </w:rPr>
              <w:t xml:space="preserve"> </w:t>
            </w:r>
            <w:r>
              <w:rPr>
                <w:rFonts w:ascii="Times New Roman;sans-serif" w:hAnsi="Times New Roman;sans-serif"/>
                <w:b w:val="false"/>
                <w:color w:val="000000"/>
                <w:sz w:val="20"/>
              </w:rPr>
              <w:t>(filed as Exhibit 10.21 to the Company’s Annual Report on Form 10-K filed with the SEC on February 24, 2023 (File No. 001-36383) and incorporated by reference herein).</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10.20+</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five9-prsunoticeandaward.htm">
              <w:r>
                <w:rPr>
                  <w:rStyle w:val="InternetLink"/>
                  <w:rFonts w:ascii="Times New Roman;sans-serif" w:hAnsi="Times New Roman;sans-serif"/>
                  <w:b w:val="false"/>
                  <w:color w:val="0000FF"/>
                  <w:sz w:val="20"/>
                  <w:u w:val="single"/>
                </w:rPr>
                <w:t>Five9, Inc. Performance-Based Restricted Stock Unit Grant Notice and Award Agreement for 2024-2026 Performance Period - 2014 Equity Incentive Plan</w:t>
              </w:r>
            </w:hyperlink>
            <w:r>
              <w:rPr>
                <w:color w:val="000000"/>
              </w:rPr>
              <w:t xml:space="preserve"> </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21.1</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3exhibit211.htm">
              <w:r>
                <w:rPr>
                  <w:rStyle w:val="InternetLink"/>
                  <w:rFonts w:ascii="Times New Roman;sans-serif" w:hAnsi="Times New Roman;sans-serif"/>
                  <w:b w:val="false"/>
                  <w:color w:val="0000FF"/>
                  <w:sz w:val="20"/>
                  <w:u w:val="single"/>
                </w:rPr>
                <w:t>Subsidiaries of the Company.</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23.1</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3exhibit231.htm">
              <w:r>
                <w:rPr>
                  <w:rStyle w:val="InternetLink"/>
                  <w:rFonts w:ascii="Times New Roman;sans-serif" w:hAnsi="Times New Roman;sans-serif"/>
                  <w:b w:val="false"/>
                  <w:color w:val="0000FF"/>
                  <w:sz w:val="20"/>
                  <w:u w:val="single"/>
                </w:rPr>
                <w:t>Consent of KPMG LLP, independent registered public accounting firm.</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24.1</w:t>
            </w:r>
          </w:p>
        </w:tc>
        <w:tc>
          <w:tcPr>
            <w:tcW w:w="3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Power of Attorney (included on signature page to this Annual Report on Form 10-K).</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3exhibit311.htm">
              <w:r>
                <w:rPr>
                  <w:rStyle w:val="InternetLink"/>
                  <w:rFonts w:ascii="Times New Roman;sans-serif" w:hAnsi="Times New Roman;sans-serif"/>
                  <w:b w:val="false"/>
                  <w:color w:val="000080"/>
                  <w:sz w:val="20"/>
                  <w:u w:val="single"/>
                </w:rPr>
                <w:t>Certification of Chief Executive Officer of Five9, Inc. Pursuant to Section 302 of the Sarbanes-Oxley Act of 2002</w:t>
              </w:r>
            </w:hyperlink>
            <w:hyperlink w:anchor="a123123exhibit311.htm">
              <w:r>
                <w:rPr>
                  <w:rStyle w:val="InternetLink"/>
                  <w:rFonts w:ascii="Times New Roman;sans-serif" w:hAnsi="Times New Roman;sans-serif"/>
                  <w:b w:val="false"/>
                  <w:color w:val="000080"/>
                  <w:sz w:val="20"/>
                  <w:u w:val="single"/>
                </w:rPr>
                <w:t>.</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3exhibit312.htm">
              <w:r>
                <w:rPr>
                  <w:rStyle w:val="InternetLink"/>
                  <w:rFonts w:ascii="Times New Roman;sans-serif" w:hAnsi="Times New Roman;sans-serif"/>
                  <w:b w:val="false"/>
                  <w:color w:val="0000FF"/>
                  <w:sz w:val="20"/>
                  <w:u w:val="single"/>
                </w:rPr>
                <w:t>Certification of Chief Financial Officer of Five9, Inc. Pursuant to Section 302 of the Sarbanes-Oxley Act of 2002.</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23123exhibit321.htm">
              <w:r>
                <w:rPr>
                  <w:rStyle w:val="InternetLink"/>
                  <w:rFonts w:ascii="Times New Roman;sans-serif" w:hAnsi="Times New Roman;sans-serif"/>
                  <w:b w:val="false"/>
                  <w:color w:val="0000FF"/>
                  <w:sz w:val="20"/>
                  <w:u w:val="single"/>
                </w:rPr>
                <w:t>Certification of Chief Executive Officer and Chief Financial Officer of Five9, Inc. Pursuant to 18 U.S.C. Section 1350, as adopted pursuant to Section 906 of the Sarbanes-Oxley Act of 2002.</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awbackpolicy103123.htm">
              <w:r>
                <w:rPr>
                  <w:rStyle w:val="InternetLink"/>
                  <w:rFonts w:ascii="Times New Roman;sans-serif" w:hAnsi="Times New Roman;sans-serif"/>
                  <w:b w:val="false"/>
                  <w:color w:val="000000"/>
                  <w:sz w:val="20"/>
                </w:rPr>
                <w:t>97.1</w:t>
              </w:r>
            </w:hyperlink>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clawbackpolicy103123.htm">
              <w:r>
                <w:rPr>
                  <w:rStyle w:val="InternetLink"/>
                  <w:rFonts w:ascii="Times New Roman;sans-serif" w:hAnsi="Times New Roman;sans-serif"/>
                  <w:b w:val="false"/>
                  <w:color w:val="0000FF"/>
                  <w:sz w:val="20"/>
                  <w:u w:val="single"/>
                </w:rPr>
                <w:t>Five9, Inc. Compensation Recoupment Policy</w:t>
              </w:r>
            </w:hyperlink>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Instance Document</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Schema Linkbase Document</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Calculation Linkbase Document</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Definition Linkbase Document</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Labels Linkbase Document</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XBRL Taxonomy Presentation Linkbase Document</w:t>
            </w:r>
          </w:p>
        </w:tc>
      </w:tr>
      <w:tr>
        <w:trPr/>
        <w:tc>
          <w:tcPr>
            <w:tcW w:w="8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r>
        <w:trPr/>
        <w:tc>
          <w:tcPr>
            <w:tcW w:w="8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left"/>
        <w:rPr/>
      </w:pPr>
      <w:r>
        <w:rPr>
          <w:rFonts w:ascii="Wingdings 2;sans-serif" w:hAnsi="Wingdings 2;sans-serif"/>
          <w:b w:val="false"/>
          <w:color w:val="000000"/>
          <w:sz w:val="16"/>
        </w:rPr>
        <w:t xml:space="preserve">Ø </w:t>
      </w:r>
      <w:r>
        <w:rPr>
          <w:rFonts w:ascii="Times New Roman;sans-serif" w:hAnsi="Times New Roman;sans-serif"/>
          <w:b w:val="false"/>
          <w:color w:val="000000"/>
          <w:sz w:val="20"/>
        </w:rPr>
        <w:t xml:space="preserve">Previously filed. </w:t>
      </w:r>
    </w:p>
    <w:p>
      <w:pPr>
        <w:pStyle w:val="TextBody"/>
        <w:bidi w:val="0"/>
        <w:spacing w:lineRule="auto" w:line="288" w:before="0" w:after="0"/>
        <w:jc w:val="left"/>
        <w:rPr/>
      </w:pPr>
      <w:r>
        <w:rPr>
          <w:rFonts w:ascii="Times New Roman;sans-serif" w:hAnsi="Times New Roman;sans-serif"/>
          <w:b w:val="false"/>
          <w:color w:val="000000"/>
          <w:sz w:val="20"/>
        </w:rPr>
        <w:t>+</w:t>
      </w:r>
      <w:r>
        <w:rPr>
          <w:color w:val="000000"/>
        </w:rPr>
        <w:t xml:space="preserve"> </w:t>
      </w:r>
      <w:r>
        <w:rPr>
          <w:rFonts w:ascii="Times New Roman;sans-serif" w:hAnsi="Times New Roman;sans-serif"/>
          <w:b w:val="false"/>
          <w:color w:val="000000"/>
          <w:sz w:val="20"/>
        </w:rPr>
        <w:t>Indicates management contract or compensatory plan.</w:t>
      </w:r>
    </w:p>
    <w:p>
      <w:pPr>
        <w:pStyle w:val="TextBody"/>
        <w:bidi w:val="0"/>
        <w:spacing w:lineRule="auto" w:line="288" w:before="0" w:after="0"/>
        <w:ind w:left="0" w:right="0" w:hanging="270"/>
        <w:jc w:val="left"/>
        <w:rPr/>
      </w:pPr>
      <w:r>
        <w:rPr>
          <w:color w:val="000000"/>
        </w:rPr>
        <w:t xml:space="preserve">† </w:t>
      </w:r>
      <w:r>
        <w:rPr>
          <w:rFonts w:ascii="Times New Roman;sans-serif" w:hAnsi="Times New Roman;sans-serif"/>
          <w:b w:val="false"/>
          <w:color w:val="000000"/>
          <w:sz w:val="20"/>
        </w:rPr>
        <w:t xml:space="preserve">The certifications attached as Exhibit 32.1 that accompany this Annual Report on Form 10-K, are not deemed filed with the Securities and Exchange Commission and are not to be incorporated by reference into any filing of Five9, Inc. under the Securities Act of 1933, as amended, or the Securities Exchange Act of 1934, as amended, whether made before or after the date of this Annual Report on Form 10-K, irrespective of any general incorporation language contained in such filing. </w:t>
      </w:r>
    </w:p>
    <w:p>
      <w:pPr>
        <w:pStyle w:val="TextBody"/>
        <w:bidi w:val="0"/>
        <w:spacing w:before="6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240" w:after="283"/>
        <w:jc w:val="left"/>
        <w:rPr>
          <w:rFonts w:ascii="Times New Roman;sans-serif" w:hAnsi="Times New Roman;sans-serif"/>
          <w:b/>
          <w:color w:val="000000"/>
          <w:sz w:val="20"/>
        </w:rPr>
      </w:pPr>
      <w:r>
        <w:rPr>
          <w:rFonts w:ascii="Times New Roman;sans-serif" w:hAnsi="Times New Roman;sans-serif"/>
          <w:b/>
          <w:color w:val="000000"/>
          <w:sz w:val="20"/>
        </w:rPr>
        <w:t>ITEM 16. Form 10-K Summary</w:t>
      </w:r>
    </w:p>
    <w:p>
      <w:pPr>
        <w:pStyle w:val="TextBody"/>
        <w:bidi w:val="0"/>
        <w:spacing w:lineRule="auto" w:line="288" w:before="120" w:after="12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13"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110</w:t>
                      </w:r>
                    </w:p>
                  </w:txbxContent>
                </v:textbox>
                <w10:wrap type="none"/>
              </v:rect>
            </w:pict>
          </mc:Fallback>
        </mc:AlternateContent>
      </w:r>
    </w:p>
    <w:p>
      <w:pPr>
        <w:pStyle w:val="TextBody"/>
        <w:bidi w:val="0"/>
        <w:spacing w:lineRule="auto" w:line="288" w:before="0" w:after="0"/>
        <w:jc w:val="left"/>
        <w:rPr/>
      </w:pPr>
      <w:hyperlink w:anchor="i29c07625a5e743748e3fcbf777f29f13_7">
        <w:r>
          <w:rPr>
            <w:rStyle w:val="InternetLink"/>
            <w:rFonts w:ascii="Times New Roman;sans-serif" w:hAnsi="Times New Roman;sans-serif"/>
            <w:b w:val="false"/>
            <w:color w:val="0000FF"/>
            <w:sz w:val="20"/>
            <w:u w:val="single"/>
          </w:rPr>
          <w:t>Table of Contents</w:t>
        </w:r>
      </w:hyperlink>
    </w:p>
    <w:p>
      <w:pPr>
        <w:pStyle w:val="TextBody"/>
        <w:bidi w:val="0"/>
        <w:spacing w:lineRule="auto" w:line="312" w:before="240" w:after="283"/>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before="0" w:after="160"/>
        <w:jc w:val="left"/>
        <w:rPr/>
      </w:pPr>
      <w:r>
        <w:rPr/>
      </w:r>
    </w:p>
    <w:p>
      <w:pPr>
        <w:pStyle w:val="TextBody"/>
        <w:bidi w:val="0"/>
        <w:spacing w:lineRule="auto" w:line="312" w:before="0" w:after="1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Section 13 or 15(d) of the Securities Exchange Act of 1934, the Registrant has duly caused this report to be signed on its behalf by the undersigned, thereunto duly authorized.</w:t>
      </w:r>
    </w:p>
    <w:tbl>
      <w:tblPr>
        <w:tblW w:w="4678"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54"/>
        <w:gridCol w:w="154"/>
        <w:gridCol w:w="156"/>
        <w:gridCol w:w="606"/>
        <w:gridCol w:w="606"/>
        <w:gridCol w:w="858"/>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Five9,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12" w:before="0" w:after="0"/>
        <w:jc w:val="center"/>
        <w:rPr>
          <w:rFonts w:ascii="Times New Roman;sans-serif" w:hAnsi="Times New Roman;sans-serif"/>
          <w:b/>
          <w:color w:val="000000"/>
          <w:sz w:val="20"/>
        </w:rPr>
      </w:pPr>
      <w:r>
        <w:rPr>
          <w:rFonts w:ascii="Times New Roman;sans-serif" w:hAnsi="Times New Roman;sans-serif"/>
          <w:b/>
          <w:color w:val="000000"/>
          <w:sz w:val="20"/>
        </w:rPr>
        <w:t>POWER OF ATTORNEY</w:t>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KNOW ALL PERSONS BY THESE PRESENTS that each individual whose signature appears below constitutes and appoints Michael Burkland and Barry Zwarenstein, and each of them, severally, as his or her true and lawful attorneys-in-fact and agents with the power to act, with or without the other, with full power of substitution and resubstitution, for him or her and in his or her name, place and stead, in his or her capacity as a director or officer or both, as the case may be, of the Company, to sign any and all amendments to this Annual Report on Form 10-K, and to file the same, with exhibits thereto and other documents in connection therewith, with the Securities and Exchange Commission granting unto said attorneys-in-fact and agents, and each of them, full power and authority to do and perform each and every act and thing requisite and necessary to be done, as fully to all intents and purposes as he might or could do in person, hereby ratifying and confirming all that each of said attorneys-in-fact and agents, or his substitute or substitutes may lawfully do or cause to be done by virtue hereof.</w:t>
      </w:r>
    </w:p>
    <w:p>
      <w:pPr>
        <w:pStyle w:val="TextBody"/>
        <w:bidi w:val="0"/>
        <w:spacing w:lineRule="auto" w:line="288" w:before="120" w:after="120"/>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this report has been signed below by the following persons on behalf of the Registrant and in the capacities and on the dates indicated. </w:t>
      </w:r>
    </w:p>
    <w:tbl>
      <w:tblPr>
        <w:tblW w:w="7433" w:type="dxa"/>
        <w:jc w:val="left"/>
        <w:tblInd w:w="0" w:type="dxa"/>
        <w:tblLayout w:type="fixed"/>
        <w:tblCellMar>
          <w:top w:w="28" w:type="dxa"/>
          <w:left w:w="28" w:type="dxa"/>
          <w:bottom w:w="28" w:type="dxa"/>
          <w:right w:w="28" w:type="dxa"/>
        </w:tblCellMar>
      </w:tblPr>
      <w:tblGrid>
        <w:gridCol w:w="759"/>
        <w:gridCol w:w="668"/>
        <w:gridCol w:w="673"/>
        <w:gridCol w:w="109"/>
        <w:gridCol w:w="109"/>
        <w:gridCol w:w="109"/>
        <w:gridCol w:w="1010"/>
        <w:gridCol w:w="1010"/>
        <w:gridCol w:w="1024"/>
        <w:gridCol w:w="109"/>
        <w:gridCol w:w="109"/>
        <w:gridCol w:w="109"/>
        <w:gridCol w:w="477"/>
        <w:gridCol w:w="477"/>
        <w:gridCol w:w="68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Date</w:t>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Leena Mansharamani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Accounting Officer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Leena Mansharamani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(Principal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0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Jack Acosta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Jack Acosta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Susan Barsamian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Susan Barsamian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Michael Burdiek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Michael Burdiek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DeWalt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DeWalt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Julie Iskow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Julie Iskow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Jonathan Mariner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Jonathan Mariner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David Welsh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Lead Independent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David Welsh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Robert Zollars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r>
      <w:tr>
        <w:trPr/>
        <w:tc>
          <w:tcPr>
            <w:tcW w:w="2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Robert Zollars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firstLine="495"/>
        <w:jc w:val="left"/>
        <w:rPr/>
      </w:pPr>
      <w:r>
        <w:rPr/>
      </w:r>
    </w:p>
    <w:p>
      <w:pPr>
        <w:pStyle w:val="TextBody"/>
        <w:bidi w:val="0"/>
        <w:spacing w:before="0" w:after="0"/>
        <w:jc w:val="center"/>
        <w:rPr/>
      </w:pPr>
      <w:bookmarkStart w:id="0" w:name="five9-prsunoticeandaward.htm"/>
      <w:bookmarkStart w:id="1" w:name="ksfive9prsunoticeandaward"/>
      <w:bookmarkEnd w:id="0"/>
      <w:bookmarkEnd w:id="1"/>
      <w:r>
        <w:rPr/>
        <w:drawing>
          <wp:inline distT="0" distB="0" distL="0" distR="0">
            <wp:extent cx="10048875" cy="13001625"/>
            <wp:effectExtent l="0" t="0" r="0" b="0"/>
            <wp:docPr id="1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3"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15"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111</w:t>
                      </w:r>
                    </w:p>
                  </w:txbxContent>
                </v:textbox>
                <w10:wrap type="none"/>
              </v:rect>
            </w:pict>
          </mc:Fallback>
        </mc:AlternateContent>
      </w:r>
    </w:p>
    <w:p>
      <w:pPr>
        <w:pStyle w:val="TextBody"/>
        <w:bidi w:val="0"/>
        <w:jc w:val="center"/>
        <w:rPr>
          <w:color w:val="FFFFFF"/>
          <w:sz w:val="2"/>
        </w:rPr>
      </w:pPr>
      <w:r>
        <w:rPr>
          <w:color w:val="FFFFFF"/>
          <w:sz w:val="2"/>
        </w:rPr>
        <w:t xml:space="preserve">NAI-1539281175v2 2014 Equity Incentive Plan and Plan Prospectus available on Company’s intranet site: intranet.five9.com FIVE9, INC. PERFORMANCE –BASED RESTRICTED STOCK UNIT GRANT NOTICE 2014 EQUITY INCENTIVE PLAN Five9, Inc. (the “Company”) hereby awards to Participant the number of performance-based restricted stock units (“PRSUs”) set forth below (the “Award”). The Award is subject to all of the terms and conditions as set forth in this Performance-Based Restricted Stock Unit Grant Notice (the “Notice”), the 2014 Equity Incentive Plan (the “Plan”) and the Performance-Based Restricted Stock Unit Agreement (the “Award Agreement”), both of which are attached hereto and incorporated in their entirety. Capitalized terms not explicitly defined in this Notice but defined in the Plan or the Award Agreement will have the same definitions as in the Plan or the Award Agreement. In the event of any conflict between the terms of the Award and the Plan, the terms of the Plan will control. Participant: Date of Grant: Performance Period: January 1, 2024 – December 31, 2026 Target Number of PRSUs: Maximum Number of PRSUs: Vesting Schedule: (a) Subject to the conditions in paragraph (b) and Exhibit A to the Award Agreement, between 0% and 200% of the PRSUs will be earned and vest on the based on the achievement of the Vesting Criteria (as defined in Exhibit A to the Award Agreement) approved by the Committee on or before the Date of Grant as set forth on Exhibit A to the Award Agreement as follows: (i) Up to 1/3 of the Maximum Number of PRSUs will be eligible to vest based on achievement of the Vesting Criteria for the period from January 1, 2024 through December 31, 2024 (the “First Measurement Period”), with any fractional shares being rounded down to the nearest whole share; (ii) Up to 1/3 of the Maximum Number of PRSUs will be eligible to vest based on achievement of the Vesting Criteria for the period from January 1, 2024 through December 31, 2025 (the “Second Measurement Period”), with any fractional shares being rounded down to the nearest whole share; and (iii) Up to 1/3 of the Maximum Number of PRSUs will be eligible to vest based on achievement of the Vesting Criteria for the period from January 1, 2024 through December 31, 2026 (the “Third Measurement Period”, together with the First Measurement Period and the Second Measurement Period, the “Performance Period” and each a “Measurement Period”). (iv) Each installment of PRSUs that vests hereunder is a “separate payment” for purposes of Treasury Regulations Section 1.409A-2(b)(2). (b) The vesting of the PRSUs is contingent upon: (i) a determination by the Committee that the Vesting Criteria have been satisfied and the PRSUs have been earned for the applicable Measurement Period; and (ii) the Participant’s Continuous Service from the Date of Grant through the Determination Date (as defined in Exhibit A to the Award Agreement) for the applicable Measurement Period. (c) Notwithstanding paragraphs (a) and (b) above, if (i) the Participant’s Continuous Service ends prior to the Determination Date for the Third Measurement Period due to the Participant’s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4"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2014 Equity Incentive Plan and Plan Prospectus available on Company’s intranet site: intranet.five9.com death or Disability (as defined in the Plan) or (ii) a Change in Control occurs, vesting of the PRSUs will be as set forth in Sections 4(b) through (f) of Appendix A to the Award Agreement, as applicable. Issuance Schedule: Subject to any change on a Capitalization Adjustment, one share of Common Stock will be issued for each PRSU that vests at the time set forth in the Award Agreement, but in all cases within the “short term deferral” period determined under Treasury Regulations Section 1.409A-1(b)(4). Additional Terms/Acknowledgements: Participant acknowledges receipt of, and understands and agrees to, this Notice, the Award Agreement (including Exhibit A thereto), the Plan and the prospectus for the Plan. As of the Date of Grant, this Notice, the Award Agreement (including Exhibit A thereto) and the Plan set forth the entire understanding between Participant and the Company regarding the Award and supersede all prior oral and written agreements on the terms of the Award, with the exception, if applicable, any compensation recovery policy that is adopted by the Company or is otherwise required by applicable law. By accepting this Award, Participant consents to receive Plan documents by electronic delivery and to participate in the Plan through an on-line or electronic system established and maintained by the Company or another third party designated by the Company. FIVE9, INC. PARTICIPANT: By: Signature Signature Title: Date: Date: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5"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1. FIVE9, INC. 2014 EQUITY INCENTIVE PLAN PERFORMANCE-BASED RESTRICTED STOCK UNIT AGREEMENT Five9, Inc. (the “Company”) has awarded you a performance-based Restricted Stock Unit Award (the “Award”) that is subject to its 2014 Equity Incentive Plan (the “Plan”), the Performance-Based Restricted Stock Unit Grant Notice (the “Grant Notice”) and this Performance-Based Restricted Stock Unit Agreement (the “Agreement”), for the number of performance-based Restricted Stock Units indicated in the Grant Notice. Capitalized terms not explicitly defined in this Agreement or in the Grant Notice but defined in the Plan will have the same definitions as in the Plan. In the event of any conflict between the terms in this Agreement and the Plan, the terms of the Plan will control. 1. GRANT OF THE AWARD. The Award represents your right to be issued on a future date one share of Common Stock for each performance-based Restricted Stock Unit that vests. 2. VESTING. Your performance-based Restricted Stock Units will vest as provided in the Grant Notice and Exhibit A to the Agreement. Except as otherwise provided in the Grant Notice or in Exhibit A to the Agreement, (i) vesting will cease on the termination of your Continuous Service and (ii) any performance-based Restricted Stock Units that have not vested (after taking into account any (A) acceleration that occurs on your termination or (B) potential vesting that could occur after your termination, as provided in the Grant Notice or Exhibit A to the Agreement) will be forfeited on the termination of your Continuous Service. 3. ADJUSTMENTS TO NUMBER OF PRSUS &amp; SHARES OF COMMON STOCK. (a) The performance-based Restricted Stock Units subject to your Award will be adjusted for Capitalization Adjustments, as provided in the Plan. (b) Any additional performance-based Restricted Stock Units and any shares, cash or other property that become subject to the Award will be subject, in a manner determined by the Board, to the terms of the Award, including the same forfeiture restrictions, restrictions on transferability, and time and manner of delivery as applicable to the other performance-based Restricted Stock Units and shares covered by your Award. (c) You have no rights to be issued any fractional share of Common Stock or cash in lieu of such fractional share under this Award. Any fraction of a share will be rounded down to the nearest whole share. 4. SECURITIES LAW COMPLIANCE. You will not be issued any Common Stock underlying the performance-based Restricted Stock Units or other shares with respect to your performance-based Restricted Stock Units unless either (i) the shares are registered under the Securities Act, or (ii) the Company has determined that such issuance would be exempt from the registration requirements of the Securities Act. Your Award also must comply with other applicable laws and regulations governing the Award, and you will not receive shares underlying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6"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2. your performance-based Restricted Stock Units if the Company determines that such receipt would not be in material compliance with such laws and regulations. 5. TRANSFERABILITY. Prior to the time that shares of Common Stock have been delivered to you, you may not transfer, pledge, sell or otherwise dispose of any portion of the performance-based Restricted Stock Units or the shares in respect of your performance-based Restricted Stock Units. For example, you may not use shares that may be issued in respect of your performance-based Restricted Stock Units as security for a loan, nor may you transfer, pledge, sell or otherwise dispose of such shares. This restriction on transfer will lapse on delivery to you of shares in respect of your vested performance-based Restricted Stock Units. (a) Death. Your performance-based Restricted Stock Units are not transferable other than by will and by the laws of descent and distribution. At your death, your executor or administrator of your estate will be entitled to receive, on behalf of your estate, Common Stock or other consideration under this Award. (b) Domestic Relations Orders. If you receive written permission from the Board or its duly authorized designee, and provided that you and the designated transferee enter into transfer and other agreements required by the Company, you may transfer your right to receive the distribution of Common Stock or other consideration under your performance-based Restricted Stock Units, in accordance with a domestic relations order or official marital settlement agreement that contains the information required by the Company to effectuate the transfer. You are encouraged to discuss with the Company’s General Counsel the proposed terms of any such transfer prior to finalizing the domestic relations order or marital settlement agreement to verify that you may make such transfer, and if so, to help ensure the required information is contained within the domestic relations order or marital settlement agreement. The Company is not obligated to allow you to transfer your Award in connection with your domestic relations order or marital settlement agreement. 6. DATE OF ISSUANCE. (a) The issuance of shares in respect of the vested portion of performance- based Restricted Stock Units is intended to comply with Treasury Regulations Section 1.409A- 1(b)(4) and will be construed and administered in such a manner. As a result, the shares will be issued no later than the date that is the 15th day of the third calendar month of the applicable year following the year in which the shares of Common Stock under this Award are no longer subject to a “substantial risk of forfeiture” within the meaning of Treasury Regulations Section 1.409A-1(d). Subject to the foregoing, unless otherwise determined by the Committee, the issuance of the shares underlying vested performance-based Restricted Stock Units will be delayed until the first business day on which such shares may be sold by you to satisfy the Company’s required tax withholding obligations. (b) If the Company determines that it is necessary to comply with applicable tax laws, the shares will be issued no later than December 31 of the calendar year in which the shares are no longer subject to a “substantial risk of forfeiture” within the meaning of Treasury Regulations Section 1.409A-1(d).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Image7"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3. 7. DIVIDENDS. You will receive no benefit or adjustment to your performance-based Restricted Stock Units with respect to any cash dividend, stock dividend or other distribution except as provided in the Plan with respect to a Capitalization Adjustment. 8. RESTRICTIVE LEGENDS. The Common Stock issued with respect to your performance-based Restricted Stock Units will be endorsed with appropriate legends determined by the Company. 9. AWARD NOT A SERVICE CONTRACT. Your Continuous Service is not for any specified term and may be terminated by you or by the Company or an Affiliate at any time, for any reason, with or without cause and with or without notice. Nothing in this Agreement (including, but not limited to, the vesting of your performance-based Restricted Stock Units or the issuance of the shares subject to your performance-based Restricted Stock Units), the Plan or any covenant of good faith and fair dealing that may be found implicit in this Agreement or the Plan shall: (i) confer on you any right to continue in the employ or service of, or affiliation with, the Company or an Affiliate; (ii) constitute any promise or commitment by the Company or an Affiliate regarding the fact or nature of future positions, future work assignments, future compensation or any other term or condition of employment or affiliation; (iii) confer any right or benefit under this Agreement or the Plan unless such right or benefit has specifically accrued under the terms of this Agreement or Plan; or (iv) deprive the Company of the right to terminate you at will and without regard to any future vesting opportunity that you may have. 10. WITHHOLDING OBLIGATIONS. (a) On each vesting date, and on or before the time you receive a distribution of the shares underlying your performance-based Restricted Stock Units, and at any other time as reasonably requested by the Company in accordance with applicable tax laws, you agree to make adequate provision for any sums required to satisfy the federal, state, local and foreign tax withholding obligations of the Company or any Affiliate that arise in connection with your Award (the “Withholding Taxes”). Specifically, the Company or an Affiliate may, in its sole discretion, satisfy all or any portion of the Withholding Taxes relating to your Award by any of the following means or by a combination of such means: (i) withholding from any compensation otherwise payable to you by the Company or an Affiliate; (ii) causing you to tender a cash payment (which may be in the form of a check, electronic wire transfer or other method permitted by the Company); (iii) permitting or requiring you to enter into a “same day sale” commitment with a broker-dealer that is a member of the Financial Industry Regulatory Authority (a “FINRA Dealer”) whereby you irrevocably elect to sell a portion of the shares to be delivered in connection with your performance-based Restricted Stock Units to satisfy the Withholding Taxes and whereby the FINRA Dealer irrevocably commits to forward the proceeds necessary to satisfy the Withholding Taxes directly to the Company and/or its Affiliates; or (iv) subject to the approval of the independent members of the Board, withholding shares of Common Stock from the shares of Common Stock issued or otherwise issuable to you in connection with your performance-based Restricted Stock Units with a fair market value (measured as of the date shares of Common Stock are issued to you) equal to the amount of such Withholding Taxes; provided, however, that the number of such shares of Common Stock so withheld will not exceed the amount necessary to satisfy the Company’s required tax withholding obligations using the minimum statutory withholding rates for federal, state, local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8"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4. and foreign tax purposes, including payroll taxes, that are applicable to supplemental taxable income. (b) Unless the Withholding Taxes of the Company and/or any Affiliate are satisfied, the Company will have no obligation to deliver to you any Common Stock. (c) If the Company’s obligation to withhold arises prior to the delivery to you of Common Stock or it is determined after the delivery of Common Stock to you that the amount of the Company’s withholding obligation was greater than the amount withheld by the Company, you agree to indemnify and hold the Company harmless from any failure by the Company to withhold the proper amount. 11. UNSECURED OBLIGATION. Your Award is unfunded, and as a holder of vested performance-based Restricted Stock Units, you will be considered an unsecured creditor of the Company with respect to the Company’s obligation, if any, to issue shares or other property pursuant to this Agreement. You will not have voting or any other rights as a stockholder of the Company with respect to the shares to be issued pursuant to this Agreement until such shares are issued to you. On such issuance, you will obtain full voting and other rights as a stockholder of the Company. Nothing contained in this Agreement, and no action taken pursuant to its provisions, will create or be construed to create a trust of any kind or a fiduciary relationship between you and the Company or any other person. 12. NOTICES. Any notices provided for in this Agreement or the Plan will be given in writing (including electronically) and will be deemed effectively given on receipt or, in the case of notices delivered by the Company to you, five days after deposit in the U.S. mail, postage prepaid, addressed to you at the last address you provided to the Company. The Company may, in its sole discretion, decide to deliver any documents related to participation in the Plan and this Award by electronic means or to request your consent to participate in the Plan by electronic means. By accepting this Award, you consent to receive such documents by electronic delivery and to participate in the Plan through an on-line or electronic system established and maintained by the Company or another third party designated by the Company. 13. MISCELLANEOUS. (a) The rights and obligations of the Company under your Award will be transferable to any one or more persons or entities, and all covenants and agreements hereunder will inure to the benefit of, and be enforceable by the Company’s successors and assigns. (b) You agree on request to execute any further documents or instruments necessary or desirable in the sole determination of the Company to carry out the purposes or intent of your Award. (c) You acknowledge and agree that you have reviewed your Award in its entirety, have had an opportunity to obtain the advice of counsel prior to executing and accepting your Award, and fully understand all provisions of your Award.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Image9"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5. (d) This Agreement will be subject to all applicable laws, rules, and regulations, and to such approvals by any governmental agencies or national securities exchanges as may be required. (e) All obligations of the Company under the Plan and this Agreement will be binding on any successor to the Company, whether the existence of such successor is the result of a direct or indirect purchase, merger, consolidation, or otherwise, of all or substantially all of the business and/or assets of the Company. 14. GOVERNING PLAN DOCUMENT. Your Award is subject to all the provisions of the Plan, the provisions of which are hereby made a part of your Award, and is further subject to all interpretations, amendments, rules and regulations which may from time to time be promulgated and adopted pursuant to the Plan. Your Award (and any compensation paid or shares issued under your Award) is subject to recoupment in accordance with The Dodd–Frank Wall Street Reform and Consumer Protection Act and any implementing regulations thereunder, any clawback policy adopted by the Company and any compensation recovery policy otherwise required by applicable law. No recovery of compensation under such a clawback policy will be an event giving rise to a right to voluntarily terminate employment on a Resignation for Good Reason, or for a “constructive termination” or any similar term under any plan of or agreement with the Company. You hereby acknowledge receipt or the right to receive a document providing the information required by Rule 428(b)(1) promulgated under the Securities Act, which includes the Plan prospectus. In addition, you acknowledge receipt of the Company’s policy permitting officers and directors to sell shares only during certain “window” periods and the Company’s insider trading policy, in effect from time to time. 15. SEVERABILITY. If all or any part of this Agreement or the Plan is declared by any court or governmental authority to be unlawful or invalid, such unlawfulness or invalidity will not invalidate any portion of this Agreement or the Plan not declared to be unlawful or invalid. Any Section of this Agreement (or part of such a Section) so declared to be unlawful or invalid shall, if possible, be construed in a manner which will give effect to the terms of such Section or part of a Section to the fullest extent possible while remaining lawful and valid. 16. EFFECT ON OTHER EMPLOYEE BENEFIT PLANS. The value of the Award subject to this Agreement will not be included as compensation, earnings, salaries, or other similar terms used when calculating the Employee’s benefits under any employee benefit plan sponsored by the Company or any Affiliate, except as such plan otherwise expressly provides. The Company expressly reserves its rights to amend, modify, or terminate any of the Company’s or any Affiliate’s employee benefit plans. 17. AMENDMENT. Any amendment to this Agreement must be in writing, signed by a duly authorized representative of the Company. The Board reserves the right to amend this Agreement in any way it may deem necessary or advisable to carry out the purpose of the grant as a result of any change in applicable laws or regulations or any future law, regulation, interpretation, ruling, or judicial decision. 18. COMPLIANCE WITH SECTION 409A OF THE CODE. This Award is intended to comply with the “short-term deferral” rule set forth in Treasury Regulation Section 1.409A-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6. 1(b)(4). However, if this Award fails to satisfy the requirements of the short-term deferral rule and is otherwise not exempt from, and therefore deemed to be deferred compensation subject to, Section 409A of the Code, and if you are a “Specified Employee” (within the meaning set forth Section 409A(a)(2)(B)(i) of the Code) as of the date of your separation from service (within the meaning of Treasury Regulation Section 1.409A-1(h)), then the issuance of any shares that would otherwise be made on the date of the separation from service or within the first six months thereafter will not be made on the originally scheduled dates and will instead be issued in a lump sum on the date that is six months and one day after the date of the separation from service, with the balance of the shares issued thereafter in accordance with the original vesting and issuance schedule set forth above, but if and only if such delay in the issuance of the shares is necessary to avoid the imposition of taxation on you in respect of the shares under Section 409A of the Code. Each installment of shares that vests is a “separate payment” for purposes of Treasury Regulation Section 1.409A-2(b)(2). 19. NO OBLIGATION TO MINIMIZE TAXES. The Company has no duty or obligation to minimize the tax consequences to you of this Award and will not be liable to you for any adverse tax consequences to you arising in connection with this Award. You are hereby advised to consult with your own personal tax, financial and/or legal advisors regarding the tax consequences of this Award and by signing the Grant Notice, you have agreed that you have done so or knowingly and voluntarily declined to do so.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1. EXHIBIT A FIVE9, INC. 2014 EQUITY INCENTIVE PLAN Performance-Based Restricted Stock Unit Award Vesting Criteria The number of performance-based Restricted Stock Units (“PRSUs”) that may vest will be determined in accordance with the following criteria (the “Vesting Criteria”). Certain capitalized terms used herein have the meanings set forth in Section 5 of this Exhibit A to the Performance-Based Restricted Stock Unit Agreement (the “Agreement”). Capitalized terms not explicitly defined in this Exhibit A to the Agreement but defined in the Plan, the Agreement or the Performance-Based Restricted Stock Unit Award Grant Notice (the “Grant Notice”) will have the same definitions as in the Plan, the Agreement or the Grant Notice. 1. PERFORMANCE PERIOD; MEASUREMENT PERIODS. The overall performance period for the PRSUs shall be the period of time beginning January 1, 2024 and ending on December 31, 2026 (the “Performance Period”). During the Performance Period there will be three separate measurement periods of the Company’s TSR Percentile Rank (each, a “Measurement Period”). The start dates and end dates for the First Measurement Period, Second Measurement Period and Third Measurement Period are: First Measurement Period Second Measurement Period Third Measurement Period Start Date January 1, 2024 January 1, 2024 January 1, 2024 End Date December 31, 2024 December 31, 2025 December 31, 2026 2. TARGET AND MAXIMUM NUMBER OF PRSUS. The Target Number of PRSUs for each Measurement Period is equal to 1/3 of the Target Number of PRSUs specified in the Grant Notice (with the portions allocated to the First Measurement Period and Second Measurement Period rounded down to the nearest whole share and the portion allocated to the Third Measurement Period rounded up to the nearest whole share). The Maximum Number of PRSUs for each Measurement Period is equal to 1/3 of the Maximum Number of PRSUs specified in the Grant Notice (with the portions allocated to the First Measurement Period and Second Measurement Period rounded down to the nearest whole share and the portion allocated to the Third Measurement Period rounded up to the nearest whole share):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Image12"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2. First Measurement Period Second Measurement Period Third Measurement Period Target Number of PRSUs Maximum Number of PRSUs 3. RELATIVE TSR REQUIREMENT. (a) As soon as practicable within the 60-day period following the last day of each Measurement Period, the Committee shall determine the applicable number of PRSUs that will vest based on the TSR Payout Percentage for the applicable Measurement Period. The date of the Committee’s determination and the date such vesting will occur is the “Determination Date.” (b) As determined by the Committee on the Determination Date following the First Measurement Period, the number of PRSUs that will vest shall equal (i) the TSR Payout Percentage for the First Measurement Period multiplied by (ii) the Target Number of PRSUs for the First Measurement Period, with such number of PRSUs rounded down to the nearest whole unit. Such vested PRSUs will be settled in shares as soon as practicable thereafter, but in no event later than the time period set forth in Section 6 of the Agreement. (c) As determined by the Committee on the Determination Date following the Second Measurement Period, the number of PRSUs that will vest shall equal (i) the TSR Payout Percentage for the Second Measurement Period multiplied by (ii) the Target Number of PRSUs for the Second Measurement Period, with such number of PRSUs rounded down to the nearest whole unit. Such vested PRSUs will be settled in shares as soon as practicable thereafter, but in no event later than the time period set forth in Section 6 of the Agreement. (d) As determined by the Committee on the Determination Date following the Third Measurement Period, the number of PRSUs that will vest shall equal (i) the TSR Payout Percentage for the Third Measurement Period multiplied by (ii) the Target Number of PRSUs for the Third Measurement Period, with such number of PRSUs rounded up to the nearest whole unit. Such vested PRSUs will be settled in shares as soon as practicable thereafter, but in no event later than the time period set forth in Section 6 of the Agreement. (e) Notwithstanding anything to the contrary herein, (i) in no event shall the number of PRSUs that vest exceed the Maximum Number of PRSUs specified in the Grant Notice and (ii) in the event the Company’s TSR for any Measurement Period is negative, the TSR Payout Percentage used by the Committee to determine the number of PRSUs for such Measurement Period that will vest pursuant to Section 3(b), (c) or (d) shall not exceed 100%. (f) Any PRSUs that do not vest on the Determination Date following the applicable Measurement Period shall immediately terminate and be forfeited.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5"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Image13"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3. 4. Service Requirement. (a) Except as specifically provided in Section 4(b), (c) or (d) below, you must remain in Continuous Service through the Determination Date for the applicable Measurement Period in order for the applicable portion of the PRSUs specified in Section 3 to vest. Any PRSUs that vest upon a Determination Date shall be settled in shares as soon as practicable thereafter, but in no event later than the time period set forth in Section 6 of the Agreement. (b) In the event your Continuous Service ends prior to the Determination Date for the Third Measurement Period due to your death, 100% of the PRSUs that are allocated to Measurement Periods that were incomplete on the date of such termination will have the opportunity to vest in accordance with Section 3 as if you had remained in Continuous Service until the Determination Date for each applicable Measurement Period. (c) In the event your Continuous Service is terminated by the Company prior to the Determination Date for the Third Measurement Period due to your Disability (as defined in the Plan), (i) 50% of the PRSUs that are allocated to Measurement Periods that were incomplete as of the date of such termination will have the opportunity to vest in accordance with Section 3 as if you had remained in Continuous Service until the Determination Date for each applicable Measurement Period, and (ii) the remaining 50% of the unvested PRSUs will be forfeited on the date of such termination. (d) Notwithstanding anything to the contrary in the Agreement, if a Change in Control occurs prior to the Determination Date for the Third Measurement Period and the PRSUs are not replaced with a Replacement Award, then all of the PRSUs for any incomplete Measurement Period shall immediately vest in the sum of the following amounts and shall be immediately settled in shares in connection with the Change in Control: (i) the number of PRSUs determined based on the level of achievement of the Performance Goals for the portion of the Measurement Period in which the Change in Control occurs, prorated based on a fraction, the numerator of which is the number of days in the Measurement Period prior to the date of the Change in Control and the denominator of which is the total number of days in the Measurement Period, measured from the first day of such Measurement Period through the date of the Change in Control, calculated in accordance with Section 3, except using the date of the Change in Control as the last date of the Measurement Period and using the per share price paid to the Company’s shareholders in such Change in Control as the Ending Period Average Price for the Company for such Measurement Period, and (ii) the Target Number of PRSUs for any incomplete Measurement Periods, including a pro-rated portion of the Target Number of PRSUs for the Measurement Period in which the Change in Control occurs, pro-rated based on a fraction, the numerator of which is the number of days in the Measurement Period following the date of Change in Control and the denominator of which is the total number of days in the Measurement Period, measured for the portion of such Measurement Period beginning on the day immediately following the day the Change in Control occurs and ending on the last day of such Measurement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6"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Image14"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4. (e) If a Change in Control occurs prior to the Determination Date for the Third Measurement Period and the PRSUs are replaced with a Replacement Award, then the unvested portion of such Replacement Award shall immediately vest in full if you experience a Change in Control Termination (as defined in the Company’s 2019 Key Employee Severance Benefit Plan (the “KESP”)) and shall be paid to you within 10 days following the later of such Change in Control Termination or the Change in Control. (f) If your employment with the Company is terminated prior to a Change in Control and prior to the Determination Date for the Third Measurement Period due to a Constructive Termination or a termination by the Company without Cause (each as defined in the KESP), and a Change in Control occurs within three months following such termination of employment, then all of the PRSUs for any Measurement Period that was incomplete at the time of such termination shall immediately vest upon the Change in Control in the following amounts, and such amounts will be paid to you within 10 days following the Change in Control: (i) to the extent that such termination occurs in a Measurement Period that is (a) incomplete as of the date such termination occurs and (b) complete prior to the date of the Change in Control, then the number of PRSUs determined based on the level of achievement of the Performance Goals for such Measurement Period (if applicable); (ii) the number of PRSUs determined based on the level of achievement of the Performance Goals for the portion of the Measurement Period in which the Change in Control occurs, prorated based on the fraction described in Section 4(d)(i), measured from the first day of such Measurement Period through the date of the Change in Control, calculated in accordance with Section 3, except using the date of the Change in Control as the last date of the Measurement Period and using the per share price paid to the Company’s shareholders in such Change in Control as the Ending Period Average Price for the Company for such Measurement Period, and (iii) the Target Number of PRSUs for any incomplete Measurement Periods, including a pro-rated portion of the Target Number of PRSUs for the Measurement Period in which the Change in Control occurs, prorated based on the fraction described in Section 4(d)(ii), measured for the portion of such Measurement Period beginning on the day immediately following the day the Change in Control occurs and ending on the last day of such Measurement Period. For the avoidance of doubt, if your employment is terminated due to a Constructive Termination or by the Company without Cause prior to a Change in Control, the unvested PRSUs shall remain outstanding for three months such that they may have an opportunity to vest in accordance with this Section if a Change in Control occurs within such time. 5. Definitions. For purposes of this Award, the following definitions will apply: (a) “Beginning Period Average Price” means the average closing price per share of the relevant company over the 30 consecutive trading days prior to the first day of the applicable Measurement Period.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7"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Image15"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5. (b) “Ending Period Average Price” means the average closing price per share of the company over the 30 consecutive trading days ending with and including the last day of the applicable Measurement Period. (c) “Index Companies” means the companies that were included in the S&amp;P Software &amp; Services Select Industry Index on January 1, 2024. The Index Companies may be changed as follows: (i) in the event of a merger, acquisition or business combination transaction of an Index Company with or by another Index Company, the surviving entity shall remain an Index Company; (ii) in the event of a merger, acquisition, or business combination transaction of an Index Company with or by another company that is not an Index Company, or “going private transaction” where the Index Company is not the surviving entity or is otherwise no longer publicly traded, the company shall no longer be an Index Company; and (iii) in the event of a bankruptcy of an Index Company, such company shall remain an Index Company and its stock price will continue to be tracked for purposes of the TSR Percentile Rank, and if the company liquidates, it will remain an Index Company and its stock price will be reduced to zero for all remaining Measurement Periods in the Performance Period. (d) “Replacement Award” means an award that (i) preserves the value of the PRSUs and has terms at least as favorable to you as the terms and conditions in effect immediately prior to the Change in Control; (ii) has a value at least equal to the sum of (1) the value of PRSUs determined at least at the Target level for the portion of any Measurement Periods that were incomplete at the time of the Change in Control, including a prorated number of PRUs for the portion of the Measurement Period in which the Change in Control occurs, prorated based on the fraction described in Section 4(d)(ii), measured from the day immediately following the day the Change in Control occurs and ending on the last day of such Measurement Period and (2) the value of any PRSUs that would have been earned based on the actual level at which the Performance Goals were satisfied for the portion of the Measurement Period in which the Change in Control occurs, prorated based on the fraction described in Section 4(d)(i), measured from the first day of such Measurement Period to the date of the Change in Control, calculated in accordance with Section 3, except using the date of the Change in Control as the last date of the Measurement Period and using the per share price paid to the Company’s shareholders in such Change in Control as the Ending Period Average Price for the Company for such Measurement Period; (iii) continues to comply with Treasury Regulations Section 1.409A- 1(b)(4); and (iv) is subject to only time-based vesting. (e) “TSR” means total shareholder return as determined by dividing (i) the sum of (A) the Ending Period Average Price minus the Beginning Period Average Price plus (B) all dividends and other distributions paid on the company’s shares during the applicable period by (ii) the Beginning Period Average Price, in each case adjusted for stock splits and other changes in capital structure. In calculating TSR, all dividends are assumed to have been reinvested in shares on the ex-dividend date. The Committee shall have the authority to make appropriate equitable adjustments to account for extraordinary, unusual and infrequently occurring events and transactions affecting the TSR. (f) “TSR Payout Percentage” means the percentage that corresponds to the TSR Percentile Rank specified below: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8"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Image16"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NAI-1539281175v2 6. TSR Percentile Rank TSR Payout Percentage ≥75th percentile 200% (Maximum) 55th percentile 100% (Target) 25th percentile 50% (Threshold) &lt;25th percentile 0% The TSR Payout Percentage is interpolated linearly, rounded up to the nearest decimal point, between each of the levels in the table above, except the TSR Payout Percentage shall be 0% in the event the TSR Percentile Rank is below the 25th percentile. (g) “TSR Percentile Rank” means the percentile ranking of the Company’s TSR among the TSRs for the Index Companies for applicable period determined by ranking the Index Companies from highest to lowest according to their respective TSRs, then calculating the TSR Percentile Rank relative to the other Index Companies as follows: P = 1 - ((R-1)/(N-1)) Where: “P” represents the TSR Percentile Rank rounded to the nearest whole percentile. “R” represents the Company’s ranking among the Index Companies. “N” represents the number of Index Companies. In determining the Company’s TSR Percentile Rank for the applicable period, in the event that the Company’s TSR for the period is equal to the TSR(s) of one or more other Index Companies for that same period, the Company’s TSR Percentile Rank will be determined by ranking the Company’s TSR for that period as being greater than such other Index Companies.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21.1</w:t>
      </w:r>
    </w:p>
    <w:p>
      <w:pPr>
        <w:pStyle w:val="TextBody"/>
        <w:bidi w:val="0"/>
        <w:spacing w:before="0" w:after="0"/>
        <w:jc w:val="left"/>
        <w:rPr/>
      </w:pPr>
      <w:r>
        <w:rPr/>
      </w:r>
    </w:p>
    <w:p>
      <w:pPr>
        <w:pStyle w:val="TextBody"/>
        <w:bidi w:val="0"/>
        <w:spacing w:lineRule="auto" w:line="345" w:before="240" w:after="160"/>
        <w:jc w:val="center"/>
        <w:rPr>
          <w:rFonts w:ascii="Times New Roman;sans-serif" w:hAnsi="Times New Roman;sans-serif"/>
          <w:b/>
          <w:color w:val="000000"/>
          <w:sz w:val="24"/>
        </w:rPr>
      </w:pPr>
      <w:r>
        <w:rPr>
          <w:rFonts w:ascii="Times New Roman;sans-serif" w:hAnsi="Times New Roman;sans-serif"/>
          <w:b/>
          <w:color w:val="000000"/>
          <w:sz w:val="24"/>
        </w:rPr>
        <w:t xml:space="preserve">SUBSIDIARIES OF THE REGISTRANT </w:t>
      </w:r>
    </w:p>
    <w:tbl>
      <w:tblPr>
        <w:tblW w:w="4513" w:type="dxa"/>
        <w:jc w:val="center"/>
        <w:tblInd w:w="0" w:type="dxa"/>
        <w:tblLayout w:type="fixed"/>
        <w:tblCellMar>
          <w:top w:w="28" w:type="dxa"/>
          <w:left w:w="28" w:type="dxa"/>
          <w:bottom w:w="28" w:type="dxa"/>
          <w:right w:w="28" w:type="dxa"/>
        </w:tblCellMar>
      </w:tblPr>
      <w:tblGrid>
        <w:gridCol w:w="1090"/>
        <w:gridCol w:w="955"/>
        <w:gridCol w:w="970"/>
        <w:gridCol w:w="109"/>
        <w:gridCol w:w="109"/>
        <w:gridCol w:w="109"/>
        <w:gridCol w:w="343"/>
        <w:gridCol w:w="343"/>
        <w:gridCol w:w="485"/>
      </w:tblGrid>
      <w:tr>
        <w:trPr/>
        <w:tc>
          <w:tcPr>
            <w:tcW w:w="1090"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Entity Name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u w:val="single"/>
              </w:rPr>
            </w:pPr>
            <w:r>
              <w:rPr>
                <w:rFonts w:ascii="Times New Roman;sans-serif" w:hAnsi="Times New Roman;sans-serif"/>
                <w:b/>
                <w:color w:val="000000"/>
                <w:sz w:val="20"/>
                <w:u w:val="single"/>
              </w:rPr>
              <w:t>Jurisdiction</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Inference Technologies Group, Inc.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Delaware</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75260"/>
                <wp:effectExtent l="0" t="0" r="0" b="0"/>
                <wp:wrapNone/>
                <wp:docPr id="129"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23.1</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2"/>
        </w:rPr>
      </w:pPr>
      <w:r>
        <w:rPr>
          <w:rFonts w:ascii="Times New Roman;sans-serif" w:hAnsi="Times New Roman;sans-serif"/>
          <w:b/>
          <w:color w:val="000000"/>
          <w:sz w:val="22"/>
        </w:rPr>
        <w:t>Consent of Independent Registered Public Accounting Firm</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The Board of Directors</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Five9, Inc.: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We consent to the incorporation by reference in the registration statements (Nos. 333-195037, 333-204145, 333-209918, 333-216332, 333-223362, 333-229845, 333-236723, 333-253672, 333-263103, 333-269999) on Form S-8 of our report dated February 21, 2024, with respect to the consolidated financial statements of Five9, Inc. and the effectiveness of internal control over financial reporting. </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 KPMG LLP</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Santa Clara, California</w:t>
      </w:r>
    </w:p>
    <w:p>
      <w:pPr>
        <w:pStyle w:val="TextBody"/>
        <w:bidi w:val="0"/>
        <w:spacing w:lineRule="auto" w:line="288" w:before="0" w:after="0"/>
        <w:jc w:val="left"/>
        <w:rPr>
          <w:rFonts w:ascii="Times New Roman;sans-serif" w:hAnsi="Times New Roman;sans-serif"/>
          <w:b w:val="false"/>
          <w:color w:val="000000"/>
          <w:sz w:val="22"/>
        </w:rPr>
      </w:pPr>
      <w:r>
        <w:rPr>
          <w:rFonts w:ascii="Times New Roman;sans-serif" w:hAnsi="Times New Roman;sans-serif"/>
          <w:b w:val="false"/>
          <w:color w:val="000000"/>
          <w:sz w:val="22"/>
        </w:rPr>
        <w:t>February 21,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75260"/>
                <wp:effectExtent l="0" t="0" r="0" b="0"/>
                <wp:wrapNone/>
                <wp:docPr id="130"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31.1</w:t>
      </w:r>
    </w:p>
    <w:p>
      <w:pPr>
        <w:pStyle w:val="TextBody"/>
        <w:bidi w:val="0"/>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Michael Burkland,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Five9, Inc. for the year ended December 31, 2023;</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508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54"/>
        <w:gridCol w:w="154"/>
        <w:gridCol w:w="156"/>
        <w:gridCol w:w="724"/>
        <w:gridCol w:w="724"/>
        <w:gridCol w:w="102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75260"/>
                <wp:effectExtent l="0" t="0" r="0" b="0"/>
                <wp:wrapNone/>
                <wp:docPr id="131"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31.2</w:t>
      </w:r>
    </w:p>
    <w:p>
      <w:pPr>
        <w:pStyle w:val="TextBody"/>
        <w:bidi w:val="0"/>
        <w:spacing w:lineRule="auto" w:line="345" w:before="240" w:after="16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SECTION 302 OF</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THE SARBANES-OXLEY ACT OF 2002</w:t>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that:</w:t>
      </w:r>
    </w:p>
    <w:p>
      <w:pPr>
        <w:pStyle w:val="TextBody"/>
        <w:bidi w:val="0"/>
        <w:spacing w:before="0" w:after="0"/>
        <w:jc w:val="left"/>
        <w:rPr/>
      </w:pPr>
      <w:r>
        <w:rPr/>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annual report on Form 10-K of Five9, Inc. for the year ended December 31, 2023;</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312"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345" w:before="0" w:after="0"/>
        <w:jc w:val="left"/>
        <w:rPr>
          <w:color w:val="000000"/>
        </w:rPr>
      </w:pPr>
      <w:r>
        <w:rPr>
          <w:color w:val="000000"/>
        </w:rPr>
        <w:t> </w:t>
      </w:r>
    </w:p>
    <w:tbl>
      <w:tblPr>
        <w:tblW w:w="4963"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34"/>
        <w:gridCol w:w="134"/>
        <w:gridCol w:w="136"/>
        <w:gridCol w:w="707"/>
        <w:gridCol w:w="707"/>
        <w:gridCol w:w="100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(Principal Financial Officer)</w:t>
            </w:r>
          </w:p>
        </w:tc>
      </w:tr>
    </w:tbl>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75260"/>
                <wp:effectExtent l="0" t="0" r="0" b="0"/>
                <wp:wrapNone/>
                <wp:docPr id="132"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12" w:before="240" w:after="283"/>
        <w:jc w:val="right"/>
        <w:rPr>
          <w:rFonts w:ascii="Times New Roman;sans-serif" w:hAnsi="Times New Roman;sans-serif"/>
          <w:b/>
          <w:color w:val="000000"/>
          <w:sz w:val="22"/>
        </w:rPr>
      </w:pPr>
      <w:r>
        <w:rPr>
          <w:rFonts w:ascii="Times New Roman;sans-serif" w:hAnsi="Times New Roman;sans-serif"/>
          <w:b/>
          <w:color w:val="000000"/>
          <w:sz w:val="22"/>
        </w:rPr>
        <w:t>Exhibit 32.1</w:t>
      </w:r>
    </w:p>
    <w:p>
      <w:pPr>
        <w:pStyle w:val="TextBody"/>
        <w:bidi w:val="0"/>
        <w:spacing w:lineRule="auto" w:line="345" w:before="36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AND CHIEF FINANCIAL OFFICER</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w:t>
      </w:r>
    </w:p>
    <w:p>
      <w:pPr>
        <w:pStyle w:val="TextBody"/>
        <w:bidi w:val="0"/>
        <w:spacing w:lineRule="auto" w:line="345" w:before="0" w:after="240"/>
        <w:jc w:val="center"/>
        <w:rPr>
          <w:rFonts w:ascii="Times New Roman;sans-serif" w:hAnsi="Times New Roman;sans-serif"/>
          <w:b/>
          <w:color w:val="000000"/>
          <w:sz w:val="20"/>
        </w:rPr>
      </w:pPr>
      <w:r>
        <w:rPr>
          <w:rFonts w:ascii="Times New Roman;sans-serif" w:hAnsi="Times New Roman;sans-serif"/>
          <w:b/>
          <w:color w:val="000000"/>
          <w:sz w:val="20"/>
        </w:rPr>
        <w:t>SECTION 906 OF THE SARBANES-OXLEY ACT OF 2002</w:t>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Michael Burkland, certify, pursuant to 18 U.S.C. Section 1350, as adopted pursuant to Section 906 of the Sarbanes-Oxley Act of 2002, that the Annual Report of Five9, Inc. (the “Company”) on Form 10-K for the fiscal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677"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54"/>
        <w:gridCol w:w="154"/>
        <w:gridCol w:w="156"/>
        <w:gridCol w:w="605"/>
        <w:gridCol w:w="605"/>
        <w:gridCol w:w="859"/>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Michael Burkland</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312"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I, Barry Zwarenstein, certify, pursuant to 18 U.S.C. Section 1350, as adopted pursuant to Section 906 of the Sarbanes-Oxley Act of 2002, that the Annual Report of Five9, Inc. (the “Company”) on Form 10-K for the fiscal year ended December 31, 2023 fully complies with the requirements of Section 13(a) or 15(d) of the Securities Exchange Act of 1934 and that information contained in such Annual Report on Form 10-K fairly presents in all material respects the financial condition and results of operations of the Company.</w:t>
      </w:r>
    </w:p>
    <w:p>
      <w:pPr>
        <w:pStyle w:val="TextBody"/>
        <w:bidi w:val="0"/>
        <w:spacing w:lineRule="auto" w:line="345" w:before="0" w:after="0"/>
        <w:jc w:val="left"/>
        <w:rPr>
          <w:color w:val="000000"/>
        </w:rPr>
      </w:pPr>
      <w:r>
        <w:rPr>
          <w:color w:val="000000"/>
        </w:rPr>
        <w:t> </w:t>
      </w:r>
    </w:p>
    <w:tbl>
      <w:tblPr>
        <w:tblW w:w="4617" w:type="dxa"/>
        <w:jc w:val="left"/>
        <w:tblInd w:w="0" w:type="dxa"/>
        <w:tblLayout w:type="fixed"/>
        <w:tblCellMar>
          <w:top w:w="28" w:type="dxa"/>
          <w:left w:w="28" w:type="dxa"/>
          <w:bottom w:w="28" w:type="dxa"/>
          <w:right w:w="28" w:type="dxa"/>
        </w:tblCellMar>
      </w:tblPr>
      <w:tblGrid>
        <w:gridCol w:w="200"/>
        <w:gridCol w:w="177"/>
        <w:gridCol w:w="178"/>
        <w:gridCol w:w="529"/>
        <w:gridCol w:w="529"/>
        <w:gridCol w:w="531"/>
        <w:gridCol w:w="154"/>
        <w:gridCol w:w="154"/>
        <w:gridCol w:w="156"/>
        <w:gridCol w:w="588"/>
        <w:gridCol w:w="588"/>
        <w:gridCol w:w="833"/>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21, 2024</w:t>
            </w:r>
          </w:p>
        </w:tc>
        <w:tc>
          <w:tcPr>
            <w:tcW w:w="464"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r>
              <w:rPr>
                <w:rFonts w:ascii="Times New Roman;sans-serif" w:hAnsi="Times New Roman;sans-serif"/>
                <w:b w:val="false"/>
                <w:color w:val="000000"/>
                <w:sz w:val="20"/>
              </w:rPr>
              <w:t>By:</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Barry Zwarenstein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r>
          </w:p>
        </w:tc>
      </w:tr>
    </w:tbl>
    <w:p>
      <w:pPr>
        <w:pStyle w:val="TextBody"/>
        <w:bidi w:val="0"/>
        <w:spacing w:before="0" w:after="0"/>
        <w:jc w:val="left"/>
        <w:rPr/>
      </w:pPr>
      <w:r>
        <w:rPr/>
      </w:r>
    </w:p>
    <w:p>
      <w:pPr>
        <w:pStyle w:val="TextBody"/>
        <w:bidi w:val="0"/>
        <w:spacing w:before="120" w:after="283"/>
        <w:ind w:left="0" w:right="0" w:firstLine="495"/>
        <w:jc w:val="left"/>
        <w:rPr/>
      </w:pPr>
      <w:r>
        <w:rPr/>
      </w:r>
    </w:p>
    <w:p>
      <w:pPr>
        <w:pStyle w:val="TextBody"/>
        <w:bidi w:val="0"/>
        <w:spacing w:lineRule="auto" w:line="288" w:before="120" w:after="283"/>
        <w:ind w:left="0" w:right="0" w:firstLine="495"/>
        <w:jc w:val="left"/>
        <w:rPr>
          <w:rFonts w:ascii="Times New Roman;sans-serif" w:hAnsi="Times New Roman;sans-serif"/>
          <w:b w:val="false"/>
          <w:color w:val="000000"/>
          <w:sz w:val="20"/>
        </w:rPr>
      </w:pPr>
      <w:r>
        <w:rPr>
          <w:rFonts w:ascii="Times New Roman;sans-serif" w:hAnsi="Times New Roman;sans-serif"/>
          <w:b w:val="false"/>
          <w:color w:val="000000"/>
          <w:sz w:val="20"/>
        </w:rPr>
        <w:t>This certification accompanies the Form 10-K to which it relates, is not deemed filed with the Securities and Exchange Commission and is not to be incorporated by reference into any filing of Five9, Inc. under the Securities Act of 1933, as amended, or the Securities Exchange Act of 1934, as amended (whether made before or after the date of the Form 10-K), irrespective of any general incorporation language contained in such filing.</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center"/>
        <w:rPr/>
      </w:pPr>
      <w:bookmarkStart w:id="2" w:name="clawbackpolicy103123.htm"/>
      <w:bookmarkStart w:id="3" w:name="ksclawbackpolicy103123"/>
      <w:bookmarkEnd w:id="2"/>
      <w:bookmarkEnd w:id="3"/>
      <w:r>
        <w:rPr/>
        <w:drawing>
          <wp:inline distT="0" distB="0" distL="0" distR="0">
            <wp:extent cx="10048875" cy="13001625"/>
            <wp:effectExtent l="0" t="0" r="0" b="0"/>
            <wp:docPr id="133"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Image17"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75260"/>
                <wp:effectExtent l="0" t="0" r="0" b="0"/>
                <wp:wrapNone/>
                <wp:docPr id="134"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FIVE9, INC. Compensation Recoupment Policy Effective October 31, 2023 Purpose As required pursuant to the listing standards of the Nasdaq Stock Market LLC (the “Stock Exchange”), Section 10D of the Securities Exchange Act of 1934, as amended (the “Exchange Act”), and Rule 10D-1 under the Exchange Act, the Compensation Committee (the “Committee”) of the Board of Directors (the “Board”) of Five9, Inc. (the “Company”) has adopted this Compensation Recoupment Policy (the “Policy”) to empower the Company to recover Covered Compensation (as defined below) erroneously awarded to a Covered Officer (as defined below) in the event of an Accounting Restatement (as defined below). Notwithstanding anything in this Policy to the contrary, at all times, this Policy remains subject to interpretation and operation in accordance with the final rules and regulations promulgated by the U.S. Securities and Exchange Commission (the “SEC”), the final listing standards adopted by the Stock Exchange, and any applicable SEC or Stock Exchange guidance or interpretations issued from time to time regarding such Covered Compensation recovery requirements (collectively, the “Final Guidance”). Questions regarding this Policy should be directed to the Company’s Chief Legal Officer or Chief People Officer. Policy Statement Unless a Clawback Exception (as defined below) applies, the Company will recover reasonably promptly from each Covered Officer the Covered Compensation Received (as defined below) by such Covered Officer in the event that the Company is required to prepare an accounting restatement due to the material noncompliance of the Company with any financial reporting requirement under the securities laws, including any required accounting restatement to correct an error in previously issued financial statements that is material to the previously issued financial statements, or that would result in a material misstatement if the error were corrected in the current period or left uncorrected in the current period (each, an “Accounting Restatement”). If a Clawback Exception applies with respect to a Covered Officer, the Company may forgo such recovery under this Policy from any such Covered Officer. Covered Officers For purposes of this Policy, “Covered Officer” is defined as any current or former Section 16 “officer” of the Company within the meaning of Rule 16a-1(f) under the Exchange Act, as determined by the Board. Covered Compensation For purposes of this Policy: • “Covered Compensation” is defined as the amount of Incentive-Based Compensation (as defined below) Received during the applicable Recovery Period (as defined below) that exceeds the amount of Incentive-Based Compensation that otherwise would have been Received during such Recovery Period had it been determined based on the relevant restated amounts and computed without regard to any taxes paid. Incentive-Based Compensation Received by a Covered Officer will only qualify as Covered Compensation if: (i) it is Received on or after October 2, 2023; (ii) it is Received after such Covered Officer begins service as a Covered Officer; (iii) such Covered Officer served as a Covered Officer at any time during the performance period for such Incentive-Based Compensation; and (iv) it is Received while the Company has a class of securities listed on a national securities exchange or a national securities association. For Incentive-Based Compensation based on stock price or total shareholder return (or any measure derived wholly or in part from either of such measures), where the amount of erroneously awarded Covered Compensation is not subject to mathematical recalculation directly from the information in an Accounting Restatement, the amount of such Incentive-Based Compensation that is deemed to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5"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Image18"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Covered Compensation will be based on a reasonable estimate of the effect of the Accounting Restatement on the stock price or total shareholder return upon which the Incentive-Based Compensation was Received, and the Company will maintain and provide to the Stock Exchange documentation of the determination of such reasonable estimate. • “Incentive-Based Compensation” is defined as any compensation that is granted, earned, or vested based wholly or in part upon the attainment of a Financial Reporting Measure (as defined below). For purposes of clarity, Incentive-Based Compensation includes compensation that is in any plan, other than tax-qualified retirement plans, including long term disability, life insurance, and supplemental executive retirement plans, and any other compensation that is based on such Incentive-Based Compensation, such as earnings accrued on notional amounts of Incentive-Based Compensation contributed to such plans. • “Financial Reporting Measure” is defined as a measure that is determined and presented in accordance with the accounting principles used in preparing the Company’s financial statements, and any measures that are derived wholly or in part from such measures. Stock price and total shareholder return are also Financial Reporting Measures. • Incentive-Based Compensation is deemed “Received” in the Company’s fiscal period during which the Financial Reporting Measure specified in the Incentive-Based Compensation award is attained, even if the payment or grant of the Incentive-Based Compensation occurs after the end of that period. Recovery Period For purposes of this Policy, the applicable “Recovery Period” is defined as the three completed fiscal years immediately preceding the Trigger Date (as defined below) and, if applicable, any transition period resulting from a change in the Company’s fiscal year within or immediately following those three completed fiscal years (provided, however, that if a transition period between the last day of the Company’s previous fiscal year end and the first day of its new fiscal year comprises a period of nine to 12 months, such period would be deemed to be a completed fiscal year). For purposes of this Policy, the “Trigger Date” as of which the Company is required to prepare an Accounting Restatement is the earlier to occur of: (i) the date that the Board, applicable Board committee, or officers authorized to take action if Board action is not required, concludes, or reasonably should have concluded, that the Company is required to prepare the Accounting Restatement or (ii) the date a court, regulator, or other legally authorized body directs the Company to prepare the Accounting Restatement. Clawback Exceptions The Company is required to recover all Covered Compensation Received by a Covered Officer in the event of an Accounting Restatement unless (i) one of the following conditions are met and (ii) the Committee has made a determination that recovery would be impracticable in accordance with Rule 10D-1 under the Exchange Act (under such circumstances, a “Clawback Exception” applies): • the direct expense paid to a third party to assist in enforcing this Policy would exceed the amount to be recovered (and the Company has already made a reasonable attempt to recover such erroneously awarded Covered Compensation from such Covered Officer, has documented such reasonable attempt(s) to recover, and has provided such documentation to the Stock Exchange); • recovery would violate home country law that was adopted prior to November 28, 2022 (and the Company has already obtained an opinion of home country counsel, acceptable to the Stock Exchange, that recovery would result in such a violation, and provided such opinion to the Stock Exchange); or • recovery would likely cause an otherwise tax-qualified retirement plan, under which benefits are broadly available to employees of the Company, to fail to meet the requirements of Section 401(a)(13) or Section 411(a) of the Internal Revenue Code and regulations thereunder. For purposes of clarity, this Clawback Exception only applies to tax-qualified retirement plans and does not apply to other plans, including long term disability, life insurance, and supplemental executive retirement plans, or any other compensation that is based on Incentive-Based Compensation in such plans, such as earnings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6"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Image19"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accrued on notional amounts of Incentive-Based Compensation contributed to such plans. Prohibitions The Company is prohibited from paying or reimbursing the cost of insurance for, or indemnifying, any Covered Officer against the loss of erroneously awarded Covered Compensation. Administration and Interpretation The Committee will administer this Policy in accordance with the Final Guidance, and will have full and exclusive authority and discretion to supplement, amend, repeal, interpret, terminate, construe, modify, replace and/or enforce (in whole or in part) this Policy, including the authority to correct any defect, supply any omission or reconcile any ambiguity, inconsistency or conflict in the Policy, subject in all cases to the Final Guidance. The Committee will review the Policy from time to time and will have full and exclusive authority to take any action it deems appropriate. Notwithstanding anything to the contrary contained herein, to the extent permitted by the Final Guidance, the Board may, in its sole discretion, at any time and from time to time, administer this Policy in the same manner as the Committee. The Committee will have the authority to offset any compensation or benefit amounts that become due to the applicable Covered Officers to the extent permissible under Section 409A of the Internal Revenue Code of 1986, as amended, and as it deems necessary or desirable to recover any Covered Compensation Each Covered Officer, upon being so designated or assuming such position, is required to execute an acknowledgment of and consent to this Policy, (i) acknowledging and consenting to be bound by the terms of this Policy, (ii) agreeing to fully cooperate with the Company in connection with any of such Covered Officer’s obligations to the Company pursuant to this Policy, and (iii) agreeing that the Company may enforce its rights under this Policy through any and all reasonable means permitted under applicable law as it deems necessary or desirable under this Policy. Any right of recoupment under this Policy is in addition to, and not in lieu of, any other remedies, rights or requirements with respect to the clawback or recoupment of any compensation that may be available to the Company pursuant to the terms of any other recoupment or clawback policy of the Company (or any of its affiliates) that may be in effect from time to time, any provisions in any employment agreement, offer letter, equity plan, equity award agreement or similar plan or agreement, and any other legal remedies available to the Company, as well as applicable law, stock market or exchange rules, listing standards or regulations; provided, however, that any amounts recouped or clawed back under any other policy that would be recoupable under this Policy shall count toward any required clawback or recoupment under this Policy and vice versa Disclosure This Policy, and any recovery of Covered Compensation by the Company pursuant to this Policy that is required to be disclosed in the Company’s filings with the SEC, will be disclosed as required by the Securities Act of 1933, as amended, the Exchange Act, and related rules and regulations, including the Final Guidance.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7"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Image20"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FIVE9, INC. Compensation Recoupment Policy Acknowledgment and Consent The undersigned hereby acknowledges that he or she has received and reviewed a copy of the Compensation Recoupment Policy (the “Policy”) of Five9, Inc.(the “Company”), effective as of October 31, 2023, as adopted by the Compensation Committee of the Company’s Board of Directors. Pursuant to such Policy, the undersigned hereby: • acknowledges that he or she has been designated as (or assumed the position of) a Covered Officer (as defined in the Policy); • acknowledges and consents to the Policy; • acknowledges and consents to be bound by the terms of the Policy; • agrees to fully cooperate with the Company in connection with any of the undersigned’s obligations to the Company pursuant to the Policy, including, without limitation, the repayment by or recovery from the undersigned of Covered Compensation (as defined in the Policy); and • agrees that the Company may enforce its rights under the Policy through any and all reasonable means permitted under applicable law as the Company deems necessary or desirable under the Policy. ACKNOWLEDGED AND AGREED: Name: Date: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2">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image" Target="media/image2.jpeg"/><Relationship Id="rId4" Type="http://schemas.openxmlformats.org/officeDocument/2006/relationships/hyperlink" Target="https://www.sec.gov/Archives/edgar/data/1288847/000119312514138642/d710386dex32.htm" TargetMode="External"/><Relationship Id="rId5" Type="http://schemas.openxmlformats.org/officeDocument/2006/relationships/hyperlink" Target="https://www.sec.gov/Archives/edgar/data/1288847/000128884723000156/five9incamendedandrestat.htm" TargetMode="External"/><Relationship Id="rId6" Type="http://schemas.openxmlformats.org/officeDocument/2006/relationships/hyperlink" Target="https://www.sec.gov/Archives/edgar/data/1288847/000128884723000156/five9incamendedandrestat.htm" TargetMode="External"/><Relationship Id="rId7" Type="http://schemas.openxmlformats.org/officeDocument/2006/relationships/hyperlink" Target="http://www.sec.gov/Archives/edgar/data/1288847/000119312514111175/d626745dex41.htm" TargetMode="External"/><Relationship Id="rId8" Type="http://schemas.openxmlformats.org/officeDocument/2006/relationships/hyperlink" Target="https://www.sec.gov/Archives/edgar/data/1288847/000128884720000028/exhibit44descriptionof.htm" TargetMode="External"/><Relationship Id="rId9" Type="http://schemas.openxmlformats.org/officeDocument/2006/relationships/hyperlink" Target="https://www.sec.gov/Archives/edgar/data/1288847/000128884720000028/exhibit44descriptionof.htm" TargetMode="External"/><Relationship Id="rId10" Type="http://schemas.openxmlformats.org/officeDocument/2006/relationships/hyperlink" Target="https://www.sec.gov/Archives/edgar/data/1288847/000128884720000028/exhibit44descriptionof.htm" TargetMode="External"/><Relationship Id="rId11" Type="http://schemas.openxmlformats.org/officeDocument/2006/relationships/hyperlink" Target="https://www.sec.gov/Archives/edgar/data/1288847/000128884720000090/exhibit41-indenture.htm" TargetMode="External"/><Relationship Id="rId12" Type="http://schemas.openxmlformats.org/officeDocument/2006/relationships/hyperlink" Target="https://www.sec.gov/Archives/edgar/data/1288847/000128884720000090/exhibit41-indenture.htm" TargetMode="External"/><Relationship Id="rId13" Type="http://schemas.openxmlformats.org/officeDocument/2006/relationships/hyperlink" Target="http://www.sec.gov/Archives/edgar/data/1288847/000128884715000034/a063015exhibit101.htm" TargetMode="External"/><Relationship Id="rId14" Type="http://schemas.openxmlformats.org/officeDocument/2006/relationships/hyperlink" Target="http://www.sec.gov/Archives/edgar/data/1288847/000119312514078791/d626745dex103.htm" TargetMode="External"/><Relationship Id="rId15" Type="http://schemas.openxmlformats.org/officeDocument/2006/relationships/hyperlink" Target="http://www.sec.gov/Archives/edgar/data/1288847/000119312514078791/d626745dex104.htm" TargetMode="External"/><Relationship Id="rId16" Type="http://schemas.openxmlformats.org/officeDocument/2006/relationships/hyperlink" Target="https://www.sec.gov/Archives/edgar/data/1288847/000119312522260119/d748132dex101.htm" TargetMode="External"/><Relationship Id="rId17" Type="http://schemas.openxmlformats.org/officeDocument/2006/relationships/hyperlink" Target="http://www.sec.gov/Archives/edgar/data/1288847/000119312514129434/d626745dex108.htm" TargetMode="External"/><Relationship Id="rId18" Type="http://schemas.openxmlformats.org/officeDocument/2006/relationships/hyperlink" Target="http://www.sec.gov/Archives/edgar/data/1288847/000128884714000005/a033114exhibit102_descript.htm" TargetMode="External"/><Relationship Id="rId19" Type="http://schemas.openxmlformats.org/officeDocument/2006/relationships/hyperlink" Target="http://www.sec.gov/Archives/edgar/data/1288847/000119312514111175/d626745dex109.htm" TargetMode="External"/><Relationship Id="rId20" Type="http://schemas.openxmlformats.org/officeDocument/2006/relationships/hyperlink" Target="https://www.sec.gov/Archives/edgar/data/1288847/000128884720000166/a2018_11x16inference-201.htm" TargetMode="External"/><Relationship Id="rId21" Type="http://schemas.openxmlformats.org/officeDocument/2006/relationships/hyperlink" Target="http://www.sec.gov/Archives/edgar/data/1288847/000119312514111175/d626745dex1010.htm" TargetMode="External"/><Relationship Id="rId22" Type="http://schemas.openxmlformats.org/officeDocument/2006/relationships/hyperlink" Target="http://www.sec.gov/Archives/edgar/data/1288847/000128884719000048/exhibit1012019keyemployees.htm" TargetMode="External"/><Relationship Id="rId23" Type="http://schemas.openxmlformats.org/officeDocument/2006/relationships/hyperlink" Target="https://www.sec.gov/Archives/edgar/data/1288847/000128884721000012/exhibit101_five9executivei.htm" TargetMode="External"/><Relationship Id="rId24" Type="http://schemas.openxmlformats.org/officeDocument/2006/relationships/hyperlink" Target="https://www.sec.gov/Archives/edgar/data/1288847/000128884723000029/a123122ex1013_non-employee.htm" TargetMode="External"/><Relationship Id="rId25" Type="http://schemas.openxmlformats.org/officeDocument/2006/relationships/hyperlink" Target="https://www.sec.gov/Archives/edgar/data/1288847/000128884720000090/exhibit101-formofcappedc.htm" TargetMode="External"/><Relationship Id="rId26" Type="http://schemas.openxmlformats.org/officeDocument/2006/relationships/hyperlink" Target="https://www.sec.gov/Archives/edgar/data/1288847/000128884720000123/exhibit101_bishopranchbu.htm" TargetMode="External"/><Relationship Id="rId27" Type="http://schemas.openxmlformats.org/officeDocument/2006/relationships/hyperlink" Target="https://www.sec.gov/Archives/edgar/data/1288847/000128884722000017/a123121ex1019-formofprsuno.htm" TargetMode="External"/><Relationship Id="rId28" Type="http://schemas.openxmlformats.org/officeDocument/2006/relationships/hyperlink" Target="https://www.sec.gov/Archives/edgar/data/1288847/000128884722000017/a123121ex10ormrsunoticeand.htm" TargetMode="External"/><Relationship Id="rId29" Type="http://schemas.openxmlformats.org/officeDocument/2006/relationships/hyperlink" Target="https://www.sec.gov/Archives/edgar/data/1288847/000128884722000017/a123121ex1021-formofstocko.htm" TargetMode="External"/><Relationship Id="rId30" Type="http://schemas.openxmlformats.org/officeDocument/2006/relationships/hyperlink" Target="https://www.sec.gov/Archives/edgar/data/1288847/000128884722000086/a063022exhibit101.htm" TargetMode="External"/><Relationship Id="rId31" Type="http://schemas.openxmlformats.org/officeDocument/2006/relationships/hyperlink" Target="https://www.sec.gov/Archives/edgar/data/1288847/000128884723000029/a123122_ex1021xprsu2023x20.htm" TargetMode="External"/><Relationship Id="rId32" Type="http://schemas.openxmlformats.org/officeDocument/2006/relationships/image" Target="media/image3.jpeg"/><Relationship Id="rId33" Type="http://schemas.openxmlformats.org/officeDocument/2006/relationships/image" Target="media/image4.jpeg"/><Relationship Id="rId34" Type="http://schemas.openxmlformats.org/officeDocument/2006/relationships/image" Target="media/image5.jpeg"/><Relationship Id="rId35" Type="http://schemas.openxmlformats.org/officeDocument/2006/relationships/image" Target="media/image6.jpeg"/><Relationship Id="rId36" Type="http://schemas.openxmlformats.org/officeDocument/2006/relationships/image" Target="media/image7.jpeg"/><Relationship Id="rId37" Type="http://schemas.openxmlformats.org/officeDocument/2006/relationships/image" Target="media/image8.jpeg"/><Relationship Id="rId38" Type="http://schemas.openxmlformats.org/officeDocument/2006/relationships/image" Target="media/image9.jpeg"/><Relationship Id="rId39" Type="http://schemas.openxmlformats.org/officeDocument/2006/relationships/image" Target="media/image10.jpeg"/><Relationship Id="rId40" Type="http://schemas.openxmlformats.org/officeDocument/2006/relationships/image" Target="media/image11.jpeg"/><Relationship Id="rId41" Type="http://schemas.openxmlformats.org/officeDocument/2006/relationships/image" Target="media/image12.jpeg"/><Relationship Id="rId42" Type="http://schemas.openxmlformats.org/officeDocument/2006/relationships/image" Target="media/image13.jpeg"/><Relationship Id="rId43" Type="http://schemas.openxmlformats.org/officeDocument/2006/relationships/image" Target="media/image14.jpeg"/><Relationship Id="rId44" Type="http://schemas.openxmlformats.org/officeDocument/2006/relationships/image" Target="media/image15.jpeg"/><Relationship Id="rId45" Type="http://schemas.openxmlformats.org/officeDocument/2006/relationships/image" Target="media/image16.jpeg"/><Relationship Id="rId46" Type="http://schemas.openxmlformats.org/officeDocument/2006/relationships/image" Target="media/image17.jpeg"/><Relationship Id="rId47" Type="http://schemas.openxmlformats.org/officeDocument/2006/relationships/image" Target="media/image18.jpeg"/><Relationship Id="rId48" Type="http://schemas.openxmlformats.org/officeDocument/2006/relationships/image" Target="media/image19.jpeg"/><Relationship Id="rId49" Type="http://schemas.openxmlformats.org/officeDocument/2006/relationships/image" Target="media/image20.jpeg"/><Relationship Id="rId50" Type="http://schemas.openxmlformats.org/officeDocument/2006/relationships/fontTable" Target="fontTable.xml"/><Relationship Id="rId5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19</Pages>
  <Words>76433</Words>
  <Characters>426251</Characters>
  <CharactersWithSpaces>500366</CharactersWithSpaces>
  <Paragraphs>4536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clawbackpolicy103123</dc:title>
</cp:coreProperties>
</file>