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April 30, 2026</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FIVE9,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p>
    <w:tbl>
      <w:tblPr>
        <w:tblW w:w="5263" w:type="dxa"/>
        <w:jc w:val="center"/>
        <w:tblInd w:w="0" w:type="dxa"/>
        <w:tblLayout w:type="fixed"/>
        <w:tblCellMar>
          <w:top w:w="28" w:type="dxa"/>
          <w:left w:w="28" w:type="dxa"/>
          <w:bottom w:w="28" w:type="dxa"/>
          <w:right w:w="28" w:type="dxa"/>
        </w:tblCellMar>
      </w:tblPr>
      <w:tblGrid>
        <w:gridCol w:w="748"/>
        <w:gridCol w:w="656"/>
        <w:gridCol w:w="665"/>
        <w:gridCol w:w="568"/>
        <w:gridCol w:w="568"/>
        <w:gridCol w:w="574"/>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001-36383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94-3394123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3001 Bishop Drive, Suite 350 </w:t>
      </w:r>
    </w:p>
    <w:p>
      <w:pPr>
        <w:pStyle w:val="TextBody"/>
        <w:bidi w:val="0"/>
        <w:spacing w:lineRule="auto" w:line="288" w:before="0" w:after="0"/>
        <w:jc w:val="center"/>
        <w:rPr/>
      </w:pPr>
      <w:r>
        <w:rPr>
          <w:rFonts w:ascii="Times New Roman;serif" w:hAnsi="Times New Roman;serif"/>
          <w:b/>
          <w:color w:val="000000"/>
          <w:sz w:val="20"/>
        </w:rPr>
        <w:t>San Ramon, CA 94583</w:t>
      </w:r>
      <w:r>
        <w:rPr>
          <w:color w:val="000000"/>
        </w:rPr>
        <w:t xml:space="preserve">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(925) 201-2000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tbl>
      <w:tblPr>
        <w:tblW w:w="10205" w:type="dxa"/>
        <w:jc w:val="center"/>
        <w:tblInd w:w="0" w:type="dxa"/>
        <w:tblLayout w:type="fixed"/>
        <w:tblCellMar>
          <w:top w:w="28" w:type="dxa"/>
          <w:left w:w="28" w:type="dxa"/>
          <w:bottom w:w="28" w:type="dxa"/>
          <w:right w:w="28" w:type="dxa"/>
        </w:tblCellMar>
      </w:tblPr>
      <w:tblGrid>
        <w:gridCol w:w="3563"/>
        <w:gridCol w:w="3129"/>
        <w:gridCol w:w="3139"/>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Indicated by check mark whether the registrant is an emerging growth company as defined in Rule 405 of the Securities Act of 1933 (§230.405 of this chapter) or Rule 12b-2 of the Securities Exchange Act of 1934 (§240.12b-2 of this chapter).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April 30, 2026, Five9, Inc. (the “Company”) announced its financial results for the fiscal quarter ended March 31, 2026. The full text of the press release issued in connection with the announcement is furnished as Exhibit 99.1 to this Current Report on Form 8-K. The Company is also providing additional financial information that will be posted on the Investor Relations sections of its website at https://investors.five9.com/, which is attached as Exhibit 99.2 hereto.</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information in Item 2.02 of this Current Report on Form 8-K (including Exhibits 99.1 and 99.2. furnished herewith)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 </w:t>
      </w:r>
    </w:p>
    <w:p>
      <w:pPr>
        <w:pStyle w:val="TextBody"/>
        <w:bidi w:val="0"/>
        <w:spacing w:before="280" w:after="283"/>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802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971"/>
        <w:gridCol w:w="1971"/>
        <w:gridCol w:w="280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0331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33126ex991earningsrelease.htm">
              <w:r>
                <w:rPr>
                  <w:rStyle w:val="InternetLink"/>
                  <w:rFonts w:ascii="Times New Roman;serif" w:hAnsi="Times New Roman;serif"/>
                  <w:b w:val="false"/>
                  <w:color w:val="000080"/>
                  <w:sz w:val="20"/>
                  <w:u w:val="single"/>
                </w:rPr>
                <w:t xml:space="preserve">Press Release issued by the Company on </w:t>
              </w:r>
            </w:hyperlink>
            <w:hyperlink w:anchor="a033126ex991earningsrelease.htm">
              <w:r>
                <w:rPr>
                  <w:rStyle w:val="InternetLink"/>
                  <w:rFonts w:ascii="Times New Roman;serif" w:hAnsi="Times New Roman;serif"/>
                  <w:b w:val="false"/>
                  <w:color w:val="000080"/>
                  <w:sz w:val="20"/>
                  <w:u w:val="single"/>
                </w:rPr>
                <w:t>April 30</w:t>
              </w:r>
            </w:hyperlink>
            <w:hyperlink w:anchor="a033126ex991earningsrelease.htm">
              <w:r>
                <w:rPr>
                  <w:rStyle w:val="InternetLink"/>
                  <w:rFonts w:ascii="Times New Roman;serif" w:hAnsi="Times New Roman;serif"/>
                  <w:b w:val="false"/>
                  <w:color w:val="000080"/>
                  <w:sz w:val="20"/>
                  <w:u w:val="single"/>
                </w:rPr>
                <w:t>, 202</w:t>
              </w:r>
            </w:hyperlink>
            <w:hyperlink w:anchor="a033126ex991earningsrelease.htm">
              <w:r>
                <w:rPr>
                  <w:rStyle w:val="InternetLink"/>
                  <w:rFonts w:ascii="Times New Roman;serif" w:hAnsi="Times New Roman;serif"/>
                  <w:b w:val="false"/>
                  <w:color w:val="000080"/>
                  <w:sz w:val="20"/>
                  <w:u w:val="single"/>
                </w:rPr>
                <w:t>6</w:t>
              </w:r>
            </w:hyperlink>
            <w:hyperlink w:anchor="a033126ex991earningsrelease.htm">
              <w:r>
                <w:rPr>
                  <w:rStyle w:val="InternetLink"/>
                  <w:rFonts w:ascii="Times New Roman;serif" w:hAnsi="Times New Roman;serif"/>
                  <w:b w:val="false"/>
                  <w:color w:val="000080"/>
                  <w:sz w:val="20"/>
                  <w:u w:val="single"/>
                </w:rPr>
                <w:t>.</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2_fivn-suppleme.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_fivn-suppleme.htm">
              <w:r>
                <w:rPr>
                  <w:rStyle w:val="InternetLink"/>
                  <w:rFonts w:ascii="Times New Roman;serif" w:hAnsi="Times New Roman;serif"/>
                  <w:b w:val="false"/>
                  <w:color w:val="0000FF"/>
                  <w:sz w:val="20"/>
                  <w:u w:val="single"/>
                </w:rPr>
                <w:t>Supplemental Metric Disclosure</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this Current Report on Form 8-K, formatted in Inline XBRL.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196"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109"/>
        <w:gridCol w:w="109"/>
        <w:gridCol w:w="109"/>
        <w:gridCol w:w="109"/>
        <w:gridCol w:w="109"/>
        <w:gridCol w:w="109"/>
        <w:gridCol w:w="109"/>
        <w:gridCol w:w="109"/>
        <w:gridCol w:w="109"/>
        <w:gridCol w:w="135"/>
        <w:gridCol w:w="135"/>
        <w:gridCol w:w="135"/>
        <w:gridCol w:w="121"/>
        <w:gridCol w:w="121"/>
        <w:gridCol w:w="121"/>
        <w:gridCol w:w="588"/>
        <w:gridCol w:w="588"/>
        <w:gridCol w:w="8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FIVE9,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before="0" w:after="0"/>
              <w:jc w:val="center"/>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240"/>
        <w:jc w:val="center"/>
        <w:rPr/>
      </w:pPr>
      <w:r>
        <w:rPr/>
      </w:r>
    </w:p>
    <w:p>
      <w:pPr>
        <w:pStyle w:val="TextBody"/>
        <w:bidi w:val="0"/>
        <w:spacing w:before="120" w:after="240"/>
        <w:jc w:val="center"/>
        <w:rPr/>
      </w:pPr>
      <w:r>
        <w:rPr/>
      </w:r>
    </w:p>
    <w:p>
      <w:pPr>
        <w:pStyle w:val="TextBody"/>
        <w:bidi w:val="0"/>
        <w:spacing w:before="120" w:after="240"/>
        <w:jc w:val="center"/>
        <w:rPr/>
      </w:pPr>
      <w:r>
        <w:rPr/>
        <w:drawing>
          <wp:inline distT="0" distB="0" distL="0" distR="0">
            <wp:extent cx="137160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5720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 xml:space="preserve">Five9 Announces First Quarter 2026 Financial Results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Q1 Revenue grew 9% year-over-year</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Q1 Subscription Revenue grew 13% year-over-year</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Announces $90 million accelerated share repurchase to complete $150 million program </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Announces authorization for a new $200 million share repurchase program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40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SAN RAMON, Calif. - April 30, 2026 - Five9, Inc. (NASDAQ:FIVN), the Intelligent CX Platform provider, today reported results for the first quarter ended March 31, 2026. </w:t>
      </w:r>
    </w:p>
    <w:p>
      <w:pPr>
        <w:pStyle w:val="TextBody"/>
        <w:bidi w:val="0"/>
        <w:spacing w:lineRule="auto" w:line="417" w:before="300" w:after="120"/>
        <w:jc w:val="left"/>
        <w:rPr>
          <w:rFonts w:ascii="Times New Roman;serif" w:hAnsi="Times New Roman;serif"/>
          <w:b/>
          <w:color w:val="000000"/>
          <w:sz w:val="24"/>
        </w:rPr>
      </w:pPr>
      <w:r>
        <w:rPr>
          <w:rFonts w:ascii="Times New Roman;serif" w:hAnsi="Times New Roman;serif"/>
          <w:b/>
          <w:color w:val="000000"/>
          <w:sz w:val="24"/>
        </w:rPr>
        <w:t>First Quarter 2026 Financial Results</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Revenue for the first quarter of 2026 increased 9% to $305.3 million, compared to $279.7 million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gross margin was 55.9% for the first quarter of 2026, compared to 55.0%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Adjusted gross margin was 63.6% for the first quarter of 2026, compared to 62.4%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net income for the first quarter of 2026 was $18.4 million, or $0.21 per diluted share, and 6.0% of revenue, compared to GAAP net income of $0.6 million, or $0.01 per diluted share, and 0.2% of revenue,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Non-GAAP net income for the first quarter of 2026 was $58.6 million, or $0.76 per diluted share, and 19.2% of revenue, compared to non-GAAP net income of $47.3 million, or $0.62 per diluted share, and 16.9% of revenue,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Adjusted EBITDA for the first quarter of 2026 was $74.5 million, or 24.4% of revenue, compared to $52.7 million, or 18.8% of revenue, for the first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operating cash flow for the first quarter of 2026 was $63.9 million, compared to GAAP operating cash flow of $48.4 million for the first quarter of 2025.</w:t>
      </w:r>
    </w:p>
    <w:p>
      <w:pPr>
        <w:pStyle w:val="TextBody"/>
        <w:bidi w:val="0"/>
        <w:spacing w:before="0" w:after="0"/>
        <w:jc w:val="left"/>
        <w:rPr/>
      </w:pPr>
      <w:r>
        <w:rPr/>
      </w:r>
    </w:p>
    <w:p>
      <w:pPr>
        <w:pStyle w:val="TextBody"/>
        <w:bidi w:val="0"/>
        <w:spacing w:lineRule="auto" w:line="268"/>
        <w:jc w:val="both"/>
        <w:rPr>
          <w:color w:val="000000"/>
        </w:rPr>
      </w:pPr>
      <w:r>
        <w:rPr>
          <w:color w:val="000000"/>
        </w:rPr>
        <w:t>“</w:t>
      </w:r>
      <w:r>
        <w:rPr>
          <w:rFonts w:ascii="Times New Roman;serif" w:hAnsi="Times New Roman;serif"/>
          <w:b w:val="false"/>
          <w:color w:val="000000"/>
          <w:sz w:val="24"/>
        </w:rPr>
        <w:t xml:space="preserve">This quarter marks a second quarter of accelerating subscription revenue growth and an important first step in translating our strategy into strong, quantifiable results. With a renewed focus on a performance-driven culture, we are taking decisive action to sharpen our execution and optimize our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organizational design. We are committed to building on this momentum and demonstrating our progress as we position Five9 to win for the next decade.”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Amit Mathradas, Chief Executive Officer</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Five9 also announced today its intent to enter into an accelerated share repurchase of $90 million to close out the remaining balance of the $150 million share repurchase program announced on November 6, 2025, and that its Board of Directors authorized a new share repurchase program for up to $200 million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First Quarter &amp; Recent Business Highlights</w:t>
      </w:r>
    </w:p>
    <w:p>
      <w:pPr>
        <w:pStyle w:val="TextBody"/>
        <w:bidi w:val="0"/>
        <w:spacing w:lineRule="auto" w:line="417" w:before="120" w:after="283"/>
        <w:ind w:left="0" w:right="0" w:hanging="360"/>
        <w:jc w:val="left"/>
        <w:rPr/>
      </w:pPr>
      <w:r>
        <w:rPr>
          <w:color w:val="000000"/>
        </w:rPr>
        <w:t>•</w:t>
      </w:r>
      <w:r>
        <w:rPr>
          <w:rFonts w:ascii="Times New Roman;serif" w:hAnsi="Times New Roman;serif"/>
          <w:b w:val="false"/>
          <w:color w:val="000000"/>
          <w:sz w:val="24"/>
        </w:rPr>
        <w:t>LTM subscription and telecom dollar-based retention rate was 105% as of March 31,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4"/>
        </w:rPr>
        <w:t>LTM subscription dollar-based retention rate was 107% as of March 31,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4"/>
        </w:rPr>
        <w:t>Appointed Jay Lee as Chief Marketing and Growth Officer</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4"/>
        </w:rPr>
        <w:t>Launched Joint Enterprise Customer Experience AI Solution with Google Cloud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Supplemental metric disclosure is available on the Investor Relations section of the Company's website at https://investors.five9.com/</w:t>
      </w:r>
    </w:p>
    <w:p>
      <w:pPr>
        <w:pStyle w:val="TextBody"/>
        <w:bidi w:val="0"/>
        <w:spacing w:lineRule="auto" w:line="417" w:before="240" w:after="283"/>
        <w:jc w:val="left"/>
        <w:rPr>
          <w:rFonts w:ascii="Times New Roman;serif" w:hAnsi="Times New Roman;serif"/>
          <w:b/>
          <w:color w:val="000000"/>
          <w:sz w:val="24"/>
        </w:rPr>
      </w:pPr>
      <w:r>
        <w:rPr>
          <w:rFonts w:ascii="Times New Roman;serif" w:hAnsi="Times New Roman;serif"/>
          <w:b/>
          <w:color w:val="000000"/>
          <w:sz w:val="24"/>
        </w:rPr>
        <w:t>Business Outlook</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Five9 provides guidance based on current market conditions and expectations. Five9 emphasizes that the guidance is subject to various important cautionary factors referenced in the section entitled "Forward-Looking Statements" below, including risks and uncertainties associated with the ongoing impact of macroeconomic challenges. </w:t>
      </w:r>
    </w:p>
    <w:p>
      <w:pPr>
        <w:pStyle w:val="TextBody"/>
        <w:bidi w:val="0"/>
        <w:spacing w:lineRule="auto" w:line="288" w:before="240" w:after="283"/>
        <w:ind w:left="0" w:right="0" w:hanging="225"/>
        <w:jc w:val="left"/>
        <w:rPr/>
      </w:pPr>
      <w:r>
        <w:rPr>
          <w:color w:val="000000"/>
        </w:rPr>
        <w:t>•</w:t>
      </w:r>
      <w:r>
        <w:rPr>
          <w:rFonts w:ascii="Times New Roman;serif" w:hAnsi="Times New Roman;serif"/>
          <w:b/>
          <w:color w:val="000000"/>
          <w:sz w:val="24"/>
        </w:rPr>
        <w:t>For the full year 2026, Five9 expects to report: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Revenue in the range of $1.254 to $1.266 billion.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GAAP net income per share in the range of $0.73 to $0.85, assuming diluted shares outstanding of approximately 85.4 million.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Non-GAAP net income per share in the range of $3.22 to $3.30, assuming diluted shares outstanding of approximately 76.0 million.</w:t>
      </w:r>
    </w:p>
    <w:p>
      <w:pPr>
        <w:pStyle w:val="TextBody"/>
        <w:bidi w:val="0"/>
        <w:spacing w:lineRule="auto" w:line="288" w:before="240" w:after="283"/>
        <w:ind w:left="0" w:right="0" w:hanging="225"/>
        <w:jc w:val="left"/>
        <w:rPr/>
      </w:pPr>
      <w:r>
        <w:rPr>
          <w:color w:val="000000"/>
        </w:rPr>
        <w:t>•</w:t>
      </w:r>
      <w:r>
        <w:rPr>
          <w:rFonts w:ascii="Times New Roman;serif" w:hAnsi="Times New Roman;serif"/>
          <w:b/>
          <w:color w:val="000000"/>
          <w:sz w:val="24"/>
        </w:rPr>
        <w:t>For the second quarter of 2026, Five9 expects to report:</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Revenue in the range of $303.0 to $309.0 million.</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 xml:space="preserve">GAAP net loss per share in the range of $(0.09) to $0.00, assuming basic shares outstanding of approximately 75.3 million. </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 xml:space="preserve">Non-GAAP net income per share in the range of $0.65 to $0.69, assuming diluted shares outstanding of approximately 75.4 million.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With respect to Five9’s guidance as provided above, please refer to the “Reconciliation of GAAP Net Income (Loss) to Non-GAAP Net Income - Guidance” table for more details, including important assumptions upon which such guidance is based.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20" w:after="120"/>
        <w:jc w:val="left"/>
        <w:rPr>
          <w:rFonts w:ascii="Times New Roman;serif" w:hAnsi="Times New Roman;serif"/>
          <w:b/>
          <w:color w:val="000000"/>
          <w:sz w:val="24"/>
        </w:rPr>
      </w:pPr>
      <w:r>
        <w:rPr>
          <w:rFonts w:ascii="Times New Roman;serif" w:hAnsi="Times New Roman;serif"/>
          <w:b/>
          <w:color w:val="000000"/>
          <w:sz w:val="24"/>
        </w:rPr>
        <w:t>Conference Call Details</w: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Five9 will discuss its first quarter 2026 results today, April 30, 2026, via an audio-only Zoom webinar at 4:30 p.m. Eastern Time. To access the webinar, please register by clicking here. A copy of this press release will be furnished to the Securities and Exchange Commission on a Current Report on Form 8-K and will be posted to our website, prior to the conference call.</w: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A live webcast and a replay will be available on the Investor Relations section of the Company’s web-site at https://investors.five9.com/.</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In addition to disclosing financial measures prepared in accordance with U.S. generally accepted accounting principles (GAAP), this press release and the accompanying tables contain certain non-GAAP financial measures. We calculate adjusted gross profit and adjusted gross margin by adding back the following items to gross profit: depreciation, intangibles amortization, stock-based compensation, acquisition and related transaction costs and one-time integration costs, and lease amortization for finance leases. We calculate adjusted EBITDA by adding back or removing the following items to or from GAAP net income: depreciation and amortization, stock-based compensation, interest expense, interest income and other, acquisition and related transaction costs and one-time integration costs, lease amortization for finance leases, one-time expenses related to strategic consulting services for operational review, other cost-reduction and productivity initiatives, one-time expenses related to advisory services for long-term strategy and growth, legal fees related to the securities class action, and provision for income taxes. We calculate non-GAAP operating income by adding back or removing the following items to or from GAAP income from operations: stock-based compensation, intangibles amortization, acquisition and related transaction costs and one-time integration costs, one-time expenses related to strategic consulting services for operational review, other cost-reduction and productivity initiatives, one-time expenses related to advisory services for long-term strategy and growth, and legal fees related to the securities class action. We calculate non-GAAP net income by adding back or removing the following items to or from GAAP net income: stock-based compensation, intangibles amortization, amortization of discount and issuance costs on convertible senior notes, exit costs related to closure and relocation of Russian operations, acquisition and related transaction costs and one-time integration costs, one-time expenses related to strategic consulting services for operational review, other cost-reduction and productivity initiatives, one-time expenses related to advisory services for long-term strategy and growth, and legal fees related to the securities class action. For the periods presented, these adjustments from GAAP net income to non-GAAP net income do not include any presentation of the net tax effect of such adjustments given our significant net operating income carryforwards. Non-GAAP financial measures do not have any standardized meaning and are therefore unlikely to be comparable to similarly titled measures presented by other companies. The Company considers these non-GAAP financial measures to be important because they provide useful measures of the operating performance of the Company, exclusive of factors that do not directly affect what we consider to be our core operating performance, as well as unusual events. The Company’s management uses these measures to (i) illustrate underlying trends in the Company’s business that could otherwise be masked by the effect of income or expenses that are excluded from non-GAAP measures, and (ii) establish budgets and operational goals for managing the Company’s business and evaluating its performance. In addition, investors often use similar measures to evaluate the operating performance of a company. Non-GAAP financial measures are presented only as supplemental information for purposes of understanding the Company’s operating results. The non-GAAP financial measures should not be considered a substitute for financial information presented in accordance with GAAP. Please see the reconciliation of non-GAAP financial measures set forth in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This news release contains certain forward-looking statements within the meaning of the Private Securities Litigation Reform Act of 1995, including the statements in the quote from our Chairman and Chief Executive Officer, including statements regarding shifts in the CX industry, customer preferences for unified platforms where AI is natively embedded, Five9's market position and expected impact on the Company's growth, Five9's market opportunity and growth prospects, including as a result of AI, Five9’s ability to deliver sustainable growth and robust free cash flow, Five9’s stock repurchase program, and the second quarter and full year 2026 financial projections and expectations set forth under the caption “Business Outlook,” that are based on our current expectations and involve numerous risks and uncertainties that may cause these forward-looking statements to be inaccurate. Risks that may cause these forward-looking statements to be inaccurate include, among others: (i) the impact of 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and other factors, may continue to harm our business; (ii) if we are unable to attract new customers or sell additional services and functionality to our existing customers, our revenue and revenue growth will be harmed; (iii) 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 (iv) because a significant percentage of our revenue is derived from existing customers, downturns or upturns in new sales will not be immediately reflected in our operating results and may be difficult to discern; (v) if we fail to manage our technical operations infrastructure, our existing customers may experience service outages, our new customers may experience delays in the deployment of our solution and we could be subject to claims for credits or damages, among other things; (vi) if we are unable to attract and retain highly skilled leaders and other employees, our business and results of operations may be harmed; (vii) 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 (viii) further development of our AI solutions may not be successful, may not achieve market acceptance or compete effectively against our competitors, and may result in reputational harm and our future operating results could be materially harmed; (ix) the AI technology and features incorporated into our solution include new and evolving technologies that may present both legal and business risks; (x) we have established, and are continuing to increase, our network of technology solution distributors and resellers to sell our solution; our failure to effectively develop, manage, and maintain this network could materially harm our revenues; (xi) 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(xii) our historical growth may not be indicative of our future growth, and even if we continue to grow rapidly, we may fail to manage our growth effectively; (xiii) failure to adequately retain and expand our sales force will impede our growth; (xiv) the use of AI by our workforce may present risks to our business; (xv) the contact center software solutions market is subject to rapid technological change, and we must develop and sell incremental and new solutions in order to maintain and grow our business; (xvi) our growth depends in part on the success of our strategic relationships with third parties and our failure to successfully maintain, grow and manage these relationships could harm our business; (xvii) the markets in which we participate involve a high number of competitors that is continuing to increase, and if we do not compete effectively, our operating results could be harmed; (xviii) we continue to expand our international operations, which exposes us to significant macroeconomic and other risks; (xix) security breaches, cybersecurity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incidents, and improper access to, use of, or disclosure of our data or our customers’ data, or other cyber-attacks on our systems, could result in litigation and regulatory risk, harm our reputation, our business or financial results; (xx) 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 (xxi) 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(xxii) 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(xxiii) prior to 2025, we had a history of losses and we may be unable to sustain profitability; (xxiv) our stock price has been volatile, may continue to be volatile and may decline, including due to factors beyond our control; (xxv) we may not be able to secure additional financing on favorable terms, or at all, to meet our future capital needs; (xxvi) failure to comply with laws and regulations could harm our business and our reputation; (xxvii) we may not have sufficient cash to service our convertible senior notes and repay such notes, if required, and other risks attendant to our convertible senior notes and increased debt levels; (xxviii) risks that we may not execute repurchases in full, under our announced stock repurchase program, or may not achieve the intended benefits therefrom; and (xxix) the other risks detailed from time-to-time under the caption “Risk Factors” and elsewhere in our Securities and Exchange Commission filings and reports, including, but not limited to, our most recent annual report on Form 10-K and quarterly reports on Form 10-Q. Such forward-looking statements speak only as of the date hereof and readers should not unduly rely on such statements. We undertake no obligation to update the information contained in this press release, including in any forward-looking statements.</w:t>
      </w:r>
    </w:p>
    <w:p>
      <w:pPr>
        <w:pStyle w:val="TextBody"/>
        <w:bidi w:val="0"/>
        <w:spacing w:lineRule="auto" w:line="268" w:before="180" w:after="120"/>
        <w:jc w:val="left"/>
        <w:rPr>
          <w:rFonts w:ascii="Times New Roman;serif" w:hAnsi="Times New Roman;serif"/>
          <w:b/>
          <w:color w:val="000000"/>
          <w:sz w:val="24"/>
        </w:rPr>
      </w:pPr>
      <w:r>
        <w:rPr>
          <w:rFonts w:ascii="Times New Roman;serif" w:hAnsi="Times New Roman;serif"/>
          <w:b/>
          <w:color w:val="000000"/>
          <w:sz w:val="24"/>
        </w:rPr>
        <w:t>About Five9</w:t>
      </w:r>
    </w:p>
    <w:p>
      <w:pPr>
        <w:pStyle w:val="TextBody"/>
        <w:bidi w:val="0"/>
        <w:spacing w:lineRule="auto" w:line="268" w:before="0" w:after="0"/>
        <w:jc w:val="both"/>
        <w:rPr/>
      </w:pPr>
      <w:r>
        <w:rPr>
          <w:rFonts w:ascii="Times New Roman;serif" w:hAnsi="Times New Roman;serif"/>
          <w:b w:val="false"/>
          <w:color w:val="000000"/>
          <w:sz w:val="24"/>
        </w:rPr>
        <w:t xml:space="preserve">The Five9 Intelligent CX Platform provides a comprehensive suite of solutions for orchestrating fluid customer experiences. Our cloud-native, multi-tenant, scalable, reliable, and secure platform includes contact center; omni-channel engagement; Workforce Engagement Management; extensibility through more than 1,450 partners; and innovative, practical AI, automation and journey analytics that are embedded as part of the platform. Five9 brings the power of people, technology, and partners to more than 3,000 organizations worldwide. For more information, visit </w:t>
      </w:r>
      <w:r>
        <w:rPr>
          <w:rFonts w:ascii="Times New Roman;serif" w:hAnsi="Times New Roman;serif"/>
          <w:b w:val="false"/>
          <w:color w:val="0000FF"/>
          <w:sz w:val="24"/>
          <w:u w:val="single"/>
        </w:rPr>
        <w:t>www.five9.com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xml:space="preserve"> </w:t>
      </w:r>
    </w:p>
    <w:tbl>
      <w:tblPr>
        <w:tblW w:w="8610" w:type="dxa"/>
        <w:jc w:val="center"/>
        <w:tblInd w:w="0" w:type="dxa"/>
        <w:tblLayout w:type="fixed"/>
        <w:tblCellMar>
          <w:top w:w="28" w:type="dxa"/>
          <w:left w:w="28" w:type="dxa"/>
          <w:bottom w:w="28" w:type="dxa"/>
          <w:right w:w="28" w:type="dxa"/>
        </w:tblCellMar>
      </w:tblPr>
      <w:tblGrid>
        <w:gridCol w:w="1849"/>
        <w:gridCol w:w="1631"/>
        <w:gridCol w:w="1635"/>
        <w:gridCol w:w="109"/>
        <w:gridCol w:w="109"/>
        <w:gridCol w:w="109"/>
        <w:gridCol w:w="211"/>
        <w:gridCol w:w="976"/>
        <w:gridCol w:w="109"/>
        <w:gridCol w:w="109"/>
        <w:gridCol w:w="109"/>
        <w:gridCol w:w="109"/>
        <w:gridCol w:w="243"/>
        <w:gridCol w:w="1125"/>
        <w:gridCol w:w="177"/>
      </w:tblGrid>
      <w:tr>
        <w:trPr/>
        <w:tc>
          <w:tcPr>
            <w:tcW w:w="18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net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1,790,070 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1,790,070 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120"/>
        <w:jc w:val="center"/>
        <w:rPr/>
      </w:pPr>
      <w:r>
        <w:rPr/>
      </w:r>
    </w:p>
    <w:tbl>
      <w:tblPr>
        <w:tblW w:w="7627" w:type="dxa"/>
        <w:jc w:val="center"/>
        <w:tblInd w:w="0" w:type="dxa"/>
        <w:tblLayout w:type="fixed"/>
        <w:tblCellMar>
          <w:top w:w="28" w:type="dxa"/>
          <w:left w:w="28" w:type="dxa"/>
          <w:bottom w:w="28" w:type="dxa"/>
          <w:right w:w="28" w:type="dxa"/>
        </w:tblCellMar>
      </w:tblPr>
      <w:tblGrid>
        <w:gridCol w:w="1437"/>
        <w:gridCol w:w="1267"/>
        <w:gridCol w:w="1270"/>
        <w:gridCol w:w="109"/>
        <w:gridCol w:w="109"/>
        <w:gridCol w:w="109"/>
        <w:gridCol w:w="232"/>
        <w:gridCol w:w="908"/>
        <w:gridCol w:w="119"/>
        <w:gridCol w:w="109"/>
        <w:gridCol w:w="109"/>
        <w:gridCol w:w="109"/>
        <w:gridCol w:w="232"/>
        <w:gridCol w:w="908"/>
        <w:gridCol w:w="119"/>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86,298 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89,275 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0"/>
        <w:gridCol w:w="2225"/>
        <w:gridCol w:w="2232"/>
        <w:gridCol w:w="109"/>
        <w:gridCol w:w="109"/>
        <w:gridCol w:w="109"/>
        <w:gridCol w:w="236"/>
        <w:gridCol w:w="890"/>
        <w:gridCol w:w="131"/>
        <w:gridCol w:w="109"/>
        <w:gridCol w:w="109"/>
        <w:gridCol w:w="109"/>
        <w:gridCol w:w="234"/>
        <w:gridCol w:w="884"/>
        <w:gridCol w:w="189"/>
      </w:tblGrid>
      <w:tr>
        <w:trPr/>
        <w:tc>
          <w:tcPr>
            <w:tcW w:w="253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discount and issuance costs on convertible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 excluding tax benefit from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 (including non-current portions of operating and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(114,064)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(275,939)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(38,103)</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 of the Company's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 on financing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275,073 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372,303 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GROSS PROFIT TO ADJUSTED GROSS PROFIT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75" w:type="dxa"/>
        <w:jc w:val="center"/>
        <w:tblInd w:w="0" w:type="dxa"/>
        <w:tblLayout w:type="fixed"/>
        <w:tblCellMar>
          <w:top w:w="28" w:type="dxa"/>
          <w:left w:w="28" w:type="dxa"/>
          <w:bottom w:w="28" w:type="dxa"/>
          <w:right w:w="28" w:type="dxa"/>
        </w:tblCellMar>
      </w:tblPr>
      <w:tblGrid>
        <w:gridCol w:w="2140"/>
        <w:gridCol w:w="1884"/>
        <w:gridCol w:w="1900"/>
        <w:gridCol w:w="109"/>
        <w:gridCol w:w="109"/>
        <w:gridCol w:w="109"/>
        <w:gridCol w:w="211"/>
        <w:gridCol w:w="826"/>
        <w:gridCol w:w="271"/>
        <w:gridCol w:w="109"/>
        <w:gridCol w:w="109"/>
        <w:gridCol w:w="109"/>
        <w:gridCol w:w="211"/>
        <w:gridCol w:w="826"/>
        <w:gridCol w:w="271"/>
        <w:gridCol w:w="109"/>
        <w:gridCol w:w="109"/>
        <w:gridCol w:w="109"/>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79"/>
        <w:gridCol w:w="2079"/>
        <w:gridCol w:w="2092"/>
        <w:gridCol w:w="109"/>
        <w:gridCol w:w="109"/>
        <w:gridCol w:w="109"/>
        <w:gridCol w:w="220"/>
        <w:gridCol w:w="754"/>
        <w:gridCol w:w="283"/>
        <w:gridCol w:w="109"/>
        <w:gridCol w:w="109"/>
        <w:gridCol w:w="109"/>
        <w:gridCol w:w="220"/>
        <w:gridCol w:w="754"/>
        <w:gridCol w:w="283"/>
        <w:gridCol w:w="109"/>
        <w:gridCol w:w="109"/>
        <w:gridCol w:w="109"/>
        <w:gridCol w:w="160"/>
      </w:tblGrid>
      <w:tr>
        <w:trPr/>
        <w:tc>
          <w:tcPr>
            <w:tcW w:w="237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the securities class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expense effects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Non-GAAP adjustments do not have a material impact on our worldwide income tax provision due to the tax treatment of the non-GAAP adjustments reported, and our domestic valuation allowance position.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OPERATING INCOME (LOSS) TO NON-GAAP OPERATING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76"/>
        <w:gridCol w:w="2088"/>
        <w:gridCol w:w="2092"/>
        <w:gridCol w:w="109"/>
        <w:gridCol w:w="109"/>
        <w:gridCol w:w="109"/>
        <w:gridCol w:w="254"/>
        <w:gridCol w:w="870"/>
        <w:gridCol w:w="131"/>
        <w:gridCol w:w="109"/>
        <w:gridCol w:w="109"/>
        <w:gridCol w:w="109"/>
        <w:gridCol w:w="254"/>
        <w:gridCol w:w="870"/>
        <w:gridCol w:w="131"/>
        <w:gridCol w:w="109"/>
        <w:gridCol w:w="109"/>
        <w:gridCol w:w="109"/>
        <w:gridCol w:w="158"/>
      </w:tblGrid>
      <w:tr>
        <w:trPr/>
        <w:tc>
          <w:tcPr>
            <w:tcW w:w="237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related to the securities class action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TO NON-GAAP NET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81"/>
        <w:gridCol w:w="2081"/>
        <w:gridCol w:w="2095"/>
        <w:gridCol w:w="109"/>
        <w:gridCol w:w="109"/>
        <w:gridCol w:w="109"/>
        <w:gridCol w:w="254"/>
        <w:gridCol w:w="870"/>
        <w:gridCol w:w="131"/>
        <w:gridCol w:w="109"/>
        <w:gridCol w:w="109"/>
        <w:gridCol w:w="109"/>
        <w:gridCol w:w="254"/>
        <w:gridCol w:w="870"/>
        <w:gridCol w:w="131"/>
        <w:gridCol w:w="109"/>
        <w:gridCol w:w="109"/>
        <w:gridCol w:w="109"/>
        <w:gridCol w:w="157"/>
      </w:tblGrid>
      <w:tr>
        <w:trPr/>
        <w:tc>
          <w:tcPr>
            <w:tcW w:w="23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related to closure and relocation of Russian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related to the securities class action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expense effects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86,298 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89,275 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76,629 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(1)Non-GAAP adjustments do not have a material impact on our worldwide income tax provision due to the tax treatment of the non-GAAP adjustments reported, and our domestic valuation allowance 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SUMMARY OF STOCK-BASED COMPENSATION, DEPRECIATION AND INTANGIBLES AMORTIZATION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627"/>
        <w:gridCol w:w="462"/>
        <w:gridCol w:w="286"/>
        <w:gridCol w:w="109"/>
        <w:gridCol w:w="109"/>
        <w:gridCol w:w="109"/>
        <w:gridCol w:w="246"/>
        <w:gridCol w:w="843"/>
        <w:gridCol w:w="128"/>
        <w:gridCol w:w="109"/>
        <w:gridCol w:w="109"/>
        <w:gridCol w:w="109"/>
        <w:gridCol w:w="211"/>
        <w:gridCol w:w="721"/>
        <w:gridCol w:w="109"/>
        <w:gridCol w:w="109"/>
        <w:gridCol w:w="109"/>
        <w:gridCol w:w="109"/>
        <w:gridCol w:w="258"/>
        <w:gridCol w:w="757"/>
        <w:gridCol w:w="135"/>
        <w:gridCol w:w="109"/>
        <w:gridCol w:w="109"/>
        <w:gridCol w:w="109"/>
        <w:gridCol w:w="246"/>
        <w:gridCol w:w="843"/>
        <w:gridCol w:w="128"/>
        <w:gridCol w:w="109"/>
        <w:gridCol w:w="109"/>
        <w:gridCol w:w="109"/>
        <w:gridCol w:w="211"/>
        <w:gridCol w:w="721"/>
        <w:gridCol w:w="109"/>
        <w:gridCol w:w="109"/>
        <w:gridCol w:w="109"/>
        <w:gridCol w:w="109"/>
        <w:gridCol w:w="257"/>
        <w:gridCol w:w="751"/>
        <w:gridCol w:w="194"/>
      </w:tblGrid>
      <w:tr>
        <w:trPr/>
        <w:tc>
          <w:tcPr>
            <w:tcW w:w="6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7286" w:type="dxa"/>
            <w:gridSpan w:val="30"/>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18" w:type="dxa"/>
            <w:gridSpan w:val="24"/>
            <w:tcBorders/>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FIVE9, INC. </w:t>
      </w:r>
    </w:p>
    <w:p>
      <w:pPr>
        <w:pStyle w:val="TextBody"/>
        <w:bidi w:val="0"/>
        <w:spacing w:lineRule="auto" w:line="312" w:before="120" w:after="60"/>
        <w:jc w:val="center"/>
        <w:rPr/>
      </w:pPr>
      <w:r>
        <w:rPr>
          <w:rFonts w:ascii="Times New Roman;serif" w:hAnsi="Times New Roman;serif"/>
          <w:b/>
          <w:color w:val="000000"/>
          <w:sz w:val="20"/>
        </w:rPr>
        <w:t>RECONCILIATION OF GAAP NET INCOME (LOSS) TO NON-GAAP NET INCOME – GUIDANCE</w:t>
      </w:r>
      <w:r>
        <w:rPr>
          <w:rFonts w:ascii="Times New Roman;serif" w:hAnsi="Times New Roman;serif"/>
          <w:b/>
          <w:color w:val="000000"/>
          <w:sz w:val="13"/>
        </w:rPr>
        <w:t xml:space="preserve">(1)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1"/>
        <w:gridCol w:w="1379"/>
        <w:gridCol w:w="1356"/>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4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2026</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related to closure and relocation of Russian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related transaction costs and one-time integration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headquarter consolidation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the securities class 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effects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GAAP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(1)Represents guidance discussed on April 30, 2026. Reader shall not construe presentation of this information after April 30, 2026 as an update or reaffirmation of such guidance.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(2)Stock-based compensation expenses are based on a range of probable significance, assuming market price for our common stock that is approximately consistent with current levels.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(3)Acquisition and related transaction costs and one-time integration costs are based on a range of probable significance for completed acquisitions, and no new acquisitions assumed.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(4)Non-GAAP adjustments do not have a material impact on our worldwide income tax provision due to the tax treatment of the non-GAAP adjustments reported, and our domestic valuation allowance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2" w:before="240" w:after="283"/>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Tony Righetti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SVP,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IR@five9.com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283"/>
        <w:jc w:val="left"/>
        <w:rPr/>
      </w:pPr>
      <w:r>
        <w:rPr/>
      </w:r>
    </w:p>
    <w:p>
      <w:pPr>
        <w:pStyle w:val="TextBody"/>
        <w:bidi w:val="0"/>
        <w:spacing w:before="0" w:after="0"/>
        <w:jc w:val="center"/>
        <w:rPr/>
      </w:pPr>
      <w:bookmarkStart w:id="0" w:name="exhibit992_fivn-suppleme.htm"/>
      <w:bookmarkStart w:id="1" w:name="ksexhibit992_fivnsuppleme"/>
      <w:bookmarkEnd w:id="0"/>
      <w:bookmarkEnd w:id="1"/>
      <w:r>
        <w:rPr/>
        <w:drawing>
          <wp:inline distT="0" distB="0" distL="0" distR="0">
            <wp:extent cx="10048875" cy="13001625"/>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FIVN - Supplemental Metric Disclosure ($M) Q1'24 Q2'24 Q3'24 Q4'24 Q1'25 Q2'25 Q3'25 Q4'25 Q1'26 2024 2025 Subscription % of Total Revenue 79% 78% 80% 79% 80% 81% 81% 82% 82% 79% 81% Telecom % of Total Revenue 14% 14% 13% 14% 13% 12% 12% 11% 12% 14% 12% Professional Services % of Total Revenue 7% 8% 7% 7% 7% 7% 7% 7% 6% 7% 7% Total Revenue $247 $252 $264 $279 $280 $283 $286 $300 $305 $1,042 $1,149 Y/Y Growth % 13% 13% 15% 17% 13% 12% 8% 8% 9% 14% 10% Q/Q Growth % 3% 2% 5% 5% 0% 1% 1% 5% 2% LTM DBRR (Subscription + Telecom) 109% 108% 108% 108% 107% 108% 107% 105% 105% 108% 105% LTM Subscription DBRR 113% 111% 111% 111% 109% 109% 107% 106% 107% 111% 106% Note: Percent of revenue represents approximate figures due to rounding. Exhibit 99.2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4885</Words>
  <Characters>27628</Characters>
  <CharactersWithSpaces>32075</CharactersWithSpaces>
  <Paragraphs>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exhibit992_fivn-suppleme</dc:title>
</cp:coreProperties>
</file>